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301BA3" w:rsidRPr="00FA1389" w:rsidRDefault="00301BA3">
            <w:pPr>
              <w:pStyle w:val="HuvudRubrik"/>
            </w:pPr>
            <w:r w:rsidRPr="00FA1389">
              <w:t>Regeringskansliet</w:t>
            </w:r>
          </w:p>
          <w:p w:rsidR="00301BA3" w:rsidRPr="00FA1389" w:rsidRDefault="00301BA3">
            <w:pPr>
              <w:pStyle w:val="HuvudRubrik"/>
            </w:pPr>
            <w:r w:rsidRPr="00FA1389">
              <w:t xml:space="preserve">Faktapromemoria  </w:t>
            </w:r>
            <w:r w:rsidRPr="00FA1389">
              <w:t>2006/07</w:t>
            </w:r>
            <w:r w:rsidRPr="00FA1389">
              <w:t>:</w:t>
            </w:r>
            <w:r w:rsidRPr="00FA1389">
              <w:t>FPM114</w:t>
            </w:r>
          </w:p>
        </w:tc>
      </w:tr>
      <w:tr w:rsidR="00000000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301BA3" w:rsidRPr="00FA1389" w:rsidRDefault="00301BA3">
            <w:pPr>
              <w:pStyle w:val="HuvudRubrik"/>
              <w:rPr>
                <w:sz w:val="28"/>
              </w:rPr>
            </w:pPr>
            <w:r w:rsidRPr="00FA1389">
              <w:t>Meddelande om regelförenklingar inom bolagsrätt, redovisning och revision</w:t>
            </w:r>
          </w:p>
        </w:tc>
      </w:tr>
      <w:tr w:rsidR="008D7ABE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8D7ABE" w:rsidRPr="00FA1389" w:rsidRDefault="0043699C">
            <w:pPr>
              <w:pStyle w:val="Departement"/>
              <w:rPr>
                <w:sz w:val="28"/>
              </w:rPr>
            </w:pPr>
            <w:r w:rsidRPr="00FA1389">
              <w:t>Justitiedepartementet</w:t>
            </w:r>
          </w:p>
        </w:tc>
      </w:tr>
      <w:tr w:rsidR="008D7ABE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8D7ABE" w:rsidRPr="00FA1389" w:rsidRDefault="0043699C">
            <w:pPr>
              <w:pStyle w:val="Dokumentdatum"/>
            </w:pPr>
            <w:r w:rsidRPr="00FA1389">
              <w:t>2007-08-24</w:t>
            </w:r>
          </w:p>
        </w:tc>
      </w:tr>
      <w:tr w:rsidR="008D7ABE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8D7ABE" w:rsidRPr="00FA1389" w:rsidRDefault="008D7ABE">
            <w:pPr>
              <w:pStyle w:val="Dokumentbeteckning"/>
            </w:pPr>
            <w:r w:rsidRPr="00FA1389">
              <w:t>Dokumentbeteckning</w:t>
            </w:r>
          </w:p>
        </w:tc>
      </w:tr>
      <w:tr w:rsidR="00A8615E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A8615E" w:rsidRPr="00FA1389" w:rsidRDefault="0043699C" w:rsidP="0043699C">
            <w:bookmarkStart w:id="0" w:name="KomNr"/>
            <w:bookmarkEnd w:id="0"/>
            <w:r w:rsidRPr="00FA1389">
              <w:t>KOM (2007) 394 slutlig</w:t>
            </w:r>
          </w:p>
        </w:tc>
      </w:tr>
      <w:tr w:rsidR="0043699C" w:rsidRPr="00FA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43699C" w:rsidRPr="00FA1389" w:rsidRDefault="0043699C" w:rsidP="0043699C">
            <w:pPr>
              <w:pStyle w:val="Dokumentbeteckning-titel"/>
            </w:pPr>
            <w:r w:rsidRPr="00FA1389">
              <w:t>MEDDELANDE FRÅN KOMMISSIONEN om ett förenklat företagsklimat på områdena bolagsrätt, redovisning och revision</w:t>
            </w:r>
          </w:p>
        </w:tc>
      </w:tr>
    </w:tbl>
    <w:p w:rsidR="008D7ABE" w:rsidRPr="00FA1389" w:rsidRDefault="008D7ABE">
      <w:pPr>
        <w:pStyle w:val="Rubrik1"/>
        <w:numPr>
          <w:ilvl w:val="0"/>
          <w:numId w:val="0"/>
        </w:numPr>
      </w:pPr>
      <w:r w:rsidRPr="00FA1389">
        <w:t>Sammanfattning</w:t>
      </w:r>
    </w:p>
    <w:p w:rsidR="008D7ABE" w:rsidRPr="00FA1389" w:rsidRDefault="00A8615E">
      <w:r w:rsidRPr="00FA1389">
        <w:t>K</w:t>
      </w:r>
      <w:r w:rsidR="00711E64" w:rsidRPr="00FA1389">
        <w:t>ommissionen har inlett ett brett anlagt arbete för att åstadkomma regel</w:t>
      </w:r>
      <w:r w:rsidR="00BF592B" w:rsidRPr="00FA1389">
        <w:softHyphen/>
      </w:r>
      <w:r w:rsidR="00711E64" w:rsidRPr="00FA1389">
        <w:t>förenklingar för europeiska företag (främst aktiebolag). En handlingsplan har antagits och mätningar av företagens administrativa börda har inletts. Med</w:t>
      </w:r>
      <w:r w:rsidR="00BF592B" w:rsidRPr="00FA1389">
        <w:softHyphen/>
      </w:r>
      <w:r w:rsidR="00711E64" w:rsidRPr="00FA1389">
        <w:t>del</w:t>
      </w:r>
      <w:r w:rsidR="00BF592B" w:rsidRPr="00FA1389">
        <w:softHyphen/>
      </w:r>
      <w:r w:rsidR="00711E64" w:rsidRPr="00FA1389">
        <w:t>andet är ett led i detta arbete och innehåller förslag till åtgärder på områd</w:t>
      </w:r>
      <w:r w:rsidR="00BF592B" w:rsidRPr="00FA1389">
        <w:softHyphen/>
      </w:r>
      <w:r w:rsidR="00711E64" w:rsidRPr="00FA1389">
        <w:t xml:space="preserve">ena bolagsrätt, redovisning och revision. Bl.a. föreslås att </w:t>
      </w:r>
      <w:r w:rsidR="00A36A31" w:rsidRPr="00FA1389">
        <w:t>fyra</w:t>
      </w:r>
      <w:r w:rsidR="00711E64" w:rsidRPr="00FA1389">
        <w:t xml:space="preserve"> av de bolags</w:t>
      </w:r>
      <w:r w:rsidR="00BF592B" w:rsidRPr="00FA1389">
        <w:softHyphen/>
      </w:r>
      <w:r w:rsidR="00711E64" w:rsidRPr="00FA1389">
        <w:t>rätts</w:t>
      </w:r>
      <w:r w:rsidR="00BF592B" w:rsidRPr="00FA1389">
        <w:softHyphen/>
      </w:r>
      <w:r w:rsidR="00711E64" w:rsidRPr="00FA1389">
        <w:t>liga EG-direktiven ska upphävas</w:t>
      </w:r>
      <w:r w:rsidR="00522833" w:rsidRPr="00FA1389">
        <w:t xml:space="preserve"> eller i varje fall reformeras</w:t>
      </w:r>
      <w:r w:rsidR="00711E64" w:rsidRPr="00FA1389">
        <w:t xml:space="preserve"> och att medlemsstaterna ska tillåtas att undanta s.k. mikroföretag från </w:t>
      </w:r>
      <w:r w:rsidR="005B671B" w:rsidRPr="00FA1389">
        <w:t>tillämpning av EG:s redovisningsdirektiv. – M</w:t>
      </w:r>
      <w:r w:rsidR="00711E64" w:rsidRPr="00FA1389">
        <w:t>ed</w:t>
      </w:r>
      <w:r w:rsidR="00BF592B" w:rsidRPr="00FA1389">
        <w:softHyphen/>
      </w:r>
      <w:r w:rsidR="00711E64" w:rsidRPr="00FA1389">
        <w:t xml:space="preserve">delandet </w:t>
      </w:r>
      <w:r w:rsidR="00BF592B" w:rsidRPr="00FA1389">
        <w:t>är</w:t>
      </w:r>
      <w:r w:rsidR="005B671B" w:rsidRPr="00FA1389">
        <w:t xml:space="preserve"> föremål för en</w:t>
      </w:r>
      <w:r w:rsidR="00711E64" w:rsidRPr="00FA1389">
        <w:t xml:space="preserve"> offentlig kon</w:t>
      </w:r>
      <w:r w:rsidR="00E10328" w:rsidRPr="00FA1389">
        <w:softHyphen/>
      </w:r>
      <w:r w:rsidR="00711E64" w:rsidRPr="00FA1389">
        <w:t>sulta</w:t>
      </w:r>
      <w:r w:rsidR="00E10328" w:rsidRPr="00FA1389">
        <w:softHyphen/>
      </w:r>
      <w:r w:rsidR="00711E64" w:rsidRPr="00FA1389">
        <w:t>tion.</w:t>
      </w:r>
    </w:p>
    <w:p w:rsidR="00093647" w:rsidRPr="00FA1389" w:rsidRDefault="00093647" w:rsidP="00093647">
      <w:r w:rsidRPr="00FA1389">
        <w:t>Regeringen anser att meddelandet har en mycket bra inriktning och är en utmärkt utgångspunkt för en diskussion om hur de berörda EG-direkt</w:t>
      </w:r>
      <w:r w:rsidRPr="00FA1389">
        <w:softHyphen/>
        <w:t>iven kan reformeras.</w:t>
      </w:r>
    </w:p>
    <w:p w:rsidR="008D7ABE" w:rsidRPr="00FA1389" w:rsidRDefault="00A8615E">
      <w:pPr>
        <w:pStyle w:val="Rubrik1"/>
      </w:pPr>
      <w:r w:rsidRPr="00FA1389">
        <w:t>Förslaget</w:t>
      </w:r>
    </w:p>
    <w:p w:rsidR="008D7ABE" w:rsidRPr="00FA1389" w:rsidRDefault="008D7ABE" w:rsidP="00AF3AC9">
      <w:pPr>
        <w:pStyle w:val="Rubrik2"/>
        <w:spacing w:before="240"/>
      </w:pPr>
      <w:r w:rsidRPr="00FA1389">
        <w:t>Innehåll</w:t>
      </w:r>
    </w:p>
    <w:p w:rsidR="00F40D29" w:rsidRPr="00FA1389" w:rsidRDefault="00A8615E" w:rsidP="008D1D38">
      <w:r w:rsidRPr="00FA1389">
        <w:t>K</w:t>
      </w:r>
      <w:r w:rsidR="00F40D29" w:rsidRPr="00FA1389">
        <w:t>ommissionen anför att en bred översyn av EU:s regelverk på områdena bolags</w:t>
      </w:r>
      <w:r w:rsidR="00BF592B" w:rsidRPr="00FA1389">
        <w:softHyphen/>
      </w:r>
      <w:r w:rsidR="00F40D29" w:rsidRPr="00FA1389">
        <w:t>rätt, redovisning och revision är absolut nödvändig för att ge de euro</w:t>
      </w:r>
      <w:r w:rsidR="00BF592B" w:rsidRPr="00FA1389">
        <w:softHyphen/>
      </w:r>
      <w:r w:rsidR="00F40D29" w:rsidRPr="00FA1389">
        <w:t>peiska företagen möjligheter att bli mer konkurrenskraftiga och fram</w:t>
      </w:r>
      <w:r w:rsidR="00BF592B" w:rsidRPr="00FA1389">
        <w:softHyphen/>
      </w:r>
      <w:r w:rsidR="00F40D29" w:rsidRPr="00FA1389">
        <w:t>gångs</w:t>
      </w:r>
      <w:r w:rsidR="00BF592B" w:rsidRPr="00FA1389">
        <w:softHyphen/>
      </w:r>
      <w:r w:rsidR="00F40D29" w:rsidRPr="00FA1389">
        <w:t>rika i en starkt konkurrensutsatt global miljö.</w:t>
      </w:r>
    </w:p>
    <w:p w:rsidR="001E63B0" w:rsidRPr="00FA1389" w:rsidRDefault="001E63B0" w:rsidP="0043699C"/>
    <w:p w:rsidR="00BF592B" w:rsidRPr="00FA1389" w:rsidRDefault="00BF592B" w:rsidP="0043699C"/>
    <w:p w:rsidR="00BF592B" w:rsidRPr="00FA1389" w:rsidRDefault="00BF592B" w:rsidP="0043699C"/>
    <w:p w:rsidR="00FE2B48" w:rsidRPr="00FA1389" w:rsidRDefault="00271EE3" w:rsidP="001E63B0">
      <w:pPr>
        <w:rPr>
          <w:i/>
        </w:rPr>
      </w:pPr>
      <w:r w:rsidRPr="00FA1389">
        <w:rPr>
          <w:i/>
        </w:rPr>
        <w:t>Bolagsrätt</w:t>
      </w:r>
    </w:p>
    <w:p w:rsidR="00271EE3" w:rsidRPr="00FA1389" w:rsidRDefault="00271EE3" w:rsidP="00271EE3">
      <w:r w:rsidRPr="00FA1389">
        <w:t>EG:s bolagsrättsliga direktiv innehåller en omfattande reglering av aktie</w:t>
      </w:r>
      <w:r w:rsidR="00BF592B" w:rsidRPr="00FA1389">
        <w:softHyphen/>
      </w:r>
      <w:r w:rsidRPr="00FA1389">
        <w:t>bolags</w:t>
      </w:r>
      <w:r w:rsidR="00BF592B" w:rsidRPr="00FA1389">
        <w:softHyphen/>
      </w:r>
      <w:r w:rsidRPr="00FA1389">
        <w:t>rätten. Vissa EG-regler gäller alla aktiebolag, t.ex. det s.k. public</w:t>
      </w:r>
      <w:r w:rsidR="00BF592B" w:rsidRPr="00FA1389">
        <w:softHyphen/>
      </w:r>
      <w:r w:rsidRPr="00FA1389">
        <w:t>itets</w:t>
      </w:r>
      <w:r w:rsidR="00BF592B" w:rsidRPr="00FA1389">
        <w:softHyphen/>
      </w:r>
      <w:r w:rsidRPr="00FA1389">
        <w:t>direktivet, medan andra, t.ex. fusions</w:t>
      </w:r>
      <w:r w:rsidRPr="00FA1389">
        <w:softHyphen/>
        <w:t>direkt</w:t>
      </w:r>
      <w:r w:rsidRPr="00FA1389">
        <w:softHyphen/>
        <w:t>ivet, endast gäller publ</w:t>
      </w:r>
      <w:r w:rsidRPr="00FA1389">
        <w:softHyphen/>
        <w:t>ika aktie</w:t>
      </w:r>
      <w:r w:rsidR="00BF592B" w:rsidRPr="00FA1389">
        <w:softHyphen/>
      </w:r>
      <w:r w:rsidRPr="00FA1389">
        <w:t>bolag.</w:t>
      </w:r>
    </w:p>
    <w:p w:rsidR="0079221D" w:rsidRPr="00FA1389" w:rsidRDefault="0079221D" w:rsidP="0079221D">
      <w:r w:rsidRPr="00FA1389">
        <w:t xml:space="preserve">Enligt </w:t>
      </w:r>
      <w:r w:rsidR="00B73B3A" w:rsidRPr="00FA1389">
        <w:t>kommissionen</w:t>
      </w:r>
      <w:r w:rsidRPr="00FA1389">
        <w:t xml:space="preserve"> har en europeisk reglering av bolagsrätten såväl för</w:t>
      </w:r>
      <w:r w:rsidR="00BF592B" w:rsidRPr="00FA1389">
        <w:softHyphen/>
      </w:r>
      <w:r w:rsidRPr="00FA1389">
        <w:t>delar som nackdelar.</w:t>
      </w:r>
    </w:p>
    <w:p w:rsidR="00271EE3" w:rsidRPr="00FA1389" w:rsidRDefault="00B73B3A" w:rsidP="00271EE3">
      <w:r w:rsidRPr="00FA1389">
        <w:t>K</w:t>
      </w:r>
      <w:r w:rsidR="0079221D" w:rsidRPr="00FA1389">
        <w:t xml:space="preserve">ommissionen </w:t>
      </w:r>
      <w:r w:rsidRPr="00FA1389">
        <w:t xml:space="preserve">anför </w:t>
      </w:r>
      <w:r w:rsidR="0079221D" w:rsidRPr="00FA1389">
        <w:t>att fyra</w:t>
      </w:r>
      <w:r w:rsidR="00271EE3" w:rsidRPr="00FA1389">
        <w:t xml:space="preserve"> av de bolagsrättsliga direktiven </w:t>
      </w:r>
      <w:r w:rsidR="0079221D" w:rsidRPr="00FA1389">
        <w:t xml:space="preserve">– </w:t>
      </w:r>
      <w:r w:rsidR="00BB2A65" w:rsidRPr="00FA1389">
        <w:t xml:space="preserve">innehållande regler om kapital, </w:t>
      </w:r>
      <w:r w:rsidR="0079221D" w:rsidRPr="00FA1389">
        <w:t xml:space="preserve">fusion, delning och </w:t>
      </w:r>
      <w:r w:rsidR="00BB2A65" w:rsidRPr="00FA1389">
        <w:t>enmansbolag</w:t>
      </w:r>
      <w:r w:rsidR="0079221D" w:rsidRPr="00FA1389">
        <w:t xml:space="preserve"> – </w:t>
      </w:r>
      <w:r w:rsidR="00271EE3" w:rsidRPr="00FA1389">
        <w:t xml:space="preserve">bör </w:t>
      </w:r>
      <w:r w:rsidR="0079221D" w:rsidRPr="00FA1389">
        <w:t>upphävas</w:t>
      </w:r>
      <w:r w:rsidR="00271EE3" w:rsidRPr="00FA1389">
        <w:t>. Det över</w:t>
      </w:r>
      <w:r w:rsidR="00BF592B" w:rsidRPr="00FA1389">
        <w:softHyphen/>
      </w:r>
      <w:r w:rsidR="00271EE3" w:rsidRPr="00FA1389">
        <w:t>gripande skäl som anges är att de aktuella direktiven innehåller ställ</w:t>
      </w:r>
      <w:r w:rsidR="00BF592B" w:rsidRPr="00FA1389">
        <w:softHyphen/>
      </w:r>
      <w:r w:rsidR="00271EE3" w:rsidRPr="00FA1389">
        <w:t>nings</w:t>
      </w:r>
      <w:r w:rsidR="00271EE3" w:rsidRPr="00FA1389">
        <w:softHyphen/>
        <w:t>taganden i bolagsrättsliga frågor som hellre bör avgöras av de enskilda med</w:t>
      </w:r>
      <w:r w:rsidR="00BF592B" w:rsidRPr="00FA1389">
        <w:softHyphen/>
      </w:r>
      <w:r w:rsidR="00271EE3" w:rsidRPr="00FA1389">
        <w:t>lems</w:t>
      </w:r>
      <w:r w:rsidR="00271EE3" w:rsidRPr="00FA1389">
        <w:softHyphen/>
        <w:t>stat</w:t>
      </w:r>
      <w:r w:rsidR="00271EE3" w:rsidRPr="00FA1389">
        <w:softHyphen/>
        <w:t>er</w:t>
      </w:r>
      <w:r w:rsidR="00271EE3" w:rsidRPr="00FA1389">
        <w:softHyphen/>
        <w:t>na. Kommissionen ser också en möjlighet att till</w:t>
      </w:r>
      <w:r w:rsidR="00271EE3" w:rsidRPr="00FA1389">
        <w:softHyphen/>
        <w:t>handa</w:t>
      </w:r>
      <w:r w:rsidR="00271EE3" w:rsidRPr="00FA1389">
        <w:softHyphen/>
        <w:t>hålla med</w:t>
      </w:r>
      <w:r w:rsidR="00BF592B" w:rsidRPr="00FA1389">
        <w:softHyphen/>
      </w:r>
      <w:r w:rsidR="00271EE3" w:rsidRPr="00FA1389">
        <w:t>lemsstaterna bättre förutsättningar för att minska den admin</w:t>
      </w:r>
      <w:r w:rsidR="00271EE3" w:rsidRPr="00FA1389">
        <w:softHyphen/>
        <w:t>istr</w:t>
      </w:r>
      <w:r w:rsidR="00271EE3" w:rsidRPr="00FA1389">
        <w:softHyphen/>
        <w:t>ativa bördan för aktiebolagen. Ju färre påbud som finns i de bolags</w:t>
      </w:r>
      <w:r w:rsidR="00271EE3" w:rsidRPr="00FA1389">
        <w:softHyphen/>
        <w:t>rätts</w:t>
      </w:r>
      <w:r w:rsidR="00BF592B" w:rsidRPr="00FA1389">
        <w:softHyphen/>
      </w:r>
      <w:r w:rsidR="00271EE3" w:rsidRPr="00FA1389">
        <w:t>liga direkt</w:t>
      </w:r>
      <w:r w:rsidR="00BF592B" w:rsidRPr="00FA1389">
        <w:softHyphen/>
      </w:r>
      <w:r w:rsidR="00271EE3" w:rsidRPr="00FA1389">
        <w:t>iv</w:t>
      </w:r>
      <w:r w:rsidR="00BF592B" w:rsidRPr="00FA1389">
        <w:softHyphen/>
      </w:r>
      <w:r w:rsidR="00271EE3" w:rsidRPr="00FA1389">
        <w:t>en, desto större handlingsutrymme får enligt kommis</w:t>
      </w:r>
      <w:r w:rsidR="00271EE3" w:rsidRPr="00FA1389">
        <w:softHyphen/>
        <w:t>sionen med</w:t>
      </w:r>
      <w:r w:rsidR="00BF592B" w:rsidRPr="00FA1389">
        <w:softHyphen/>
      </w:r>
      <w:r w:rsidR="00271EE3" w:rsidRPr="00FA1389">
        <w:t>lems</w:t>
      </w:r>
      <w:r w:rsidR="00BF592B" w:rsidRPr="00FA1389">
        <w:softHyphen/>
      </w:r>
      <w:r w:rsidR="00271EE3" w:rsidRPr="00FA1389">
        <w:t>stat</w:t>
      </w:r>
      <w:r w:rsidR="00BF592B" w:rsidRPr="00FA1389">
        <w:softHyphen/>
      </w:r>
      <w:r w:rsidR="00271EE3" w:rsidRPr="00FA1389">
        <w:t>er</w:t>
      </w:r>
      <w:r w:rsidR="00BF592B" w:rsidRPr="00FA1389">
        <w:softHyphen/>
      </w:r>
      <w:r w:rsidR="00271EE3" w:rsidRPr="00FA1389">
        <w:t>na att finna de m</w:t>
      </w:r>
      <w:r w:rsidR="0079221D" w:rsidRPr="00FA1389">
        <w:t>est ändamålsenliga lösningarna.</w:t>
      </w:r>
    </w:p>
    <w:p w:rsidR="00271EE3" w:rsidRPr="00FA1389" w:rsidRDefault="0079221D" w:rsidP="0079221D">
      <w:r w:rsidRPr="00FA1389">
        <w:t>Som ett alternativ till ett upphävande av de nämnda direktiven föreslås att arbetet inrikta</w:t>
      </w:r>
      <w:r w:rsidR="00B73B3A" w:rsidRPr="00FA1389">
        <w:t>s</w:t>
      </w:r>
      <w:r w:rsidRPr="00FA1389">
        <w:t xml:space="preserve"> på en reformering av direktiven, inte ett upphävande.</w:t>
      </w:r>
      <w:r w:rsidR="00BB2A65" w:rsidRPr="00FA1389">
        <w:t xml:space="preserve"> I en bilaga till meddelandet specificeras tänkbara enskilda åtgärder.</w:t>
      </w:r>
      <w:r w:rsidR="007E7C80" w:rsidRPr="00FA1389">
        <w:t xml:space="preserve"> Ett förslag som tar sikte på att förenkla EG-direktiven om fusion och delning har redan lagts fram (KOM[2007] 91 slutlig). Enligt förslaget </w:t>
      </w:r>
      <w:r w:rsidR="00651734" w:rsidRPr="00FA1389">
        <w:t>ska</w:t>
      </w:r>
      <w:r w:rsidR="007E7C80" w:rsidRPr="00FA1389">
        <w:t xml:space="preserve"> en fusionsplan eller en delningsplan inte behöva granskas av oberoende sakkunniga (i Sverige: revisorer), om samtliga aktie</w:t>
      </w:r>
      <w:r w:rsidR="007E7C80" w:rsidRPr="00FA1389">
        <w:softHyphen/>
        <w:t>ägare i berörda bolag är eniga om det.</w:t>
      </w:r>
    </w:p>
    <w:p w:rsidR="0079221D" w:rsidRPr="00FA1389" w:rsidRDefault="00BB2A65" w:rsidP="0079221D">
      <w:r w:rsidRPr="00FA1389">
        <w:t xml:space="preserve">I en annan bilaga till meddelandet specificeras ytterligare tänkbara åtgärder för att förenkla bolagsrätten. Bland dessa kan nämnas att medlemsstaterna inte ska tillåtas att kräva att ny information i bolagsregistret ska kungöras </w:t>
      </w:r>
      <w:r w:rsidR="00717011" w:rsidRPr="00FA1389">
        <w:t>i en nationell tidning (</w:t>
      </w:r>
      <w:r w:rsidR="00B73B3A" w:rsidRPr="00FA1389">
        <w:t xml:space="preserve">i Sverige: </w:t>
      </w:r>
      <w:r w:rsidR="00717011" w:rsidRPr="00FA1389">
        <w:t xml:space="preserve">Post- och Inrikes Tidningar) </w:t>
      </w:r>
      <w:r w:rsidRPr="00FA1389">
        <w:t>och att de krav som ställs i anslutning till registrering av en filial i en annan medlemsstat ska mildras.</w:t>
      </w:r>
    </w:p>
    <w:p w:rsidR="0079221D" w:rsidRPr="00FA1389" w:rsidRDefault="0079221D" w:rsidP="0043699C"/>
    <w:p w:rsidR="00B53AD3" w:rsidRPr="00FA1389" w:rsidRDefault="00271EE3" w:rsidP="00B53AD3">
      <w:pPr>
        <w:rPr>
          <w:i/>
        </w:rPr>
      </w:pPr>
      <w:r w:rsidRPr="00FA1389">
        <w:rPr>
          <w:i/>
        </w:rPr>
        <w:t>Redovisning</w:t>
      </w:r>
      <w:r w:rsidR="001B66EF" w:rsidRPr="00FA1389">
        <w:rPr>
          <w:i/>
        </w:rPr>
        <w:t xml:space="preserve"> och revision</w:t>
      </w:r>
    </w:p>
    <w:p w:rsidR="00271EE3" w:rsidRPr="00FA1389" w:rsidRDefault="001B66EF" w:rsidP="00271EE3">
      <w:r w:rsidRPr="00FA1389">
        <w:t xml:space="preserve">Enligt kommissionen </w:t>
      </w:r>
      <w:r w:rsidR="00B73B3A" w:rsidRPr="00FA1389">
        <w:t>gynnar</w:t>
      </w:r>
      <w:r w:rsidRPr="00FA1389">
        <w:t xml:space="preserve"> </w:t>
      </w:r>
      <w:r w:rsidR="00B73B3A" w:rsidRPr="00FA1389">
        <w:t xml:space="preserve">en förenkling av redovisningsdirektiven </w:t>
      </w:r>
      <w:r w:rsidRPr="00FA1389">
        <w:t>särskilt små och medelstora företag.</w:t>
      </w:r>
    </w:p>
    <w:p w:rsidR="001B66EF" w:rsidRPr="00FA1389" w:rsidRDefault="001B66EF" w:rsidP="00B73B3A">
      <w:r w:rsidRPr="00FA1389">
        <w:t>Den viktigaste åtgärden som föreslås är att medlemsstaterna ska kunna undan</w:t>
      </w:r>
      <w:r w:rsidR="00C64EB5" w:rsidRPr="00FA1389">
        <w:softHyphen/>
      </w:r>
      <w:r w:rsidRPr="00FA1389">
        <w:t>ta ”mikroföretag” från tillämpning av redovisningsdirektiven. Enligt den definition som föreslås får ett mikroföretag</w:t>
      </w:r>
      <w:r w:rsidR="00B73B3A" w:rsidRPr="00FA1389">
        <w:t>, för att anses som ett sådant,</w:t>
      </w:r>
      <w:r w:rsidRPr="00FA1389">
        <w:t xml:space="preserve"> ha högst tio anställda, en balansomslutning som högst uppgår till 500 000 euro och en omsättning som inte överstiger 1 000 000 </w:t>
      </w:r>
      <w:r w:rsidR="00D668E3" w:rsidRPr="00FA1389">
        <w:t>euro.</w:t>
      </w:r>
    </w:p>
    <w:p w:rsidR="001B66EF" w:rsidRPr="00FA1389" w:rsidRDefault="001B66EF" w:rsidP="00B73B3A">
      <w:r w:rsidRPr="00FA1389">
        <w:t xml:space="preserve">I en bilaga till meddelandet specificeras andra tänkbara åtgärder. </w:t>
      </w:r>
      <w:r w:rsidR="00A36A31" w:rsidRPr="00FA1389">
        <w:t>Bl.a. före</w:t>
      </w:r>
      <w:r w:rsidR="00C64EB5" w:rsidRPr="00FA1389">
        <w:softHyphen/>
      </w:r>
      <w:r w:rsidR="00A36A31" w:rsidRPr="00FA1389">
        <w:t xml:space="preserve">slås att </w:t>
      </w:r>
      <w:r w:rsidRPr="00FA1389">
        <w:t>medlemsstaterna inte ska tillåtas att kräva revision av mikroföretag</w:t>
      </w:r>
      <w:r w:rsidR="00A36A31" w:rsidRPr="00FA1389">
        <w:t>, om möjligheten att undanta sådana företag från redovisningsdirektiven har utnyttjats</w:t>
      </w:r>
      <w:r w:rsidRPr="00FA1389">
        <w:t xml:space="preserve">. Därutöver föreslås bl.a. </w:t>
      </w:r>
      <w:r w:rsidR="008D1D38" w:rsidRPr="00FA1389">
        <w:t>att kraven på offentliggörande av finans</w:t>
      </w:r>
      <w:r w:rsidR="00C64EB5" w:rsidRPr="00FA1389">
        <w:softHyphen/>
      </w:r>
      <w:r w:rsidR="008D1D38" w:rsidRPr="00FA1389">
        <w:t>iell information från små företag ska tas bort</w:t>
      </w:r>
      <w:r w:rsidR="00BF592B" w:rsidRPr="00FA1389">
        <w:t xml:space="preserve"> och att vissa medelstora företag ska erbjudas samma möjligheter till lättnader i redovisningskravet som de små företagen</w:t>
      </w:r>
      <w:r w:rsidR="008D1D38" w:rsidRPr="00FA1389">
        <w:t>.</w:t>
      </w:r>
    </w:p>
    <w:p w:rsidR="008D7ABE" w:rsidRPr="00FA1389" w:rsidRDefault="008D7ABE">
      <w:pPr>
        <w:pStyle w:val="Rubrik2"/>
      </w:pPr>
      <w:r w:rsidRPr="00FA1389">
        <w:t>Gällande svenska regler och förslagets effekt på dessa</w:t>
      </w:r>
    </w:p>
    <w:p w:rsidR="008D1D38" w:rsidRPr="00FA1389" w:rsidRDefault="008D1D38">
      <w:r w:rsidRPr="00FA1389">
        <w:t>De svenska aktiebolagsrättsliga reglerna grundar sig till stor del på EG</w:t>
      </w:r>
      <w:r w:rsidR="00B73B3A" w:rsidRPr="00FA1389">
        <w:t>-</w:t>
      </w:r>
      <w:r w:rsidRPr="00FA1389">
        <w:t>direkt</w:t>
      </w:r>
      <w:r w:rsidR="00C64EB5" w:rsidRPr="00FA1389">
        <w:softHyphen/>
      </w:r>
      <w:r w:rsidRPr="00FA1389">
        <w:t xml:space="preserve">iv. Detsamma gäller de svenska reglerna om redovisning och revision. De förslag som diskuteras i meddelandet </w:t>
      </w:r>
      <w:r w:rsidR="008A4718" w:rsidRPr="00FA1389">
        <w:t xml:space="preserve">skulle i många fall </w:t>
      </w:r>
      <w:r w:rsidR="00241978" w:rsidRPr="00FA1389">
        <w:t xml:space="preserve">ge den svenska lagstiftaren </w:t>
      </w:r>
      <w:r w:rsidRPr="00FA1389">
        <w:t xml:space="preserve">ett </w:t>
      </w:r>
      <w:r w:rsidR="008A4718" w:rsidRPr="00FA1389">
        <w:t xml:space="preserve">avsevärt </w:t>
      </w:r>
      <w:r w:rsidRPr="00FA1389">
        <w:t>större utrymme a</w:t>
      </w:r>
      <w:r w:rsidR="008A4718" w:rsidRPr="00FA1389">
        <w:t>tt utforma lagstiftningen</w:t>
      </w:r>
      <w:r w:rsidR="00241978" w:rsidRPr="00FA1389">
        <w:t xml:space="preserve"> på ett enklare sätt än i dag</w:t>
      </w:r>
      <w:r w:rsidR="008A4718" w:rsidRPr="00FA1389">
        <w:t xml:space="preserve">, t.ex. i fråga om små aktiebolag. </w:t>
      </w:r>
      <w:r w:rsidR="00A811E9" w:rsidRPr="00FA1389">
        <w:t>Även skattelagstiftning och tullagstiftning kan komma att påverkas</w:t>
      </w:r>
      <w:r w:rsidR="00522833" w:rsidRPr="00FA1389">
        <w:t>, liksom regelverket för de finansi</w:t>
      </w:r>
      <w:r w:rsidR="00522833" w:rsidRPr="00FA1389">
        <w:softHyphen/>
        <w:t>ella företagen</w:t>
      </w:r>
      <w:r w:rsidR="00A811E9" w:rsidRPr="00FA1389">
        <w:t>.</w:t>
      </w:r>
    </w:p>
    <w:p w:rsidR="00093647" w:rsidRPr="00FA1389" w:rsidRDefault="00093647" w:rsidP="00093647">
      <w:r w:rsidRPr="00FA1389">
        <w:t>Regeringen har gett en särskild utredare i uppdrag att föreslå de lagändringar som krävs för att ta bort revisionsplikten för små företag. En annan utredare har getts uppdraget att föreslå förenklingar av redovisningsreglerna. Reger</w:t>
      </w:r>
      <w:r w:rsidR="00E10328" w:rsidRPr="00FA1389">
        <w:softHyphen/>
      </w:r>
      <w:r w:rsidRPr="00FA1389">
        <w:t>ing</w:t>
      </w:r>
      <w:r w:rsidR="00E10328" w:rsidRPr="00FA1389">
        <w:softHyphen/>
      </w:r>
      <w:r w:rsidRPr="00FA1389">
        <w:t>en har vidare aviserat att den avser att överväga om kapital</w:t>
      </w:r>
      <w:r w:rsidRPr="00FA1389">
        <w:softHyphen/>
        <w:t>krav</w:t>
      </w:r>
      <w:r w:rsidRPr="00FA1389">
        <w:softHyphen/>
        <w:t>et för små aktie</w:t>
      </w:r>
      <w:r w:rsidRPr="00FA1389">
        <w:softHyphen/>
        <w:t>bolag bör sänkas och om det bör tillskapas en ny företagsform utan personligt ansvar avsedd för bedriv</w:t>
      </w:r>
      <w:r w:rsidRPr="00FA1389">
        <w:softHyphen/>
        <w:t>ande av näringsverksamhet av mindre omfattning (se prop. 2006/07:1, utg.omr. 24, s. 27). Det finns också plan</w:t>
      </w:r>
      <w:r w:rsidRPr="00FA1389">
        <w:softHyphen/>
        <w:t>er på att ge en utredare i upp</w:t>
      </w:r>
      <w:r w:rsidRPr="00FA1389">
        <w:softHyphen/>
        <w:t>drag att göra en översyn av lagen om ekon</w:t>
      </w:r>
      <w:r w:rsidRPr="00FA1389">
        <w:softHyphen/>
        <w:t>om</w:t>
      </w:r>
      <w:r w:rsidRPr="00FA1389">
        <w:softHyphen/>
        <w:t>iska fören</w:t>
      </w:r>
      <w:r w:rsidR="00E10328" w:rsidRPr="00FA1389">
        <w:softHyphen/>
      </w:r>
      <w:r w:rsidRPr="00FA1389">
        <w:t>ingar.</w:t>
      </w:r>
    </w:p>
    <w:p w:rsidR="008D7ABE" w:rsidRPr="00FA1389" w:rsidRDefault="008D7ABE">
      <w:pPr>
        <w:pStyle w:val="Rubrik2"/>
      </w:pPr>
      <w:r w:rsidRPr="00FA1389">
        <w:t>Budgetära konsekvenser</w:t>
      </w:r>
    </w:p>
    <w:p w:rsidR="008D7ABE" w:rsidRPr="00FA1389" w:rsidRDefault="004F2658">
      <w:r w:rsidRPr="00FA1389">
        <w:t>Om de åtgärder som övervägs i meddelandet genomförs uppkommer budget</w:t>
      </w:r>
      <w:r w:rsidR="00C64EB5" w:rsidRPr="00FA1389">
        <w:softHyphen/>
      </w:r>
      <w:r w:rsidRPr="00FA1389">
        <w:t>ära konsekvenser för Bolagsverket</w:t>
      </w:r>
      <w:r w:rsidR="00D668E3" w:rsidRPr="00FA1389">
        <w:t>. Troligen gäller detta även för Skatte</w:t>
      </w:r>
      <w:r w:rsidR="00C64EB5" w:rsidRPr="00FA1389">
        <w:softHyphen/>
      </w:r>
      <w:r w:rsidR="00D668E3" w:rsidRPr="00FA1389">
        <w:t>verk</w:t>
      </w:r>
      <w:r w:rsidR="00C64EB5" w:rsidRPr="00FA1389">
        <w:softHyphen/>
      </w:r>
      <w:r w:rsidR="00D668E3" w:rsidRPr="00FA1389">
        <w:t>et och Bokföringsnämnden</w:t>
      </w:r>
      <w:r w:rsidRPr="00FA1389">
        <w:t xml:space="preserve">. </w:t>
      </w:r>
    </w:p>
    <w:p w:rsidR="008D7ABE" w:rsidRPr="00FA1389" w:rsidRDefault="008D7ABE">
      <w:pPr>
        <w:pStyle w:val="Rubrik1"/>
      </w:pPr>
      <w:r w:rsidRPr="00FA1389">
        <w:t>Ståndpunkter</w:t>
      </w:r>
    </w:p>
    <w:p w:rsidR="008D7ABE" w:rsidRPr="00FA1389" w:rsidRDefault="008D7ABE" w:rsidP="00AF3AC9">
      <w:pPr>
        <w:pStyle w:val="Rubrik2"/>
        <w:spacing w:before="240"/>
      </w:pPr>
      <w:r w:rsidRPr="00FA1389">
        <w:t>Svensk ståndpunkt</w:t>
      </w:r>
    </w:p>
    <w:p w:rsidR="00717011" w:rsidRPr="00FA1389" w:rsidRDefault="00E10328" w:rsidP="00717011">
      <w:r w:rsidRPr="00FA1389">
        <w:t>Regeringen</w:t>
      </w:r>
      <w:r w:rsidR="00717011" w:rsidRPr="00FA1389">
        <w:t xml:space="preserve"> anser att </w:t>
      </w:r>
      <w:r w:rsidR="00093647" w:rsidRPr="00FA1389">
        <w:t xml:space="preserve">kommissionens </w:t>
      </w:r>
      <w:r w:rsidR="00717011" w:rsidRPr="00FA1389">
        <w:t xml:space="preserve">meddelande </w:t>
      </w:r>
      <w:r w:rsidR="00241978" w:rsidRPr="00FA1389">
        <w:t xml:space="preserve">har en </w:t>
      </w:r>
      <w:r w:rsidR="00717011" w:rsidRPr="00FA1389">
        <w:t xml:space="preserve">mycket bra </w:t>
      </w:r>
      <w:r w:rsidR="00241978" w:rsidRPr="00FA1389">
        <w:t>inrikt</w:t>
      </w:r>
      <w:r w:rsidR="00093647" w:rsidRPr="00FA1389">
        <w:softHyphen/>
      </w:r>
      <w:r w:rsidR="00241978" w:rsidRPr="00FA1389">
        <w:t>ning</w:t>
      </w:r>
      <w:r w:rsidR="00093647" w:rsidRPr="00FA1389">
        <w:t>.</w:t>
      </w:r>
      <w:r w:rsidR="00241978" w:rsidRPr="00FA1389">
        <w:t xml:space="preserve"> </w:t>
      </w:r>
      <w:r w:rsidR="00093647" w:rsidRPr="00FA1389">
        <w:t>Ett omfattande lagstiftningsarbete med samma inriktning som med</w:t>
      </w:r>
      <w:r w:rsidR="00F64626" w:rsidRPr="00FA1389">
        <w:softHyphen/>
      </w:r>
      <w:r w:rsidR="00093647" w:rsidRPr="00FA1389">
        <w:t>delande</w:t>
      </w:r>
      <w:r w:rsidR="00F64626" w:rsidRPr="00FA1389">
        <w:t>t</w:t>
      </w:r>
      <w:r w:rsidR="00093647" w:rsidRPr="00FA1389">
        <w:t xml:space="preserve"> har </w:t>
      </w:r>
      <w:r w:rsidRPr="00FA1389">
        <w:t xml:space="preserve">som tidigare nämnts </w:t>
      </w:r>
      <w:r w:rsidR="00093647" w:rsidRPr="00FA1389">
        <w:t>redan inletts</w:t>
      </w:r>
      <w:r w:rsidR="00664929" w:rsidRPr="00FA1389">
        <w:t xml:space="preserve"> i Sverige</w:t>
      </w:r>
      <w:r w:rsidR="00093647" w:rsidRPr="00FA1389">
        <w:t xml:space="preserve">. </w:t>
      </w:r>
      <w:r w:rsidRPr="00FA1389">
        <w:t>Med</w:t>
      </w:r>
      <w:r w:rsidRPr="00FA1389">
        <w:softHyphen/>
        <w:t>del</w:t>
      </w:r>
      <w:r w:rsidR="00F64626" w:rsidRPr="00FA1389">
        <w:softHyphen/>
      </w:r>
      <w:r w:rsidRPr="00FA1389">
        <w:t>an</w:t>
      </w:r>
      <w:r w:rsidR="00F64626" w:rsidRPr="00FA1389">
        <w:softHyphen/>
      </w:r>
      <w:r w:rsidRPr="00FA1389">
        <w:t>det</w:t>
      </w:r>
      <w:r w:rsidR="00093647" w:rsidRPr="00FA1389">
        <w:t xml:space="preserve"> är en utmärkt utgångspunkt för en diskussion om hur de bolags</w:t>
      </w:r>
      <w:r w:rsidRPr="00FA1389">
        <w:softHyphen/>
      </w:r>
      <w:r w:rsidR="00093647" w:rsidRPr="00FA1389">
        <w:t>rättsliga direkt</w:t>
      </w:r>
      <w:r w:rsidR="00093647" w:rsidRPr="00FA1389">
        <w:softHyphen/>
        <w:t xml:space="preserve">iven kan reformeras med en minskning av aktiebolagens administrativa börda som mål. </w:t>
      </w:r>
      <w:r w:rsidRPr="00FA1389">
        <w:t>Regeringen</w:t>
      </w:r>
      <w:r w:rsidR="00717011" w:rsidRPr="00FA1389">
        <w:t xml:space="preserve"> välkomnar också kommissionens fokus på påvis</w:t>
      </w:r>
      <w:r w:rsidR="00664929" w:rsidRPr="00FA1389">
        <w:softHyphen/>
      </w:r>
      <w:r w:rsidR="00717011" w:rsidRPr="00FA1389">
        <w:t>bara gräns</w:t>
      </w:r>
      <w:r w:rsidR="00717011" w:rsidRPr="00FA1389">
        <w:softHyphen/>
        <w:t>över</w:t>
      </w:r>
      <w:r w:rsidR="00F64626" w:rsidRPr="00FA1389">
        <w:softHyphen/>
      </w:r>
      <w:r w:rsidR="00717011" w:rsidRPr="00FA1389">
        <w:t>skridande problem. En reform av direktiven skapar förut</w:t>
      </w:r>
      <w:r w:rsidR="00664929" w:rsidRPr="00FA1389">
        <w:softHyphen/>
      </w:r>
      <w:r w:rsidR="00717011" w:rsidRPr="00FA1389">
        <w:t>sätt</w:t>
      </w:r>
      <w:r w:rsidR="00664929" w:rsidRPr="00FA1389">
        <w:softHyphen/>
      </w:r>
      <w:r w:rsidR="00717011" w:rsidRPr="00FA1389">
        <w:t>ning</w:t>
      </w:r>
      <w:r w:rsidR="00664929" w:rsidRPr="00FA1389">
        <w:softHyphen/>
      </w:r>
      <w:r w:rsidR="00717011" w:rsidRPr="00FA1389">
        <w:t>ar för en modernare nationell bolagsrätt som ger ett större utrymme för flexibla lös</w:t>
      </w:r>
      <w:r w:rsidRPr="00FA1389">
        <w:softHyphen/>
      </w:r>
      <w:r w:rsidR="00717011" w:rsidRPr="00FA1389">
        <w:t>ningar. Att göra det enklare för aktiebolagen – både när det gäller affärs</w:t>
      </w:r>
      <w:r w:rsidR="001F4006" w:rsidRPr="00FA1389">
        <w:softHyphen/>
      </w:r>
      <w:r w:rsidR="00717011" w:rsidRPr="00FA1389">
        <w:t>verk</w:t>
      </w:r>
      <w:r w:rsidR="001F4006" w:rsidRPr="00FA1389">
        <w:softHyphen/>
      </w:r>
      <w:r w:rsidR="00717011" w:rsidRPr="00FA1389">
        <w:t>samhet inom en med</w:t>
      </w:r>
      <w:r w:rsidR="00717011" w:rsidRPr="00FA1389">
        <w:softHyphen/>
        <w:t>lemsstat och gränsöver</w:t>
      </w:r>
      <w:r w:rsidRPr="00FA1389">
        <w:softHyphen/>
      </w:r>
      <w:r w:rsidR="00717011" w:rsidRPr="00FA1389">
        <w:t>skrid</w:t>
      </w:r>
      <w:r w:rsidRPr="00FA1389">
        <w:softHyphen/>
      </w:r>
      <w:r w:rsidR="00717011" w:rsidRPr="00FA1389">
        <w:t>ande affärs</w:t>
      </w:r>
      <w:r w:rsidR="00664929" w:rsidRPr="00FA1389">
        <w:softHyphen/>
      </w:r>
      <w:r w:rsidR="00717011" w:rsidRPr="00FA1389">
        <w:t>verk</w:t>
      </w:r>
      <w:r w:rsidR="00664929" w:rsidRPr="00FA1389">
        <w:softHyphen/>
      </w:r>
      <w:r w:rsidR="00717011" w:rsidRPr="00FA1389">
        <w:t>sam</w:t>
      </w:r>
      <w:r w:rsidR="00664929" w:rsidRPr="00FA1389">
        <w:softHyphen/>
      </w:r>
      <w:r w:rsidR="00717011" w:rsidRPr="00FA1389">
        <w:t>het – bör vara högsta prioritet i EU-arbetet på bolags</w:t>
      </w:r>
      <w:r w:rsidR="00717011" w:rsidRPr="00FA1389">
        <w:softHyphen/>
        <w:t>rätt</w:t>
      </w:r>
      <w:r w:rsidR="00717011" w:rsidRPr="00FA1389">
        <w:softHyphen/>
        <w:t>ens område.</w:t>
      </w:r>
    </w:p>
    <w:p w:rsidR="00570F07" w:rsidRPr="00FA1389" w:rsidRDefault="00E10328" w:rsidP="00717011">
      <w:r w:rsidRPr="00FA1389">
        <w:t>Regeringen</w:t>
      </w:r>
      <w:r w:rsidR="00B73B3A" w:rsidRPr="00FA1389">
        <w:t xml:space="preserve"> stöder </w:t>
      </w:r>
      <w:r w:rsidR="00522833" w:rsidRPr="00FA1389">
        <w:t xml:space="preserve">allmänt sett </w:t>
      </w:r>
      <w:r w:rsidR="00B73B3A" w:rsidRPr="00FA1389">
        <w:t>arbetets inriktning även i fråga om redo</w:t>
      </w:r>
      <w:r w:rsidRPr="00FA1389">
        <w:softHyphen/>
      </w:r>
      <w:r w:rsidR="00B73B3A" w:rsidRPr="00FA1389">
        <w:t>vis</w:t>
      </w:r>
      <w:r w:rsidRPr="00FA1389">
        <w:softHyphen/>
      </w:r>
      <w:r w:rsidR="00B73B3A" w:rsidRPr="00FA1389">
        <w:t>nings- och revi</w:t>
      </w:r>
      <w:r w:rsidR="00C64EB5" w:rsidRPr="00FA1389">
        <w:softHyphen/>
      </w:r>
      <w:r w:rsidR="00B73B3A" w:rsidRPr="00FA1389">
        <w:t>sions</w:t>
      </w:r>
      <w:r w:rsidR="00C64EB5" w:rsidRPr="00FA1389">
        <w:softHyphen/>
      </w:r>
      <w:r w:rsidR="00B73B3A" w:rsidRPr="00FA1389">
        <w:t>områdena.</w:t>
      </w:r>
      <w:r w:rsidR="003F62AE" w:rsidRPr="00FA1389">
        <w:t xml:space="preserve"> </w:t>
      </w:r>
      <w:r w:rsidR="00522833" w:rsidRPr="00FA1389">
        <w:t>De gränsvärden som skisseras i meddelandet kan behöva diskuteras ytterligare.</w:t>
      </w:r>
    </w:p>
    <w:p w:rsidR="00571534" w:rsidRPr="00FA1389" w:rsidRDefault="00717011" w:rsidP="00717011">
      <w:r w:rsidRPr="00FA1389">
        <w:t>Det är i dag för tidigt att inta en slutlig svensk ståndpunkt avse</w:t>
      </w:r>
      <w:r w:rsidRPr="00FA1389">
        <w:softHyphen/>
        <w:t>ende de enskilda idéerna i meddelande</w:t>
      </w:r>
      <w:r w:rsidR="00AC4DCD" w:rsidRPr="00FA1389">
        <w:t>t</w:t>
      </w:r>
      <w:r w:rsidRPr="00FA1389">
        <w:t xml:space="preserve">. </w:t>
      </w:r>
      <w:r w:rsidR="00B73B3A" w:rsidRPr="00FA1389">
        <w:t>Bl.a. finns det skäl att invänta resultatet av en pågående studie av alternativ till det system för kapitalskydd som ligger till grund för kapital</w:t>
      </w:r>
      <w:r w:rsidR="00B73B3A" w:rsidRPr="00FA1389">
        <w:softHyphen/>
        <w:t xml:space="preserve">direktivet. </w:t>
      </w:r>
      <w:r w:rsidRPr="00FA1389">
        <w:t>Det är mycket ange</w:t>
      </w:r>
      <w:r w:rsidRPr="00FA1389">
        <w:softHyphen/>
        <w:t>läget att kom</w:t>
      </w:r>
      <w:r w:rsidR="00571534" w:rsidRPr="00FA1389">
        <w:softHyphen/>
      </w:r>
      <w:r w:rsidRPr="00FA1389">
        <w:t>mis</w:t>
      </w:r>
      <w:r w:rsidR="00571534" w:rsidRPr="00FA1389">
        <w:softHyphen/>
      </w:r>
      <w:r w:rsidRPr="00FA1389">
        <w:t>sionen nu gör en konsekvensanalys</w:t>
      </w:r>
      <w:r w:rsidR="00241978" w:rsidRPr="00FA1389">
        <w:t>,</w:t>
      </w:r>
      <w:r w:rsidRPr="00FA1389">
        <w:t xml:space="preserve"> något som förutskickas i med</w:t>
      </w:r>
      <w:r w:rsidR="00571534" w:rsidRPr="00FA1389">
        <w:softHyphen/>
      </w:r>
      <w:r w:rsidRPr="00FA1389">
        <w:t>del</w:t>
      </w:r>
      <w:r w:rsidR="00571534" w:rsidRPr="00FA1389">
        <w:softHyphen/>
      </w:r>
      <w:r w:rsidRPr="00FA1389">
        <w:t>an</w:t>
      </w:r>
      <w:r w:rsidR="00571534" w:rsidRPr="00FA1389">
        <w:softHyphen/>
      </w:r>
      <w:r w:rsidRPr="00FA1389">
        <w:t>det</w:t>
      </w:r>
      <w:r w:rsidR="00241978" w:rsidRPr="00FA1389">
        <w:t>, för att klar</w:t>
      </w:r>
      <w:r w:rsidR="001F4006" w:rsidRPr="00FA1389">
        <w:softHyphen/>
      </w:r>
      <w:r w:rsidR="00241978" w:rsidRPr="00FA1389">
        <w:t>göra bl.a. i</w:t>
      </w:r>
      <w:r w:rsidRPr="00FA1389">
        <w:t xml:space="preserve"> vilken mån den gemensamma E</w:t>
      </w:r>
      <w:r w:rsidR="00AC4DCD" w:rsidRPr="00FA1389">
        <w:t>G</w:t>
      </w:r>
      <w:r w:rsidRPr="00FA1389">
        <w:t>-regleringen på de aktuella områd</w:t>
      </w:r>
      <w:r w:rsidR="001F4006" w:rsidRPr="00FA1389">
        <w:softHyphen/>
      </w:r>
      <w:r w:rsidRPr="00FA1389">
        <w:t xml:space="preserve">ena </w:t>
      </w:r>
      <w:r w:rsidR="00241978" w:rsidRPr="00FA1389">
        <w:t xml:space="preserve">bidrar </w:t>
      </w:r>
      <w:r w:rsidRPr="00FA1389">
        <w:t>till att främja omsättningen (minsk</w:t>
      </w:r>
      <w:r w:rsidR="00D64280" w:rsidRPr="00FA1389">
        <w:softHyphen/>
      </w:r>
      <w:r w:rsidRPr="00FA1389">
        <w:t>ade transak</w:t>
      </w:r>
      <w:r w:rsidR="001F4006" w:rsidRPr="00FA1389">
        <w:softHyphen/>
      </w:r>
      <w:r w:rsidRPr="00FA1389">
        <w:t>tions</w:t>
      </w:r>
      <w:r w:rsidR="001F4006" w:rsidRPr="00FA1389">
        <w:softHyphen/>
      </w:r>
      <w:r w:rsidRPr="00FA1389">
        <w:t>kost</w:t>
      </w:r>
      <w:r w:rsidR="001F4006" w:rsidRPr="00FA1389">
        <w:softHyphen/>
      </w:r>
      <w:r w:rsidRPr="00FA1389">
        <w:t>nad</w:t>
      </w:r>
      <w:r w:rsidR="001F4006" w:rsidRPr="00FA1389">
        <w:softHyphen/>
      </w:r>
      <w:r w:rsidRPr="00FA1389">
        <w:t>er)</w:t>
      </w:r>
      <w:r w:rsidR="00241978" w:rsidRPr="00FA1389">
        <w:t>.</w:t>
      </w:r>
      <w:r w:rsidRPr="00FA1389">
        <w:t xml:space="preserve"> Det är inte givet att ett borttagande av regler på EU-nivå leder till lätt</w:t>
      </w:r>
      <w:r w:rsidR="001F4006" w:rsidRPr="00FA1389">
        <w:softHyphen/>
      </w:r>
      <w:r w:rsidRPr="00FA1389">
        <w:t>nad</w:t>
      </w:r>
      <w:r w:rsidR="001F4006" w:rsidRPr="00FA1389">
        <w:softHyphen/>
      </w:r>
      <w:r w:rsidRPr="00FA1389">
        <w:t>er för företagen. På nationell nivå torde allt</w:t>
      </w:r>
      <w:r w:rsidR="00D64280" w:rsidRPr="00FA1389">
        <w:softHyphen/>
      </w:r>
      <w:r w:rsidRPr="00FA1389">
        <w:t>jämt krävas regler på de aktu</w:t>
      </w:r>
      <w:r w:rsidR="001F4006" w:rsidRPr="00FA1389">
        <w:softHyphen/>
      </w:r>
      <w:r w:rsidRPr="00FA1389">
        <w:t xml:space="preserve">ella områdena. </w:t>
      </w:r>
      <w:r w:rsidR="00241978" w:rsidRPr="00FA1389">
        <w:t>Frågan om man, som kom</w:t>
      </w:r>
      <w:r w:rsidR="00D64280" w:rsidRPr="00FA1389">
        <w:softHyphen/>
      </w:r>
      <w:r w:rsidR="00241978" w:rsidRPr="00FA1389">
        <w:t>mis</w:t>
      </w:r>
      <w:r w:rsidR="00D64280" w:rsidRPr="00FA1389">
        <w:softHyphen/>
      </w:r>
      <w:r w:rsidR="00241978" w:rsidRPr="00FA1389">
        <w:t>sionen är inne på, helt bör upp</w:t>
      </w:r>
      <w:r w:rsidR="001F4006" w:rsidRPr="00FA1389">
        <w:softHyphen/>
      </w:r>
      <w:r w:rsidR="00241978" w:rsidRPr="00FA1389">
        <w:t>häva fyra direktiv kräver därför ytterligare över</w:t>
      </w:r>
      <w:r w:rsidR="00D64280" w:rsidRPr="00FA1389">
        <w:softHyphen/>
      </w:r>
      <w:r w:rsidR="00241978" w:rsidRPr="00FA1389">
        <w:t xml:space="preserve">väganden. </w:t>
      </w:r>
      <w:r w:rsidR="00522833" w:rsidRPr="00FA1389">
        <w:t>Meddelandet väcker även frågor om vad som bör gälla för de finansiella företagen.</w:t>
      </w:r>
    </w:p>
    <w:p w:rsidR="00571534" w:rsidRPr="00FA1389" w:rsidRDefault="00717011" w:rsidP="003F62AE">
      <w:r w:rsidRPr="00FA1389">
        <w:t>Ett centralt svenskt intresse är att eventuella förändringar av de bolags</w:t>
      </w:r>
      <w:r w:rsidRPr="00FA1389">
        <w:softHyphen/>
        <w:t>rätts</w:t>
      </w:r>
      <w:r w:rsidR="00571534" w:rsidRPr="00FA1389">
        <w:softHyphen/>
      </w:r>
      <w:r w:rsidRPr="00FA1389">
        <w:t>liga direkt</w:t>
      </w:r>
      <w:r w:rsidRPr="00FA1389">
        <w:softHyphen/>
        <w:t>iven inte lägger hinder i vägen för den gemensamma inre mark</w:t>
      </w:r>
      <w:r w:rsidRPr="00FA1389">
        <w:softHyphen/>
        <w:t>nad</w:t>
      </w:r>
      <w:r w:rsidRPr="00FA1389">
        <w:softHyphen/>
        <w:t>en</w:t>
      </w:r>
      <w:r w:rsidR="00522833" w:rsidRPr="00FA1389">
        <w:t xml:space="preserve"> eller skada förtroendet för näringslivet</w:t>
      </w:r>
      <w:r w:rsidRPr="00FA1389">
        <w:t>.</w:t>
      </w:r>
      <w:r w:rsidR="00571534" w:rsidRPr="00FA1389">
        <w:t xml:space="preserve"> </w:t>
      </w:r>
      <w:r w:rsidRPr="00FA1389">
        <w:t>Det kan tilläggas att EG-domstol</w:t>
      </w:r>
      <w:r w:rsidR="00D64280" w:rsidRPr="00FA1389">
        <w:softHyphen/>
      </w:r>
      <w:r w:rsidRPr="00FA1389">
        <w:t>ens praxis i princip förutsätter att det finns kompatibla regelverk i medlems</w:t>
      </w:r>
      <w:r w:rsidR="00D64280" w:rsidRPr="00FA1389">
        <w:softHyphen/>
      </w:r>
      <w:r w:rsidRPr="00FA1389">
        <w:t>stat</w:t>
      </w:r>
      <w:r w:rsidR="00D64280" w:rsidRPr="00FA1389">
        <w:softHyphen/>
      </w:r>
      <w:r w:rsidRPr="00FA1389">
        <w:t>erna (det måste t.ex. gå att genom</w:t>
      </w:r>
      <w:r w:rsidR="00571534" w:rsidRPr="00FA1389">
        <w:softHyphen/>
      </w:r>
      <w:r w:rsidRPr="00FA1389">
        <w:t>föra en fusion mellan två bolag med hem</w:t>
      </w:r>
      <w:r w:rsidR="00D64280" w:rsidRPr="00FA1389">
        <w:softHyphen/>
      </w:r>
      <w:r w:rsidRPr="00FA1389">
        <w:t>vist i olika medlemsstater).</w:t>
      </w:r>
      <w:r w:rsidR="00571534" w:rsidRPr="00FA1389">
        <w:t xml:space="preserve"> </w:t>
      </w:r>
    </w:p>
    <w:p w:rsidR="003F62AE" w:rsidRPr="00FA1389" w:rsidRDefault="00571534" w:rsidP="003F62AE">
      <w:r w:rsidRPr="00FA1389">
        <w:t>En utgångspunkt för förenklingsarbetet både nationellt och inom EU bör vid</w:t>
      </w:r>
      <w:r w:rsidRPr="00FA1389">
        <w:softHyphen/>
        <w:t>are vara att företagens administr</w:t>
      </w:r>
      <w:r w:rsidRPr="00FA1389">
        <w:softHyphen/>
        <w:t>at</w:t>
      </w:r>
      <w:r w:rsidRPr="00FA1389">
        <w:softHyphen/>
        <w:t>iva börda ska minskas så långt det är möj</w:t>
      </w:r>
      <w:r w:rsidRPr="00FA1389">
        <w:softHyphen/>
        <w:t>ligt utan att andra viktiga intressen som t.ex. skyddet för företagens borg</w:t>
      </w:r>
      <w:r w:rsidRPr="00FA1389">
        <w:softHyphen/>
        <w:t>en</w:t>
      </w:r>
      <w:r w:rsidRPr="00FA1389">
        <w:softHyphen/>
        <w:t>ärer, skattekontrollen och bekämpandet av ekon</w:t>
      </w:r>
      <w:r w:rsidRPr="00FA1389">
        <w:softHyphen/>
        <w:t>om</w:t>
      </w:r>
      <w:r w:rsidRPr="00FA1389">
        <w:softHyphen/>
        <w:t>isk brottslighet efter</w:t>
      </w:r>
      <w:r w:rsidRPr="00FA1389">
        <w:softHyphen/>
        <w:t xml:space="preserve">sätts. Den konsekvensanalys som </w:t>
      </w:r>
      <w:r w:rsidR="00AC2B56" w:rsidRPr="00FA1389">
        <w:t xml:space="preserve">efterfrågas </w:t>
      </w:r>
      <w:r w:rsidRPr="00FA1389">
        <w:t>ovan bör ta sikte även på sådana intr</w:t>
      </w:r>
      <w:r w:rsidRPr="00FA1389">
        <w:softHyphen/>
        <w:t>essen.</w:t>
      </w:r>
    </w:p>
    <w:p w:rsidR="008D7ABE" w:rsidRPr="00FA1389" w:rsidRDefault="008D7ABE">
      <w:pPr>
        <w:pStyle w:val="Rubrik2"/>
      </w:pPr>
      <w:r w:rsidRPr="00FA1389">
        <w:t>Medlemsstaternas ståndpunkter</w:t>
      </w:r>
    </w:p>
    <w:p w:rsidR="008D7ABE" w:rsidRPr="00FA1389" w:rsidRDefault="00C10631">
      <w:r w:rsidRPr="00FA1389">
        <w:t>Vid de</w:t>
      </w:r>
      <w:r w:rsidR="00BF592B" w:rsidRPr="00FA1389">
        <w:t>t</w:t>
      </w:r>
      <w:r w:rsidRPr="00FA1389">
        <w:t xml:space="preserve"> samråd som kommissionen har haft med medlemsstaterna inför antag</w:t>
      </w:r>
      <w:r w:rsidR="00D64280" w:rsidRPr="00FA1389">
        <w:softHyphen/>
      </w:r>
      <w:r w:rsidRPr="00FA1389">
        <w:t xml:space="preserve">andet av meddelandet har </w:t>
      </w:r>
      <w:r w:rsidR="00717011" w:rsidRPr="00FA1389">
        <w:t>flertalet medlemsstater välkomnat kom</w:t>
      </w:r>
      <w:r w:rsidR="00C64EB5" w:rsidRPr="00FA1389">
        <w:softHyphen/>
      </w:r>
      <w:r w:rsidR="00717011" w:rsidRPr="00FA1389">
        <w:t>mis</w:t>
      </w:r>
      <w:r w:rsidR="00C64EB5" w:rsidRPr="00FA1389">
        <w:softHyphen/>
      </w:r>
      <w:r w:rsidR="00717011" w:rsidRPr="00FA1389">
        <w:t>sionens arbete och uttalat att de ser fram emot kommande konkreta lag</w:t>
      </w:r>
      <w:r w:rsidR="00C64EB5" w:rsidRPr="00FA1389">
        <w:softHyphen/>
      </w:r>
      <w:r w:rsidR="00717011" w:rsidRPr="00FA1389">
        <w:t>för</w:t>
      </w:r>
      <w:r w:rsidR="001F4006" w:rsidRPr="00FA1389">
        <w:softHyphen/>
      </w:r>
      <w:r w:rsidR="00717011" w:rsidRPr="00FA1389">
        <w:t>slag. Flera medlemsstater har dock med skärpa uttalat att kommis</w:t>
      </w:r>
      <w:r w:rsidR="00C64EB5" w:rsidRPr="00FA1389">
        <w:softHyphen/>
      </w:r>
      <w:r w:rsidR="00717011" w:rsidRPr="00FA1389">
        <w:t>sion</w:t>
      </w:r>
      <w:r w:rsidR="00C64EB5" w:rsidRPr="00FA1389">
        <w:softHyphen/>
      </w:r>
      <w:r w:rsidR="00717011" w:rsidRPr="00FA1389">
        <w:t xml:space="preserve">ens förenklingssträvanden inte får </w:t>
      </w:r>
      <w:r w:rsidR="001C07D1" w:rsidRPr="00FA1389">
        <w:t xml:space="preserve">leda till </w:t>
      </w:r>
      <w:r w:rsidR="00717011" w:rsidRPr="00FA1389">
        <w:t xml:space="preserve">att den </w:t>
      </w:r>
      <w:r w:rsidR="001C07D1" w:rsidRPr="00FA1389">
        <w:t>inre marknadens funk</w:t>
      </w:r>
      <w:r w:rsidR="00C64EB5" w:rsidRPr="00FA1389">
        <w:softHyphen/>
      </w:r>
      <w:r w:rsidR="001C07D1" w:rsidRPr="00FA1389">
        <w:t>tion försämras.</w:t>
      </w:r>
    </w:p>
    <w:p w:rsidR="008D7ABE" w:rsidRPr="00FA1389" w:rsidRDefault="008D7ABE">
      <w:pPr>
        <w:pStyle w:val="Rubrik2"/>
      </w:pPr>
      <w:r w:rsidRPr="00FA1389">
        <w:t>Institutionernas ståndpunkter</w:t>
      </w:r>
    </w:p>
    <w:p w:rsidR="00AA2DE0" w:rsidRPr="00FA1389" w:rsidRDefault="00AA2DE0" w:rsidP="00AA2DE0">
      <w:r w:rsidRPr="00FA1389">
        <w:t>Någon inställning från rådet eller Europaparlamentet finns ännu inte.</w:t>
      </w:r>
    </w:p>
    <w:p w:rsidR="008D7ABE" w:rsidRPr="00FA1389" w:rsidRDefault="008D7ABE">
      <w:pPr>
        <w:pStyle w:val="Rubrik2"/>
      </w:pPr>
      <w:r w:rsidRPr="00FA1389">
        <w:t>Remissinstansernas ståndpunkter</w:t>
      </w:r>
    </w:p>
    <w:p w:rsidR="008D7ABE" w:rsidRPr="00FA1389" w:rsidRDefault="008F64B4">
      <w:r w:rsidRPr="00FA1389">
        <w:t>Justitiedepar</w:t>
      </w:r>
      <w:r w:rsidR="001C07D1" w:rsidRPr="00FA1389">
        <w:t xml:space="preserve">tementet har inbjudit </w:t>
      </w:r>
      <w:r w:rsidR="00AA2DE0" w:rsidRPr="00FA1389">
        <w:t>berörda myndigheter och organisationer att lämna synpunkter på meddelandet senast den 17 september 2007.</w:t>
      </w:r>
    </w:p>
    <w:p w:rsidR="00C10631" w:rsidRPr="00FA1389" w:rsidRDefault="00AA2DE0" w:rsidP="00A47A27">
      <w:r w:rsidRPr="00FA1389">
        <w:t xml:space="preserve">Med utgångspunkt i tidigare distribuerade utkast till meddelandets olika delar har samråd ägt rum med </w:t>
      </w:r>
      <w:r w:rsidR="00A47A27" w:rsidRPr="00FA1389">
        <w:t xml:space="preserve">myndigheter och organisationer. </w:t>
      </w:r>
      <w:r w:rsidR="008F76A0" w:rsidRPr="00FA1389">
        <w:t>S</w:t>
      </w:r>
      <w:r w:rsidR="00A47A27" w:rsidRPr="00FA1389">
        <w:t xml:space="preserve">amrådsmöten har hållits. Vid samrådet </w:t>
      </w:r>
      <w:r w:rsidR="008F76A0" w:rsidRPr="00FA1389">
        <w:t xml:space="preserve">i fråga om tänkbara åtgärder på bolagsrättens område </w:t>
      </w:r>
      <w:r w:rsidR="00A47A27" w:rsidRPr="00FA1389">
        <w:t>har företrädare för näringslivet uttalat stöd för kommissionens arbete och anfört att utrymmet för flexibla nationella lösningar ökar</w:t>
      </w:r>
      <w:r w:rsidR="00C15AAC" w:rsidRPr="00FA1389">
        <w:t xml:space="preserve"> om förslagen genom</w:t>
      </w:r>
      <w:r w:rsidR="00C64EB5" w:rsidRPr="00FA1389">
        <w:softHyphen/>
      </w:r>
      <w:r w:rsidR="00C15AAC" w:rsidRPr="00FA1389">
        <w:t>förs</w:t>
      </w:r>
      <w:r w:rsidR="00A47A27" w:rsidRPr="00FA1389">
        <w:t xml:space="preserve">. Nämnda företrädare har </w:t>
      </w:r>
      <w:r w:rsidR="008F76A0" w:rsidRPr="00FA1389">
        <w:t xml:space="preserve">emellertid </w:t>
      </w:r>
      <w:r w:rsidR="00A47A27" w:rsidRPr="00FA1389">
        <w:t>påpekat att ett slopande av EG-regler kan leda till ökade transaktionskostnader.</w:t>
      </w:r>
      <w:r w:rsidR="00263FE8" w:rsidRPr="00FA1389">
        <w:t xml:space="preserve"> Kommissionens förslag om att medlemsstaterna ska tillåtas att undanta s.k. mikroföretag från till</w:t>
      </w:r>
      <w:r w:rsidR="00C64EB5" w:rsidRPr="00FA1389">
        <w:softHyphen/>
        <w:t>l</w:t>
      </w:r>
      <w:r w:rsidR="00263FE8" w:rsidRPr="00FA1389">
        <w:t>ämp</w:t>
      </w:r>
      <w:r w:rsidR="00C64EB5" w:rsidRPr="00FA1389">
        <w:softHyphen/>
      </w:r>
      <w:r w:rsidR="00263FE8" w:rsidRPr="00FA1389">
        <w:t>ning av EG:s redovisningsdirektiv har fått remissinstansernas stöd.</w:t>
      </w:r>
    </w:p>
    <w:p w:rsidR="008D7ABE" w:rsidRPr="00FA1389" w:rsidRDefault="008D7ABE">
      <w:pPr>
        <w:pStyle w:val="Rubrik1"/>
      </w:pPr>
      <w:r w:rsidRPr="00FA1389">
        <w:t>Övrigt</w:t>
      </w:r>
    </w:p>
    <w:p w:rsidR="008D7ABE" w:rsidRPr="00FA1389" w:rsidRDefault="008D7ABE" w:rsidP="00AF3AC9">
      <w:pPr>
        <w:pStyle w:val="Rubrik2"/>
        <w:spacing w:before="240"/>
      </w:pPr>
      <w:r w:rsidRPr="00FA1389">
        <w:t>Fortsatt behandling av ärendet</w:t>
      </w:r>
    </w:p>
    <w:p w:rsidR="00AA2DE0" w:rsidRPr="00FA1389" w:rsidRDefault="00A8615E" w:rsidP="00AA2DE0">
      <w:r w:rsidRPr="00FA1389">
        <w:t>K</w:t>
      </w:r>
      <w:r w:rsidR="0088362B" w:rsidRPr="00FA1389">
        <w:t xml:space="preserve">ommissionen har </w:t>
      </w:r>
      <w:r w:rsidR="00657678" w:rsidRPr="00FA1389">
        <w:t>i anslutning till offentliggörande</w:t>
      </w:r>
      <w:r w:rsidR="0088362B" w:rsidRPr="00FA1389">
        <w:t xml:space="preserve"> av meddelandet </w:t>
      </w:r>
      <w:r w:rsidR="00657678" w:rsidRPr="00FA1389">
        <w:t>inbjudit m</w:t>
      </w:r>
      <w:r w:rsidR="0088362B" w:rsidRPr="00FA1389">
        <w:t xml:space="preserve">edlemsstaterna, Europaparlamentet och andra berörda </w:t>
      </w:r>
      <w:r w:rsidR="00657678" w:rsidRPr="00FA1389">
        <w:t>att</w:t>
      </w:r>
      <w:r w:rsidR="0088362B" w:rsidRPr="00FA1389">
        <w:t xml:space="preserve"> lämna synpunkter på meddelandet senast i mitten av oktober. Kommissionen avser att därefter utföra konsekvensanalyser</w:t>
      </w:r>
      <w:r w:rsidR="007172E6" w:rsidRPr="00FA1389">
        <w:t xml:space="preserve">, varvid de pågående mätningarna av företagens administrativa kostnader kommer att beaktas. </w:t>
      </w:r>
      <w:r w:rsidR="0088362B" w:rsidRPr="00FA1389">
        <w:t>Kommissionen har vidare förutskickat att den från och med början av 2008 avser att lägga fram förslag till lagstiftning på de områden som omfattas av meddelandet.</w:t>
      </w:r>
    </w:p>
    <w:p w:rsidR="008F64B4" w:rsidRPr="00FA1389" w:rsidRDefault="008F64B4" w:rsidP="00AA2DE0">
      <w:pPr>
        <w:pStyle w:val="Rubrik2"/>
      </w:pPr>
      <w:r w:rsidRPr="00FA1389">
        <w:t>Rättslig grund och beslutsförfarande</w:t>
      </w:r>
    </w:p>
    <w:p w:rsidR="008F64B4" w:rsidRPr="00FA1389" w:rsidRDefault="00AA2DE0" w:rsidP="008F64B4">
      <w:r w:rsidRPr="00FA1389">
        <w:t>–</w:t>
      </w:r>
    </w:p>
    <w:p w:rsidR="008F64B4" w:rsidRPr="00FA1389" w:rsidRDefault="008F64B4" w:rsidP="00AA2DE0">
      <w:pPr>
        <w:pStyle w:val="Rubrik2"/>
      </w:pPr>
      <w:r w:rsidRPr="00FA1389">
        <w:t>Fackuttryck/termer</w:t>
      </w:r>
    </w:p>
    <w:p w:rsidR="00E51FA5" w:rsidRPr="00FA1389" w:rsidRDefault="00AA2DE0">
      <w:r w:rsidRPr="00FA1389">
        <w:t>–</w:t>
      </w:r>
    </w:p>
    <w:sectPr w:rsidR="00E51FA5" w:rsidRPr="00FA1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BA3" w:rsidRPr="00FA1389" w:rsidRDefault="00301BA3">
      <w:r w:rsidRPr="00FA1389">
        <w:separator/>
      </w:r>
    </w:p>
  </w:endnote>
  <w:endnote w:type="continuationSeparator" w:id="0">
    <w:p w:rsidR="00301BA3" w:rsidRPr="00FA1389" w:rsidRDefault="00301BA3">
      <w:r w:rsidRPr="00FA1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4369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E74805">
    <w:pPr>
      <w:pStyle w:val="SidfotH"/>
      <w:framePr w:wrap="around"/>
    </w:pPr>
    <w:r w:rsidRPr="00FA1389">
      <w:t>5</w:t>
    </w:r>
  </w:p>
  <w:p w:rsidR="0043699C" w:rsidRPr="00FA1389" w:rsidRDefault="004369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301BA3">
    <w:pPr>
      <w:pStyle w:val="SidfotH"/>
      <w:framePr w:wrap="around"/>
    </w:pPr>
    <w:r w:rsidRPr="00FA1389">
      <w:t>1</w:t>
    </w:r>
  </w:p>
  <w:p w:rsidR="0043699C" w:rsidRPr="00FA1389" w:rsidRDefault="004369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BA3" w:rsidRPr="00FA1389" w:rsidRDefault="00301BA3">
      <w:r w:rsidRPr="00FA1389">
        <w:separator/>
      </w:r>
    </w:p>
  </w:footnote>
  <w:footnote w:type="continuationSeparator" w:id="0">
    <w:p w:rsidR="00301BA3" w:rsidRPr="00FA1389" w:rsidRDefault="00301BA3">
      <w:r w:rsidRPr="00FA1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4369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43699C">
    <w:pPr>
      <w:pStyle w:val="Kantrubrik"/>
      <w:framePr w:h="1157" w:hRule="exact" w:wrap="around" w:y="738"/>
    </w:pPr>
    <w:r w:rsidRPr="00FA1389">
      <w:t>2006/07:FPM114</w:t>
    </w:r>
  </w:p>
  <w:p w:rsidR="0043699C" w:rsidRPr="00FA1389" w:rsidRDefault="004369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9C" w:rsidRPr="00FA1389" w:rsidRDefault="00FA1389">
    <w:pPr>
      <w:pStyle w:val="Sidhuvud"/>
    </w:pPr>
    <w:r w:rsidRPr="00FA1389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772162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9C" w:rsidRDefault="0043699C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40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43699C" w:rsidRDefault="0043699C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40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80078407">
    <w:abstractNumId w:val="4"/>
  </w:num>
  <w:num w:numId="2" w16cid:durableId="1857187650">
    <w:abstractNumId w:val="1"/>
  </w:num>
  <w:num w:numId="3" w16cid:durableId="210650519">
    <w:abstractNumId w:val="2"/>
  </w:num>
  <w:num w:numId="4" w16cid:durableId="2070492697">
    <w:abstractNumId w:val="3"/>
  </w:num>
  <w:num w:numId="5" w16cid:durableId="581331765">
    <w:abstractNumId w:val="5"/>
  </w:num>
  <w:num w:numId="6" w16cid:durableId="390731802">
    <w:abstractNumId w:val="0"/>
  </w:num>
  <w:num w:numId="7" w16cid:durableId="1207447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8-27"/>
    <w:docVar w:name="Ar" w:val="2006/07"/>
    <w:docVar w:name="Dep" w:val="Justitiedepartementet"/>
    <w:docVar w:name="DepWeb" w:val="Justitiedepartementet"/>
    <w:docVar w:name="GDB1" w:val="KOM (2007) 394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om ett förenklat företagsklimat på områdena bolagsrätt, redovisning och revision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394 slutlig"/>
    <w:docVar w:name="Nr" w:val="114"/>
    <w:docVar w:name="RD_APPVERSION" w:val="3.00"/>
    <w:docVar w:name="Rub" w:val="Meddelande om regelförenklingar inom bolagsrätt, redovisning och revision"/>
    <w:docVar w:name="UppDat" w:val="2007-08-24"/>
    <w:docVar w:name="Utsk" w:val="Civilutskottet"/>
  </w:docVars>
  <w:rsids>
    <w:rsidRoot w:val="00FA1389"/>
    <w:rsid w:val="00093647"/>
    <w:rsid w:val="000F7188"/>
    <w:rsid w:val="00157253"/>
    <w:rsid w:val="001B66EF"/>
    <w:rsid w:val="001C07D1"/>
    <w:rsid w:val="001D6CB1"/>
    <w:rsid w:val="001E63B0"/>
    <w:rsid w:val="001F4006"/>
    <w:rsid w:val="00241978"/>
    <w:rsid w:val="00247FF1"/>
    <w:rsid w:val="00263FE8"/>
    <w:rsid w:val="00271EE3"/>
    <w:rsid w:val="002C4DD4"/>
    <w:rsid w:val="00301BA3"/>
    <w:rsid w:val="003122A7"/>
    <w:rsid w:val="00351E00"/>
    <w:rsid w:val="003A172A"/>
    <w:rsid w:val="003F62AE"/>
    <w:rsid w:val="00425BD8"/>
    <w:rsid w:val="00432844"/>
    <w:rsid w:val="0043699C"/>
    <w:rsid w:val="004C1C41"/>
    <w:rsid w:val="004F2658"/>
    <w:rsid w:val="0050307E"/>
    <w:rsid w:val="00522833"/>
    <w:rsid w:val="00527FF6"/>
    <w:rsid w:val="00570F07"/>
    <w:rsid w:val="00571534"/>
    <w:rsid w:val="005955B5"/>
    <w:rsid w:val="005B671B"/>
    <w:rsid w:val="005D1635"/>
    <w:rsid w:val="005E740C"/>
    <w:rsid w:val="00651734"/>
    <w:rsid w:val="00657678"/>
    <w:rsid w:val="00664929"/>
    <w:rsid w:val="006A363D"/>
    <w:rsid w:val="006E1B29"/>
    <w:rsid w:val="00711E64"/>
    <w:rsid w:val="00717011"/>
    <w:rsid w:val="007172E6"/>
    <w:rsid w:val="007654F5"/>
    <w:rsid w:val="0079221D"/>
    <w:rsid w:val="007E7C80"/>
    <w:rsid w:val="00843E10"/>
    <w:rsid w:val="0088362B"/>
    <w:rsid w:val="008A38F4"/>
    <w:rsid w:val="008A4718"/>
    <w:rsid w:val="008D1D38"/>
    <w:rsid w:val="008D7ABE"/>
    <w:rsid w:val="008F64B4"/>
    <w:rsid w:val="008F76A0"/>
    <w:rsid w:val="00913B26"/>
    <w:rsid w:val="00916C31"/>
    <w:rsid w:val="0093098E"/>
    <w:rsid w:val="009A69D0"/>
    <w:rsid w:val="00A12BD4"/>
    <w:rsid w:val="00A36A31"/>
    <w:rsid w:val="00A405DF"/>
    <w:rsid w:val="00A47A27"/>
    <w:rsid w:val="00A811E9"/>
    <w:rsid w:val="00A8615E"/>
    <w:rsid w:val="00AA2DE0"/>
    <w:rsid w:val="00AA7169"/>
    <w:rsid w:val="00AC2B56"/>
    <w:rsid w:val="00AC4DCD"/>
    <w:rsid w:val="00AE25EE"/>
    <w:rsid w:val="00AF3AC9"/>
    <w:rsid w:val="00AF4FD8"/>
    <w:rsid w:val="00B124B4"/>
    <w:rsid w:val="00B212D7"/>
    <w:rsid w:val="00B53AD3"/>
    <w:rsid w:val="00B73B3A"/>
    <w:rsid w:val="00B86114"/>
    <w:rsid w:val="00BA69A0"/>
    <w:rsid w:val="00BB2A65"/>
    <w:rsid w:val="00BD192C"/>
    <w:rsid w:val="00BF592B"/>
    <w:rsid w:val="00C10631"/>
    <w:rsid w:val="00C15AAC"/>
    <w:rsid w:val="00C64EB5"/>
    <w:rsid w:val="00D64280"/>
    <w:rsid w:val="00D668E3"/>
    <w:rsid w:val="00DA79FB"/>
    <w:rsid w:val="00DC65E2"/>
    <w:rsid w:val="00E05969"/>
    <w:rsid w:val="00E10328"/>
    <w:rsid w:val="00E51FA5"/>
    <w:rsid w:val="00E53EBE"/>
    <w:rsid w:val="00E74805"/>
    <w:rsid w:val="00EC6F1E"/>
    <w:rsid w:val="00F052DA"/>
    <w:rsid w:val="00F309B4"/>
    <w:rsid w:val="00F313CD"/>
    <w:rsid w:val="00F40D29"/>
    <w:rsid w:val="00F64626"/>
    <w:rsid w:val="00F82E1F"/>
    <w:rsid w:val="00FA1389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4DED91-7432-4BC2-9DF5-FA6F15EE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1120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1409</Words>
  <Characters>8982</Characters>
  <Application>Microsoft Office Word</Application>
  <DocSecurity>4</DocSecurity>
  <Lines>176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FPM_200607__114</vt:lpstr>
    </vt:vector>
  </TitlesOfParts>
  <Company>RD-DTSL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FPM_200607__114</dc:title>
  <dc:subject>FPM_200607__114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2007-08-17T11:48:00Z</cp:lastPrinted>
  <dcterms:created xsi:type="dcterms:W3CDTF">2025-12-17T03:09:00Z</dcterms:created>
  <dcterms:modified xsi:type="dcterms:W3CDTF">2025-12-17T03:09:00Z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114</vt:lpwstr>
  </property>
  <property fmtid="{D5CDD505-2E9C-101B-9397-08002B2CF9AE}" pid="4" name="GDB1">
    <vt:lpwstr>KOM (2007) 394 slutlig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Meddelande om regelförenklingar inom bolagsrätt, redovisning och revision</vt:lpwstr>
  </property>
  <property fmtid="{D5CDD505-2E9C-101B-9397-08002B2CF9AE}" pid="8" name="UppDat">
    <vt:lpwstr>2007-08-24</vt:lpwstr>
  </property>
  <property fmtid="{D5CDD505-2E9C-101B-9397-08002B2CF9AE}" pid="9" name="AnkDat">
    <vt:lpwstr>2007-08-27</vt:lpwstr>
  </property>
  <property fmtid="{D5CDD505-2E9C-101B-9397-08002B2CF9AE}" pid="10" name="Utsk">
    <vt:lpwstr>Civilutskottet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ml1120aa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2;0;0;198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