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4020" w:rsidRPr="0002790A" w:rsidRDefault="009D4020">
      <w:pPr>
        <w:pStyle w:val="Frslagsrubrik"/>
        <w:shd w:val="clear" w:color="000000" w:fill="auto"/>
      </w:pPr>
      <w:r w:rsidRPr="0002790A">
        <w:t>Förslag till riksdagsbeslut</w:t>
      </w:r>
    </w:p>
    <w:p w:rsidR="009D4020" w:rsidRPr="0002790A" w:rsidRDefault="009D4020">
      <w:pPr>
        <w:pStyle w:val="Hemstlatt"/>
        <w:shd w:val="clear" w:color="000000" w:fill="auto"/>
      </w:pPr>
      <w:r w:rsidRPr="0002790A">
        <w:t>Riksdagen tillkännager för regeringen som sin mening vad som anförs i motionen om en ändring av minerallagen (1991:45).</w:t>
      </w:r>
    </w:p>
    <w:p w:rsidR="009D4020" w:rsidRPr="0002790A" w:rsidRDefault="009D4020">
      <w:pPr>
        <w:pStyle w:val="Rubrik1"/>
        <w:shd w:val="clear" w:color="000000" w:fill="auto"/>
      </w:pPr>
      <w:r w:rsidRPr="0002790A">
        <w:t>Motivering</w:t>
      </w:r>
    </w:p>
    <w:p w:rsidR="009D4020" w:rsidRPr="0002790A" w:rsidRDefault="009D4020">
      <w:pPr>
        <w:shd w:val="clear" w:color="000000" w:fill="auto"/>
      </w:pPr>
      <w:r w:rsidRPr="0002790A">
        <w:t>Den 1 juli 1992 började den nya minerallagen gälla. Den ersatte i huvu</w:t>
      </w:r>
      <w:r w:rsidRPr="0002790A">
        <w:t>d</w:t>
      </w:r>
      <w:r w:rsidRPr="0002790A">
        <w:t>sak 1974 års gruvlag och lagen om vissa mineralfyndigheter. Syftet med lagän</w:t>
      </w:r>
      <w:r w:rsidRPr="0002790A">
        <w:t>d</w:t>
      </w:r>
      <w:r w:rsidRPr="0002790A">
        <w:t>ringen var att öka prospekteringsviljan samt möjligheten att utvinna påträff</w:t>
      </w:r>
      <w:r w:rsidRPr="0002790A">
        <w:t>a</w:t>
      </w:r>
      <w:r w:rsidRPr="0002790A">
        <w:t>de fyndigheter. Året efter, den 1 juli 1993, avskaffades reglerna om kronoa</w:t>
      </w:r>
      <w:r w:rsidRPr="0002790A">
        <w:t>n</w:t>
      </w:r>
      <w:r w:rsidRPr="0002790A">
        <w:t>del. Innan dess hade kronoandelsinstitutet fastslagit statens rätt att bli hälfte</w:t>
      </w:r>
      <w:r w:rsidRPr="0002790A">
        <w:t>n</w:t>
      </w:r>
      <w:r w:rsidRPr="0002790A">
        <w:t>ägare i varje gruvprojekt.</w:t>
      </w:r>
    </w:p>
    <w:p w:rsidR="009D4020" w:rsidRPr="0002790A" w:rsidRDefault="009D4020">
      <w:pPr>
        <w:pStyle w:val="Normaltindrag"/>
        <w:shd w:val="clear" w:color="000000" w:fill="auto"/>
      </w:pPr>
      <w:r w:rsidRPr="0002790A">
        <w:t>Syftet med lagändringen, att öka prospekteringsviljan och viljan att öppna och driva nya gruvor, har infriats i och med den nya lagstiftningen. När lagen antogs var mineral</w:t>
      </w:r>
      <w:r w:rsidRPr="0002790A">
        <w:t>priserna, och därmed lönsamheten inom gruvnäringen, relativt låga jämfört med dagens situation. Däremot har den globala tillväxten och växande efterfrågan de senaste åren drastiskt ökat lönsamheten och inv</w:t>
      </w:r>
      <w:r w:rsidRPr="0002790A">
        <w:t>e</w:t>
      </w:r>
      <w:r w:rsidRPr="0002790A">
        <w:t>steringsviljan i nya gruvprojekt. Vinnarna på lagändringen är de privatägda, inte sällan utländska gruvföretagen. Till förlorarna hör markägare och det allmänna.</w:t>
      </w:r>
    </w:p>
    <w:p w:rsidR="009D4020" w:rsidRPr="0002790A" w:rsidRDefault="009D4020">
      <w:pPr>
        <w:pStyle w:val="Normaltindrag"/>
        <w:shd w:val="clear" w:color="000000" w:fill="auto"/>
      </w:pPr>
      <w:r w:rsidRPr="0002790A">
        <w:t>Samtidigt som enorma värden utvinns i många glesbygdskommuner bro</w:t>
      </w:r>
      <w:r w:rsidRPr="0002790A">
        <w:t>t</w:t>
      </w:r>
      <w:r w:rsidRPr="0002790A">
        <w:t>tas samma kommuner och landsting med stora ekonomiska problem. Många är beroende av de pengar som kommer dem till del genom det så kallade kommunala utjämningssystemet. Vi vill genom nedan föreslagna lagändring även stärka många fattiga glesbygdskommuners och landstings möjlighet till självfinansiering.</w:t>
      </w:r>
    </w:p>
    <w:p w:rsidR="009D4020" w:rsidRPr="0002790A" w:rsidRDefault="009D4020">
      <w:pPr>
        <w:pStyle w:val="Normaltindrag"/>
        <w:shd w:val="clear" w:color="000000" w:fill="auto"/>
      </w:pPr>
      <w:r w:rsidRPr="0002790A">
        <w:t>Det finns ofta ett lokalt motstånd mot nya gruvprojekt då miljökonsekve</w:t>
      </w:r>
      <w:r w:rsidRPr="0002790A">
        <w:t>n</w:t>
      </w:r>
      <w:r w:rsidRPr="0002790A">
        <w:t xml:space="preserve">serna upplevs vara mycket stora. Nya moderna gruvor kräver inte heller stora personalresurser varför den skattemässiga och arbetsmarknadsmässiga vinsten </w:t>
      </w:r>
      <w:r w:rsidRPr="0002790A">
        <w:lastRenderedPageBreak/>
        <w:t>för kommunen ibland kan upplevas som alltför liten jämfört med de negativa konsekvenserna.</w:t>
      </w:r>
    </w:p>
    <w:p w:rsidR="009D4020" w:rsidRPr="0002790A" w:rsidRDefault="009D4020">
      <w:pPr>
        <w:pStyle w:val="Normaltindrag"/>
        <w:shd w:val="clear" w:color="000000" w:fill="auto"/>
      </w:pPr>
      <w:r w:rsidRPr="0002790A">
        <w:t>För att stärka de lokala opinionernas vilja till gruvbrytning, samtidigt som vi får en mer rättvis och nutidsanpassad fördelning mellan privata vinstintre</w:t>
      </w:r>
      <w:r w:rsidRPr="0002790A">
        <w:t>s</w:t>
      </w:r>
      <w:r w:rsidRPr="0002790A">
        <w:t>sen och det allmännas möjlighet att erbjuda samhällsservice, föreslår vi att mineralersättningen i minerallagen höjs från dagens 2 promille till 9 promille av beräknat värde av brytningen. Vidare föreslår vi att dessa 9 promille förd</w:t>
      </w:r>
      <w:r w:rsidRPr="0002790A">
        <w:t>e</w:t>
      </w:r>
      <w:r w:rsidRPr="0002790A">
        <w:t>las jämt med en tredjedel till respektive markägare, kommun och landsting.</w:t>
      </w:r>
    </w:p>
    <w:p w:rsidR="009D4020" w:rsidRPr="0002790A" w:rsidRDefault="009D4020">
      <w:pPr>
        <w:pStyle w:val="Rubrik2"/>
        <w:shd w:val="clear" w:color="000000" w:fill="auto"/>
      </w:pPr>
      <w:r w:rsidRPr="0002790A">
        <w:t>Förslag till lagändring</w:t>
      </w:r>
    </w:p>
    <w:p w:rsidR="009D4020" w:rsidRPr="0002790A" w:rsidRDefault="009D4020">
      <w:pPr>
        <w:shd w:val="clear" w:color="000000" w:fill="auto"/>
        <w:spacing w:after="75"/>
        <w:outlineLvl w:val="5"/>
      </w:pPr>
      <w:r w:rsidRPr="0002790A">
        <w:t>Med anledning av ovanstående föreslår vi följande ändringar i minerallagen (1991:45), 7 kap. Ersättning.</w:t>
      </w:r>
    </w:p>
    <w:tbl>
      <w:tblPr>
        <w:tblW w:w="0" w:type="auto"/>
        <w:tblLayout w:type="fixed"/>
        <w:tblCellMar>
          <w:left w:w="70" w:type="dxa"/>
          <w:right w:w="70" w:type="dxa"/>
        </w:tblCellMar>
        <w:tblLook w:val="0000" w:firstRow="0" w:lastRow="0" w:firstColumn="0" w:lastColumn="0" w:noHBand="0" w:noVBand="0"/>
      </w:tblPr>
      <w:tblGrid>
        <w:gridCol w:w="3119"/>
        <w:gridCol w:w="3119"/>
      </w:tblGrid>
      <w:tr w:rsidR="00000000" w:rsidRPr="0002790A">
        <w:tc>
          <w:tcPr>
            <w:tcW w:w="3119" w:type="dxa"/>
          </w:tcPr>
          <w:p w:rsidR="009D4020" w:rsidRPr="0002790A" w:rsidRDefault="009D4020">
            <w:pPr>
              <w:pStyle w:val="Lagtext"/>
              <w:shd w:val="clear" w:color="000000" w:fill="auto"/>
            </w:pPr>
            <w:r w:rsidRPr="0002790A">
              <w:t>Nuvarande lydelse</w:t>
            </w:r>
          </w:p>
        </w:tc>
        <w:tc>
          <w:tcPr>
            <w:tcW w:w="3119" w:type="dxa"/>
          </w:tcPr>
          <w:p w:rsidR="009D4020" w:rsidRPr="0002790A" w:rsidRDefault="009D4020">
            <w:pPr>
              <w:pStyle w:val="Lagtext"/>
              <w:shd w:val="clear" w:color="000000" w:fill="auto"/>
            </w:pPr>
            <w:r w:rsidRPr="0002790A">
              <w:t>Föreslagen lydelse</w:t>
            </w:r>
          </w:p>
        </w:tc>
      </w:tr>
      <w:tr w:rsidR="00000000" w:rsidRPr="0002790A">
        <w:tc>
          <w:tcPr>
            <w:tcW w:w="3119" w:type="dxa"/>
          </w:tcPr>
          <w:p w:rsidR="009D4020" w:rsidRPr="0002790A" w:rsidRDefault="009D4020">
            <w:pPr>
              <w:shd w:val="clear" w:color="000000" w:fill="auto"/>
              <w:outlineLvl w:val="4"/>
              <w:rPr>
                <w:b/>
                <w:bCs/>
                <w:i/>
                <w:color w:val="000000"/>
              </w:rPr>
            </w:pPr>
            <w:r w:rsidRPr="0002790A">
              <w:rPr>
                <w:b/>
                <w:bCs/>
                <w:i/>
                <w:color w:val="000000"/>
              </w:rPr>
              <w:t>Mineralersättning</w:t>
            </w:r>
          </w:p>
          <w:p w:rsidR="009D4020" w:rsidRPr="0002790A" w:rsidRDefault="009D4020">
            <w:pPr>
              <w:shd w:val="clear" w:color="000000" w:fill="auto"/>
              <w:spacing w:after="90"/>
              <w:rPr>
                <w:i/>
                <w:color w:val="000000"/>
              </w:rPr>
            </w:pPr>
            <w:bookmarkStart w:id="0" w:name="7"/>
            <w:bookmarkStart w:id="1" w:name="K7P7"/>
            <w:bookmarkStart w:id="2" w:name="K7P7S1"/>
            <w:bookmarkEnd w:id="0"/>
            <w:bookmarkEnd w:id="1"/>
            <w:r w:rsidRPr="0002790A">
              <w:rPr>
                <w:b/>
                <w:bCs/>
                <w:i/>
                <w:color w:val="000000"/>
              </w:rPr>
              <w:t>7 §</w:t>
            </w:r>
            <w:r w:rsidRPr="0002790A">
              <w:rPr>
                <w:i/>
                <w:color w:val="000000"/>
              </w:rPr>
              <w:t xml:space="preserve"> Vid bearbetning skall koncession</w:t>
            </w:r>
            <w:r w:rsidRPr="0002790A">
              <w:rPr>
                <w:i/>
                <w:color w:val="000000"/>
              </w:rPr>
              <w:t>s</w:t>
            </w:r>
            <w:r w:rsidRPr="0002790A">
              <w:rPr>
                <w:i/>
                <w:color w:val="000000"/>
              </w:rPr>
              <w:t>havaren för varje kalenderår betala en mineralersättning. Ersät</w:t>
            </w:r>
            <w:r w:rsidRPr="0002790A">
              <w:rPr>
                <w:i/>
                <w:color w:val="000000"/>
              </w:rPr>
              <w:t>t</w:t>
            </w:r>
            <w:r w:rsidRPr="0002790A">
              <w:rPr>
                <w:i/>
                <w:color w:val="000000"/>
              </w:rPr>
              <w:t>ningen skall motsvara två promille av det beräkn</w:t>
            </w:r>
            <w:r w:rsidRPr="0002790A">
              <w:rPr>
                <w:i/>
                <w:color w:val="000000"/>
              </w:rPr>
              <w:t>a</w:t>
            </w:r>
            <w:r w:rsidRPr="0002790A">
              <w:rPr>
                <w:i/>
                <w:color w:val="000000"/>
              </w:rPr>
              <w:t>de värdet av de mineral som omfattas av koncessionen och som har brutits och uppfordrats inom koncessionso</w:t>
            </w:r>
            <w:r w:rsidRPr="0002790A">
              <w:rPr>
                <w:i/>
                <w:color w:val="000000"/>
              </w:rPr>
              <w:t>m</w:t>
            </w:r>
            <w:r w:rsidRPr="0002790A">
              <w:rPr>
                <w:i/>
                <w:color w:val="000000"/>
              </w:rPr>
              <w:t>rådet under året. Beräkningen skall ske på grundval av mängden uppfor</w:t>
            </w:r>
            <w:r w:rsidRPr="0002790A">
              <w:rPr>
                <w:i/>
                <w:color w:val="000000"/>
              </w:rPr>
              <w:t>d</w:t>
            </w:r>
            <w:r w:rsidRPr="0002790A">
              <w:rPr>
                <w:i/>
                <w:color w:val="000000"/>
              </w:rPr>
              <w:t>rad malm, malmens halt av konce</w:t>
            </w:r>
            <w:r w:rsidRPr="0002790A">
              <w:rPr>
                <w:i/>
                <w:color w:val="000000"/>
              </w:rPr>
              <w:t>s</w:t>
            </w:r>
            <w:r w:rsidRPr="0002790A">
              <w:rPr>
                <w:i/>
                <w:color w:val="000000"/>
              </w:rPr>
              <w:t>sionsmineral och genomsnittspriset för mineralet under året eller ett motsv</w:t>
            </w:r>
            <w:r w:rsidRPr="0002790A">
              <w:rPr>
                <w:i/>
                <w:color w:val="000000"/>
              </w:rPr>
              <w:t>a</w:t>
            </w:r>
            <w:r w:rsidRPr="0002790A">
              <w:rPr>
                <w:i/>
                <w:color w:val="000000"/>
              </w:rPr>
              <w:t xml:space="preserve">rande värde. </w:t>
            </w:r>
            <w:bookmarkStart w:id="3" w:name="K7P7S2"/>
            <w:bookmarkEnd w:id="2"/>
            <w:r w:rsidRPr="0002790A">
              <w:rPr>
                <w:i/>
                <w:color w:val="000000"/>
              </w:rPr>
              <w:t>Av ersättningen skall tre fjärdedelar tillfalla fastighetsägare ino</w:t>
            </w:r>
            <w:r w:rsidRPr="0002790A">
              <w:rPr>
                <w:i/>
                <w:color w:val="000000"/>
              </w:rPr>
              <w:t>m koncessionsområdet och en fjä</w:t>
            </w:r>
            <w:r w:rsidRPr="0002790A">
              <w:rPr>
                <w:i/>
                <w:color w:val="000000"/>
              </w:rPr>
              <w:t>r</w:t>
            </w:r>
            <w:r w:rsidRPr="0002790A">
              <w:rPr>
                <w:i/>
                <w:color w:val="000000"/>
              </w:rPr>
              <w:t>dedel staten. Om det finns flera fasti</w:t>
            </w:r>
            <w:r w:rsidRPr="0002790A">
              <w:rPr>
                <w:i/>
                <w:color w:val="000000"/>
              </w:rPr>
              <w:t>g</w:t>
            </w:r>
            <w:r w:rsidRPr="0002790A">
              <w:rPr>
                <w:i/>
                <w:color w:val="000000"/>
              </w:rPr>
              <w:t>heter inom koncessionsområdet, skall ersättningen till fastighetsägare b</w:t>
            </w:r>
            <w:r w:rsidRPr="0002790A">
              <w:rPr>
                <w:i/>
                <w:color w:val="000000"/>
              </w:rPr>
              <w:t>e</w:t>
            </w:r>
            <w:r w:rsidRPr="0002790A">
              <w:rPr>
                <w:i/>
                <w:color w:val="000000"/>
              </w:rPr>
              <w:t>stämmas efter varje fastighets del i området. Ersät</w:t>
            </w:r>
            <w:r w:rsidRPr="0002790A">
              <w:rPr>
                <w:i/>
                <w:color w:val="000000"/>
              </w:rPr>
              <w:t>t</w:t>
            </w:r>
            <w:r w:rsidRPr="0002790A">
              <w:rPr>
                <w:i/>
                <w:color w:val="000000"/>
              </w:rPr>
              <w:t xml:space="preserve">ningen skall fastställas efter förhållandena den 31 december det år ersättningen avser. </w:t>
            </w:r>
            <w:bookmarkStart w:id="4" w:name="K7P7S3"/>
            <w:bookmarkEnd w:id="3"/>
            <w:r w:rsidRPr="0002790A">
              <w:rPr>
                <w:i/>
                <w:color w:val="000000"/>
              </w:rPr>
              <w:t>Konce</w:t>
            </w:r>
            <w:r w:rsidRPr="0002790A">
              <w:rPr>
                <w:i/>
                <w:color w:val="000000"/>
              </w:rPr>
              <w:t>s</w:t>
            </w:r>
            <w:r w:rsidRPr="0002790A">
              <w:rPr>
                <w:i/>
                <w:color w:val="000000"/>
              </w:rPr>
              <w:t>sionshav</w:t>
            </w:r>
            <w:r w:rsidRPr="0002790A">
              <w:rPr>
                <w:i/>
                <w:color w:val="000000"/>
              </w:rPr>
              <w:t>a</w:t>
            </w:r>
            <w:r w:rsidRPr="0002790A">
              <w:rPr>
                <w:i/>
                <w:color w:val="000000"/>
              </w:rPr>
              <w:t>ren skall i ett ärende om fastställelse av ersättning lämna de uppgifter som behövs för att ersät</w:t>
            </w:r>
            <w:r w:rsidRPr="0002790A">
              <w:rPr>
                <w:i/>
                <w:color w:val="000000"/>
              </w:rPr>
              <w:t>t</w:t>
            </w:r>
            <w:r w:rsidRPr="0002790A">
              <w:rPr>
                <w:i/>
                <w:color w:val="000000"/>
              </w:rPr>
              <w:t>ningen skall kunna bestämmas. Lag (</w:t>
            </w:r>
            <w:r w:rsidRPr="0002790A">
              <w:rPr>
                <w:i/>
                <w:iCs/>
                <w:color w:val="000000"/>
              </w:rPr>
              <w:t>2005:161</w:t>
            </w:r>
            <w:r w:rsidRPr="0002790A">
              <w:rPr>
                <w:i/>
                <w:color w:val="000000"/>
              </w:rPr>
              <w:t>).</w:t>
            </w:r>
          </w:p>
          <w:bookmarkEnd w:id="4"/>
          <w:p w:rsidR="009D4020" w:rsidRPr="0002790A" w:rsidRDefault="009D4020">
            <w:pPr>
              <w:pStyle w:val="Lagtext"/>
              <w:shd w:val="clear" w:color="000000" w:fill="auto"/>
            </w:pPr>
          </w:p>
        </w:tc>
        <w:tc>
          <w:tcPr>
            <w:tcW w:w="3119" w:type="dxa"/>
          </w:tcPr>
          <w:p w:rsidR="009D4020" w:rsidRPr="0002790A" w:rsidRDefault="009D4020">
            <w:pPr>
              <w:shd w:val="clear" w:color="000000" w:fill="auto"/>
              <w:outlineLvl w:val="4"/>
              <w:rPr>
                <w:b/>
                <w:bCs/>
                <w:i/>
                <w:color w:val="000000"/>
              </w:rPr>
            </w:pPr>
            <w:r w:rsidRPr="0002790A">
              <w:rPr>
                <w:b/>
                <w:bCs/>
                <w:i/>
                <w:color w:val="000000"/>
              </w:rPr>
              <w:t>Mineralersättning</w:t>
            </w:r>
          </w:p>
          <w:p w:rsidR="009D4020" w:rsidRPr="0002790A" w:rsidRDefault="009D4020">
            <w:pPr>
              <w:pStyle w:val="Lagtext"/>
              <w:shd w:val="clear" w:color="000000" w:fill="auto"/>
              <w:spacing w:before="125"/>
            </w:pPr>
            <w:r w:rsidRPr="0002790A">
              <w:rPr>
                <w:color w:val="000000"/>
              </w:rPr>
              <w:t>7 § Vid bearbetning skall koncessionshavaren för varje kalenderår betala en mineralersättning. Ersättningen</w:t>
            </w:r>
            <w:r w:rsidRPr="0002790A">
              <w:rPr>
                <w:color w:val="000000"/>
                <w:szCs w:val="24"/>
              </w:rPr>
              <w:t xml:space="preserve"> skall motsvara nio promille av det beräknade värdet av de mineral som omfattas av koncessionen och som har brutits och uppfordrats inom koncessionsområdet under året. Beräkningen skall ske på grundval av mängden uppfordrad malm, malmens halt av koncessionsmineral och genomsnittspriset för mineralet under året eller ett motsvarande värde. Av ersättningen skall en tredjedel tillfalla fastighetsägare och en tredjedel</w:t>
            </w:r>
            <w:r w:rsidRPr="0002790A">
              <w:rPr>
                <w:b/>
                <w:bCs/>
                <w:color w:val="FF0000"/>
                <w:szCs w:val="24"/>
              </w:rPr>
              <w:t xml:space="preserve"> </w:t>
            </w:r>
            <w:r w:rsidRPr="0002790A">
              <w:rPr>
                <w:color w:val="000000"/>
                <w:szCs w:val="24"/>
              </w:rPr>
              <w:t>kommuner inom koncessionsområdet, samt en tredjedel landsting/regionen. Om det finns flera fa</w:t>
            </w:r>
            <w:r w:rsidRPr="0002790A">
              <w:rPr>
                <w:color w:val="000000"/>
                <w:szCs w:val="24"/>
              </w:rPr>
              <w:t>stigheter eller kommuner samt landsting inom koncessionsområdet, skall ersättningen bestämmas efter varje fastighets, kommun eller landstings del i området. Ersättningen skall fastställas efter förhållandena den 31 december det år ersättningen avser. Koncessionshavaren skall i ett ärende om fastställelse av ersättning lämna de uppgifter som behövs för att ersättningen skall kunna bestämmas. Lag (</w:t>
            </w:r>
            <w:r w:rsidRPr="0002790A">
              <w:rPr>
                <w:i w:val="0"/>
                <w:iCs/>
                <w:color w:val="000000"/>
                <w:szCs w:val="24"/>
              </w:rPr>
              <w:t>2005:161</w:t>
            </w:r>
            <w:r w:rsidRPr="0002790A">
              <w:rPr>
                <w:color w:val="000000"/>
                <w:szCs w:val="24"/>
              </w:rPr>
              <w:t>).</w:t>
            </w:r>
          </w:p>
        </w:tc>
      </w:tr>
    </w:tbl>
    <w:p w:rsidR="009D4020" w:rsidRPr="0002790A" w:rsidRDefault="009D4020">
      <w:pPr>
        <w:pStyle w:val="Normaltindrag"/>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790A">
        <w:trPr>
          <w:cantSplit/>
        </w:trPr>
        <w:tc>
          <w:tcPr>
            <w:tcW w:w="3046" w:type="dxa"/>
          </w:tcPr>
          <w:p w:rsidR="009D4020" w:rsidRPr="0002790A" w:rsidRDefault="009D4020">
            <w:pPr>
              <w:pStyle w:val="UnderskriftDatum"/>
              <w:shd w:val="clear" w:color="000000" w:fill="auto"/>
              <w:spacing w:before="240"/>
            </w:pPr>
            <w:r w:rsidRPr="0002790A">
              <w:t>Stockholm den 28 september 2011</w:t>
            </w:r>
          </w:p>
        </w:tc>
        <w:tc>
          <w:tcPr>
            <w:tcW w:w="3047" w:type="dxa"/>
          </w:tcPr>
          <w:p w:rsidR="009D4020" w:rsidRPr="0002790A" w:rsidRDefault="009D4020">
            <w:pPr>
              <w:pStyle w:val="Underskrifter"/>
              <w:shd w:val="clear" w:color="000000" w:fill="auto"/>
              <w:spacing w:before="240"/>
            </w:pPr>
          </w:p>
        </w:tc>
      </w:tr>
      <w:tr w:rsidR="00000000" w:rsidRPr="0002790A">
        <w:trPr>
          <w:cantSplit/>
        </w:trPr>
        <w:tc>
          <w:tcPr>
            <w:tcW w:w="3046" w:type="dxa"/>
          </w:tcPr>
          <w:p w:rsidR="009D4020" w:rsidRPr="0002790A" w:rsidRDefault="009D4020">
            <w:pPr>
              <w:pStyle w:val="Underskrifter"/>
              <w:shd w:val="clear" w:color="000000" w:fill="auto"/>
            </w:pPr>
            <w:r w:rsidRPr="0002790A">
              <w:t>Sven-Olof Sällström (SD)</w:t>
            </w:r>
          </w:p>
        </w:tc>
        <w:tc>
          <w:tcPr>
            <w:tcW w:w="3046" w:type="dxa"/>
          </w:tcPr>
          <w:p w:rsidR="009D4020" w:rsidRPr="0002790A" w:rsidRDefault="009D4020">
            <w:pPr>
              <w:pStyle w:val="Underskrifter"/>
              <w:shd w:val="clear" w:color="000000" w:fill="auto"/>
            </w:pPr>
            <w:r w:rsidRPr="0002790A">
              <w:t>Lars Isovaara (SD)</w:t>
            </w:r>
          </w:p>
        </w:tc>
      </w:tr>
    </w:tbl>
    <w:p w:rsidR="009D4020" w:rsidRPr="0002790A" w:rsidRDefault="009D4020">
      <w:pPr>
        <w:pStyle w:val="Normaltindrag"/>
        <w:shd w:val="clear" w:color="000000" w:fill="auto"/>
      </w:pPr>
    </w:p>
    <w:sectPr w:rsidR="009D4020" w:rsidRPr="000279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4020" w:rsidRPr="0002790A" w:rsidRDefault="009D4020">
      <w:r w:rsidRPr="0002790A">
        <w:separator/>
      </w:r>
    </w:p>
  </w:endnote>
  <w:endnote w:type="continuationSeparator" w:id="0">
    <w:p w:rsidR="009D4020" w:rsidRPr="0002790A" w:rsidRDefault="009D4020">
      <w:r w:rsidRPr="000279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020" w:rsidRPr="0002790A" w:rsidRDefault="0002790A">
    <w:pPr>
      <w:pStyle w:val="Sidfot"/>
    </w:pPr>
    <w:r w:rsidRPr="000279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41973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020" w:rsidRDefault="009D40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4020" w:rsidRDefault="009D40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020" w:rsidRPr="0002790A" w:rsidRDefault="0002790A">
    <w:pPr>
      <w:pStyle w:val="Sidfot"/>
    </w:pPr>
    <w:r w:rsidRPr="000279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49238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020" w:rsidRDefault="009D402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4020" w:rsidRDefault="009D402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020" w:rsidRPr="0002790A" w:rsidRDefault="0002790A">
    <w:pPr>
      <w:pStyle w:val="Sidfot"/>
    </w:pPr>
    <w:r w:rsidRPr="000279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75770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020" w:rsidRDefault="009D40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4020" w:rsidRDefault="009D40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4020" w:rsidRPr="0002790A" w:rsidRDefault="009D4020">
      <w:r w:rsidRPr="0002790A">
        <w:separator/>
      </w:r>
    </w:p>
  </w:footnote>
  <w:footnote w:type="continuationSeparator" w:id="0">
    <w:p w:rsidR="009D4020" w:rsidRPr="0002790A" w:rsidRDefault="009D4020">
      <w:r w:rsidRPr="000279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020" w:rsidRPr="0002790A" w:rsidRDefault="0002790A">
    <w:pPr>
      <w:pStyle w:val="Sidhuvud"/>
    </w:pPr>
    <w:r w:rsidRPr="000279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42603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020" w:rsidRDefault="009D402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4020" w:rsidRDefault="009D402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020" w:rsidRPr="0002790A" w:rsidRDefault="0002790A">
    <w:pPr>
      <w:pStyle w:val="Sidhuvud"/>
    </w:pPr>
    <w:r w:rsidRPr="000279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85700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020" w:rsidRDefault="009D402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4020" w:rsidRDefault="009D402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020" w:rsidRPr="0002790A" w:rsidRDefault="009D4020">
    <w:pPr>
      <w:pStyle w:val="FSHNormal"/>
      <w:tabs>
        <w:tab w:val="right" w:pos="5840"/>
      </w:tabs>
    </w:pPr>
    <w:r w:rsidRPr="0002790A">
      <w:br/>
    </w:r>
    <w:r w:rsidRPr="0002790A">
      <w:fldChar w:fldCharType="begin" w:fldLock="1"/>
    </w:r>
    <w:r w:rsidRPr="0002790A">
      <w:instrText xml:space="preserve"> DOCPROPERTY</w:instrText>
    </w:r>
    <w:r w:rsidRPr="0002790A">
      <w:rPr>
        <w:sz w:val="18"/>
      </w:rPr>
      <w:instrText xml:space="preserve"> "YearUser" *\charformat </w:instrText>
    </w:r>
    <w:r w:rsidRPr="0002790A">
      <w:fldChar w:fldCharType="separate"/>
    </w:r>
    <w:r w:rsidRPr="0002790A">
      <w:t>2011/12</w:t>
    </w:r>
    <w:r w:rsidRPr="0002790A">
      <w:fldChar w:fldCharType="end"/>
    </w:r>
    <w:r w:rsidRPr="0002790A">
      <w:t xml:space="preserve"> </w:t>
    </w:r>
    <w:r w:rsidRPr="0002790A">
      <w:tab/>
      <w:t xml:space="preserve">mnr: </w:t>
    </w:r>
    <w:r w:rsidRPr="0002790A">
      <w:fldChar w:fldCharType="begin" w:fldLock="1"/>
    </w:r>
    <w:r w:rsidRPr="0002790A">
      <w:instrText xml:space="preserve"> DOCPROPERTY</w:instrText>
    </w:r>
    <w:r w:rsidRPr="0002790A">
      <w:rPr>
        <w:sz w:val="18"/>
      </w:rPr>
      <w:instrText xml:space="preserve"> "Motionsnummer" *\charformat </w:instrText>
    </w:r>
    <w:r w:rsidRPr="0002790A">
      <w:fldChar w:fldCharType="separate"/>
    </w:r>
    <w:r w:rsidRPr="0002790A">
      <w:t>N232</w:t>
    </w:r>
    <w:r w:rsidRPr="0002790A">
      <w:fldChar w:fldCharType="end"/>
    </w:r>
    <w:r w:rsidRPr="0002790A">
      <w:br/>
    </w:r>
    <w:r w:rsidRPr="0002790A">
      <w:fldChar w:fldCharType="begin" w:fldLock="1"/>
    </w:r>
    <w:r w:rsidRPr="0002790A">
      <w:instrText xml:space="preserve"> DOCPROPERTY</w:instrText>
    </w:r>
    <w:r w:rsidRPr="0002790A">
      <w:rPr>
        <w:sz w:val="18"/>
      </w:rPr>
      <w:instrText xml:space="preserve"> "Samling" *\charformat </w:instrText>
    </w:r>
    <w:r w:rsidRPr="0002790A">
      <w:fldChar w:fldCharType="end"/>
    </w:r>
    <w:r w:rsidRPr="0002790A">
      <w:tab/>
      <w:t xml:space="preserve">pnr: </w:t>
    </w:r>
    <w:r w:rsidRPr="0002790A">
      <w:fldChar w:fldCharType="begin" w:fldLock="1"/>
    </w:r>
    <w:r w:rsidRPr="0002790A">
      <w:instrText xml:space="preserve"> DOCPROPERTY</w:instrText>
    </w:r>
    <w:r w:rsidRPr="0002790A">
      <w:rPr>
        <w:sz w:val="18"/>
      </w:rPr>
      <w:instrText xml:space="preserve"> "Partinummer" *\charformat </w:instrText>
    </w:r>
    <w:r w:rsidRPr="0002790A">
      <w:fldChar w:fldCharType="separate"/>
    </w:r>
    <w:r w:rsidRPr="0002790A">
      <w:t>SD54</w:t>
    </w:r>
    <w:r w:rsidRPr="0002790A">
      <w:fldChar w:fldCharType="end"/>
    </w:r>
  </w:p>
  <w:p w:rsidR="009D4020" w:rsidRPr="0002790A" w:rsidRDefault="009D4020">
    <w:pPr>
      <w:pStyle w:val="FSHRub1"/>
    </w:pPr>
    <w:r w:rsidRPr="0002790A">
      <w:t>Motion till riksdagen</w:t>
    </w:r>
    <w:r w:rsidRPr="0002790A">
      <w:br/>
    </w:r>
    <w:r w:rsidRPr="0002790A">
      <w:fldChar w:fldCharType="begin" w:fldLock="1"/>
    </w:r>
    <w:r w:rsidRPr="0002790A">
      <w:instrText xml:space="preserve"> DOCPROPERTY "YearUser" *\charformat </w:instrText>
    </w:r>
    <w:r w:rsidRPr="0002790A">
      <w:fldChar w:fldCharType="separate"/>
    </w:r>
    <w:r w:rsidRPr="0002790A">
      <w:t>2011/12</w:t>
    </w:r>
    <w:r w:rsidRPr="0002790A">
      <w:fldChar w:fldCharType="end"/>
    </w:r>
    <w:r w:rsidRPr="0002790A">
      <w:t>:</w:t>
    </w:r>
    <w:r w:rsidRPr="0002790A">
      <w:fldChar w:fldCharType="begin" w:fldLock="1"/>
    </w:r>
    <w:r w:rsidRPr="0002790A">
      <w:instrText xml:space="preserve"> DOCPROPERTY "Motionsnummer" *\charformat </w:instrText>
    </w:r>
    <w:r w:rsidRPr="0002790A">
      <w:fldChar w:fldCharType="separate"/>
    </w:r>
    <w:r w:rsidRPr="0002790A">
      <w:t>N232</w:t>
    </w:r>
    <w:r w:rsidRPr="0002790A">
      <w:fldChar w:fldCharType="end"/>
    </w:r>
  </w:p>
  <w:p w:rsidR="009D4020" w:rsidRPr="0002790A" w:rsidRDefault="009D4020">
    <w:pPr>
      <w:pStyle w:val="FSHNormalS5"/>
    </w:pPr>
    <w:r w:rsidRPr="0002790A">
      <w:fldChar w:fldCharType="begin" w:fldLock="1"/>
    </w:r>
    <w:r w:rsidRPr="0002790A">
      <w:instrText xml:space="preserve"> DOCPROPERTY "MotionarText" *\charformat </w:instrText>
    </w:r>
    <w:r w:rsidRPr="0002790A">
      <w:fldChar w:fldCharType="separate"/>
    </w:r>
    <w:r w:rsidRPr="0002790A">
      <w:t>av Sven-Olof Sällström och Lars Isovaara (SD)</w:t>
    </w:r>
    <w:r w:rsidRPr="0002790A">
      <w:fldChar w:fldCharType="end"/>
    </w:r>
    <w:r w:rsidRPr="0002790A">
      <w:br/>
    </w:r>
    <w:r w:rsidRPr="0002790A">
      <w:fldChar w:fldCharType="begin" w:fldLock="1"/>
    </w:r>
    <w:r w:rsidRPr="0002790A">
      <w:instrText xml:space="preserve"> DOCPROPERTY "SvarFrasKort" *\charformat </w:instrText>
    </w:r>
    <w:r w:rsidRPr="0002790A">
      <w:fldChar w:fldCharType="end"/>
    </w:r>
  </w:p>
  <w:p w:rsidR="009D4020" w:rsidRPr="0002790A" w:rsidRDefault="009D4020">
    <w:pPr>
      <w:pStyle w:val="FSHTitel"/>
    </w:pPr>
    <w:r w:rsidRPr="0002790A">
      <w:fldChar w:fldCharType="begin" w:fldLock="1"/>
    </w:r>
    <w:r w:rsidRPr="0002790A">
      <w:instrText xml:space="preserve"> DOCPROPERTY</w:instrText>
    </w:r>
    <w:r w:rsidRPr="0002790A">
      <w:rPr>
        <w:sz w:val="18"/>
      </w:rPr>
      <w:instrText xml:space="preserve"> "RubrikSvar" *\charformat </w:instrText>
    </w:r>
    <w:r w:rsidRPr="0002790A">
      <w:fldChar w:fldCharType="separate"/>
    </w:r>
    <w:r w:rsidRPr="0002790A">
      <w:t>Ändring i minerallagen</w:t>
    </w:r>
    <w:r w:rsidRPr="0002790A">
      <w:fldChar w:fldCharType="end"/>
    </w:r>
  </w:p>
  <w:p w:rsidR="009D4020" w:rsidRPr="0002790A" w:rsidRDefault="009D4020">
    <w:pPr>
      <w:pStyle w:val="Normal00"/>
    </w:pPr>
  </w:p>
  <w:p w:rsidR="009D4020" w:rsidRPr="0002790A" w:rsidRDefault="009D40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04921142">
    <w:abstractNumId w:val="3"/>
  </w:num>
  <w:num w:numId="2" w16cid:durableId="410466674">
    <w:abstractNumId w:val="2"/>
  </w:num>
  <w:num w:numId="3" w16cid:durableId="71632357">
    <w:abstractNumId w:val="1"/>
  </w:num>
  <w:num w:numId="4" w16cid:durableId="1499878871">
    <w:abstractNumId w:val="0"/>
  </w:num>
  <w:num w:numId="5" w16cid:durableId="1419324798">
    <w:abstractNumId w:val="7"/>
  </w:num>
  <w:num w:numId="6" w16cid:durableId="2079090953">
    <w:abstractNumId w:val="6"/>
  </w:num>
  <w:num w:numId="7" w16cid:durableId="1097142480">
    <w:abstractNumId w:val="5"/>
  </w:num>
  <w:num w:numId="8" w16cid:durableId="826097296">
    <w:abstractNumId w:val="4"/>
  </w:num>
  <w:num w:numId="9" w16cid:durableId="1676108386">
    <w:abstractNumId w:val="8"/>
  </w:num>
  <w:num w:numId="10" w16cid:durableId="79521151">
    <w:abstractNumId w:val="9"/>
  </w:num>
  <w:num w:numId="11" w16cid:durableId="1970352523">
    <w:abstractNumId w:val="10"/>
  </w:num>
  <w:num w:numId="12" w16cid:durableId="1649749037">
    <w:abstractNumId w:val="13"/>
  </w:num>
  <w:num w:numId="13" w16cid:durableId="1715616164">
    <w:abstractNumId w:val="15"/>
  </w:num>
  <w:num w:numId="14" w16cid:durableId="141702350">
    <w:abstractNumId w:val="16"/>
  </w:num>
  <w:num w:numId="15" w16cid:durableId="284847881">
    <w:abstractNumId w:val="11"/>
  </w:num>
  <w:num w:numId="16" w16cid:durableId="1825776534">
    <w:abstractNumId w:val="18"/>
  </w:num>
  <w:num w:numId="17" w16cid:durableId="2099980998">
    <w:abstractNumId w:val="17"/>
  </w:num>
  <w:num w:numId="18" w16cid:durableId="816074620">
    <w:abstractNumId w:val="14"/>
  </w:num>
  <w:num w:numId="19" w16cid:durableId="842268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EB0CD010-084E-4D62-B888-5E56AA763C92},{95DDB3BA-A119-4A92-9CB9-EA7395B3CD64}"/>
  </w:docVars>
  <w:rsids>
    <w:rsidRoot w:val="003208A2"/>
    <w:rsid w:val="0002790A"/>
    <w:rsid w:val="003208A2"/>
    <w:rsid w:val="009D40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DC2C37-0E4D-49FF-A5BA-C36C7F1E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3926</Characters>
  <Application>Microsoft Office Word</Application>
  <DocSecurity>4</DocSecurity>
  <Lines>109</Lines>
  <Paragraphs>21</Paragraphs>
  <ScaleCrop>false</ScaleCrop>
  <HeadingPairs>
    <vt:vector size="2" baseType="variant">
      <vt:variant>
        <vt:lpstr>Rubrik</vt:lpstr>
      </vt:variant>
      <vt:variant>
        <vt:i4>1</vt:i4>
      </vt:variant>
    </vt:vector>
  </HeadingPairs>
  <TitlesOfParts>
    <vt:vector size="1" baseType="lpstr">
      <vt:lpstr>SD54</vt:lpstr>
    </vt:vector>
  </TitlesOfParts>
  <Company>Riksdagen</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SD54</dc:title>
  <dc:subject>SD54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2011-11-13T13:06:00Z</cp:lastPrinted>
  <dcterms:created xsi:type="dcterms:W3CDTF">2025-12-17T19:38:00Z</dcterms:created>
  <dcterms:modified xsi:type="dcterms:W3CDTF">2025-12-17T19:38:00Z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Ändring i minerallagen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 i minerallagen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SD54</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Sven-Olof Sällström och Lars Isovaara (SD)</vt:lpwstr>
  </property>
  <property fmtid="{D5CDD505-2E9C-101B-9397-08002B2CF9AE}" pid="26" name="MotionarLista">
    <vt:lpwstr>Sällström, Sven-Olof (SD)\Isovaara, Lars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Sven-Olof Sällström (SD), Lars Isovaara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20112012000000830068000000540069</vt:lpwstr>
  </property>
  <property fmtid="{D5CDD505-2E9C-101B-9397-08002B2CF9AE}" pid="47" name="datum">
    <vt:lpwstr>110928</vt:lpwstr>
  </property>
  <property fmtid="{D5CDD505-2E9C-101B-9397-08002B2CF9AE}" pid="48" name="avsändar-e-post">
    <vt:lpwstr>paula.bieler@riksdagen.se</vt:lpwstr>
  </property>
  <property fmtid="{D5CDD505-2E9C-101B-9397-08002B2CF9AE}" pid="49" name="id">
    <vt:lpwstr>20112012000000830068000000540069</vt:lpwstr>
  </property>
  <property fmtid="{D5CDD505-2E9C-101B-9397-08002B2CF9AE}" pid="50" name="nummer">
    <vt:lpwstr>232</vt:lpwstr>
  </property>
  <property fmtid="{D5CDD505-2E9C-101B-9397-08002B2CF9AE}" pid="51" name="utskottsbeteckning">
    <vt:lpwstr>N</vt:lpwstr>
  </property>
  <property fmtid="{D5CDD505-2E9C-101B-9397-08002B2CF9AE}" pid="52" name="GlobalUID">
    <vt:lpwstr>{2DB0AF51-0B12-4E30-BA00-1829D3EE851A}</vt:lpwstr>
  </property>
  <property fmtid="{D5CDD505-2E9C-101B-9397-08002B2CF9AE}" pid="53" name="Överföringar">
    <vt:i4>0</vt:i4>
  </property>
  <property fmtid="{D5CDD505-2E9C-101B-9397-08002B2CF9AE}" pid="54" name="Checksum">
    <vt:lpwstr>*1008908844978*</vt:lpwstr>
  </property>
  <property fmtid="{D5CDD505-2E9C-101B-9397-08002B2CF9AE}" pid="55" name="skuggnummer">
    <vt:lpwstr>619</vt:lpwstr>
  </property>
  <property fmtid="{D5CDD505-2E9C-101B-9397-08002B2CF9AE}" pid="56" name="urixVersion">
    <vt:lpwstr>4.5.0.25</vt:lpwstr>
  </property>
  <property fmtid="{D5CDD505-2E9C-101B-9397-08002B2CF9AE}" pid="57" name="urixOrigin">
    <vt:lpwstr>111113 14:06:34.722</vt:lpwstr>
  </property>
  <property fmtid="{D5CDD505-2E9C-101B-9397-08002B2CF9AE}" pid="58" name="urixGuid">
    <vt:lpwstr>{BE022480-E1B9-4C05-A0FD-38912401D710}</vt:lpwstr>
  </property>
</Properties>
</file>