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142"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5D75A7">
        <w:tblPrEx>
          <w:tblCellMar>
            <w:top w:w="0" w:type="dxa"/>
            <w:left w:w="0" w:type="dxa"/>
            <w:bottom w:w="0" w:type="dxa"/>
            <w:right w:w="0" w:type="dxa"/>
          </w:tblCellMar>
        </w:tblPrEx>
        <w:trPr>
          <w:gridAfter w:val="2"/>
          <w:wAfter w:w="1758" w:type="dxa"/>
          <w:cantSplit/>
          <w:trHeight w:val="1320"/>
        </w:trPr>
        <w:tc>
          <w:tcPr>
            <w:tcW w:w="5897" w:type="dxa"/>
          </w:tcPr>
          <w:p w:rsidR="00246EBC" w:rsidRPr="005D75A7" w:rsidRDefault="00246EBC">
            <w:pPr>
              <w:pStyle w:val="HuvudRubrik"/>
              <w:rPr>
                <w:rStyle w:val="Kommentarsreferens"/>
              </w:rPr>
            </w:pPr>
            <w:r w:rsidRPr="005D75A7">
              <w:t>Regeringskansliet</w:t>
            </w:r>
          </w:p>
          <w:p w:rsidR="00246EBC" w:rsidRPr="005D75A7" w:rsidRDefault="00246EBC">
            <w:pPr>
              <w:pStyle w:val="HuvudRubrik"/>
            </w:pPr>
          </w:p>
          <w:p w:rsidR="00246EBC" w:rsidRPr="005D75A7" w:rsidRDefault="00246EBC">
            <w:pPr>
              <w:pStyle w:val="HuvudRubrik"/>
            </w:pPr>
            <w:r w:rsidRPr="005D75A7">
              <w:t>Faktapromemoria  2007/08:FPM64</w:t>
            </w:r>
          </w:p>
        </w:tc>
      </w:tr>
      <w:tr w:rsidR="00000000" w:rsidRPr="005D75A7">
        <w:tblPrEx>
          <w:tblCellMar>
            <w:top w:w="0" w:type="dxa"/>
            <w:left w:w="0" w:type="dxa"/>
            <w:bottom w:w="0" w:type="dxa"/>
            <w:right w:w="0" w:type="dxa"/>
          </w:tblCellMar>
        </w:tblPrEx>
        <w:trPr>
          <w:gridAfter w:val="2"/>
          <w:wAfter w:w="1758" w:type="dxa"/>
          <w:cantSplit/>
          <w:trHeight w:val="240"/>
        </w:trPr>
        <w:tc>
          <w:tcPr>
            <w:tcW w:w="5897" w:type="dxa"/>
          </w:tcPr>
          <w:p w:rsidR="00246EBC" w:rsidRPr="005D75A7" w:rsidRDefault="00246EBC">
            <w:pPr>
              <w:pStyle w:val="HuvudRubrik"/>
              <w:rPr>
                <w:sz w:val="28"/>
              </w:rPr>
            </w:pPr>
            <w:r w:rsidRPr="005D75A7">
              <w:t>Rapport om Lissabonstrategin</w:t>
            </w:r>
          </w:p>
        </w:tc>
      </w:tr>
      <w:tr w:rsidR="00000000" w:rsidRPr="005D75A7">
        <w:tblPrEx>
          <w:tblCellMar>
            <w:top w:w="0" w:type="dxa"/>
            <w:left w:w="0" w:type="dxa"/>
            <w:bottom w:w="0" w:type="dxa"/>
            <w:right w:w="0" w:type="dxa"/>
          </w:tblCellMar>
        </w:tblPrEx>
        <w:trPr>
          <w:cantSplit/>
          <w:trHeight w:val="285"/>
        </w:trPr>
        <w:tc>
          <w:tcPr>
            <w:tcW w:w="7655" w:type="dxa"/>
            <w:gridSpan w:val="3"/>
          </w:tcPr>
          <w:p w:rsidR="00246EBC" w:rsidRPr="005D75A7" w:rsidRDefault="00246EBC">
            <w:pPr>
              <w:pStyle w:val="Departement"/>
              <w:rPr>
                <w:sz w:val="28"/>
              </w:rPr>
            </w:pPr>
            <w:r w:rsidRPr="005D75A7">
              <w:t>Statsrådsberedningen</w:t>
            </w:r>
          </w:p>
        </w:tc>
      </w:tr>
      <w:tr w:rsidR="00000000" w:rsidRPr="005D75A7">
        <w:tblPrEx>
          <w:tblCellMar>
            <w:top w:w="0" w:type="dxa"/>
            <w:left w:w="0" w:type="dxa"/>
            <w:bottom w:w="0" w:type="dxa"/>
            <w:right w:w="0" w:type="dxa"/>
          </w:tblCellMar>
        </w:tblPrEx>
        <w:trPr>
          <w:cantSplit/>
          <w:trHeight w:val="928"/>
        </w:trPr>
        <w:tc>
          <w:tcPr>
            <w:tcW w:w="7655" w:type="dxa"/>
            <w:gridSpan w:val="3"/>
          </w:tcPr>
          <w:p w:rsidR="00246EBC" w:rsidRPr="005D75A7" w:rsidRDefault="00246EBC">
            <w:pPr>
              <w:pStyle w:val="Dokumentdatum"/>
            </w:pPr>
            <w:r w:rsidRPr="005D75A7">
              <w:t>2008-02-04</w:t>
            </w:r>
          </w:p>
        </w:tc>
      </w:tr>
      <w:tr w:rsidR="00000000" w:rsidRPr="005D75A7">
        <w:tblPrEx>
          <w:tblCellMar>
            <w:top w:w="0" w:type="dxa"/>
            <w:left w:w="0" w:type="dxa"/>
            <w:bottom w:w="0" w:type="dxa"/>
            <w:right w:w="0" w:type="dxa"/>
          </w:tblCellMar>
        </w:tblPrEx>
        <w:trPr>
          <w:cantSplit/>
          <w:trHeight w:val="726"/>
        </w:trPr>
        <w:tc>
          <w:tcPr>
            <w:tcW w:w="7655" w:type="dxa"/>
            <w:gridSpan w:val="3"/>
            <w:vAlign w:val="bottom"/>
          </w:tcPr>
          <w:p w:rsidR="00246EBC" w:rsidRPr="005D75A7" w:rsidRDefault="00246EBC">
            <w:pPr>
              <w:pStyle w:val="Dokumentbeteckning"/>
            </w:pPr>
            <w:r w:rsidRPr="005D75A7">
              <w:t>Dokumentbeteckning</w:t>
            </w:r>
          </w:p>
        </w:tc>
      </w:tr>
      <w:tr w:rsidR="00000000" w:rsidRPr="005D75A7">
        <w:tblPrEx>
          <w:tblCellMar>
            <w:top w:w="0" w:type="dxa"/>
            <w:left w:w="0" w:type="dxa"/>
            <w:bottom w:w="0" w:type="dxa"/>
            <w:right w:w="0" w:type="dxa"/>
          </w:tblCellMar>
        </w:tblPrEx>
        <w:trPr>
          <w:gridAfter w:val="1"/>
          <w:wAfter w:w="1560" w:type="dxa"/>
          <w:trHeight w:val="413"/>
        </w:trPr>
        <w:tc>
          <w:tcPr>
            <w:tcW w:w="6095" w:type="dxa"/>
            <w:gridSpan w:val="2"/>
          </w:tcPr>
          <w:p w:rsidR="00246EBC" w:rsidRPr="005D75A7" w:rsidRDefault="00246EBC">
            <w:bookmarkStart w:id="0" w:name="KomNr"/>
            <w:bookmarkEnd w:id="0"/>
            <w:r w:rsidRPr="005D75A7">
              <w:t>KOM (2007) 803</w:t>
            </w:r>
          </w:p>
        </w:tc>
      </w:tr>
      <w:tr w:rsidR="00000000" w:rsidRPr="005D75A7">
        <w:tblPrEx>
          <w:tblCellMar>
            <w:top w:w="0" w:type="dxa"/>
            <w:left w:w="0" w:type="dxa"/>
            <w:bottom w:w="0" w:type="dxa"/>
            <w:right w:w="0" w:type="dxa"/>
          </w:tblCellMar>
        </w:tblPrEx>
        <w:trPr>
          <w:gridAfter w:val="1"/>
          <w:wAfter w:w="1560" w:type="dxa"/>
          <w:trHeight w:val="997"/>
        </w:trPr>
        <w:tc>
          <w:tcPr>
            <w:tcW w:w="6095" w:type="dxa"/>
            <w:gridSpan w:val="2"/>
          </w:tcPr>
          <w:p w:rsidR="00246EBC" w:rsidRPr="005D75A7" w:rsidRDefault="00246EBC">
            <w:pPr>
              <w:pStyle w:val="Dokumentbeteckning-titel"/>
            </w:pPr>
            <w:r w:rsidRPr="005D75A7">
              <w:t>Meddelande från kommissionen till Europeiska rådet: Strategirapport om den förnyade Lissabonstrategin för tillväxt och jobb: start för den nya treårsperioden 2008-2010. Rekommendation till rådsrekommendationer på medlemsstaternas och gemenskapens ekonomiska politik samt på genomförandet av sysselsättningspolitiken i medlemsstaterna. Integrerade riktlinjer för tillväxt och sysselsättning (2008-2010); Kommissionens rekommendation om allmänna riktlinjer för medlemsstaternas och gemenskapens ekonomiska politi</w:t>
            </w:r>
            <w:r w:rsidRPr="005D75A7">
              <w:t>k samt kommissionens förslag till rådsbeslut om riktlinjer för sysselsättningspolitiken i medlemsstaterna.</w:t>
            </w:r>
          </w:p>
        </w:tc>
      </w:tr>
      <w:tr w:rsidR="00000000" w:rsidRPr="005D75A7">
        <w:tblPrEx>
          <w:tblCellMar>
            <w:top w:w="0" w:type="dxa"/>
            <w:left w:w="0" w:type="dxa"/>
            <w:bottom w:w="0" w:type="dxa"/>
            <w:right w:w="0" w:type="dxa"/>
          </w:tblCellMar>
        </w:tblPrEx>
        <w:trPr>
          <w:gridAfter w:val="1"/>
          <w:wAfter w:w="1560" w:type="dxa"/>
          <w:trHeight w:val="479"/>
        </w:trPr>
        <w:tc>
          <w:tcPr>
            <w:tcW w:w="6095" w:type="dxa"/>
            <w:gridSpan w:val="2"/>
          </w:tcPr>
          <w:p w:rsidR="00246EBC" w:rsidRPr="005D75A7" w:rsidRDefault="00246EBC">
            <w:r w:rsidRPr="005D75A7">
              <w:t>KOM (2007) 804</w:t>
            </w:r>
          </w:p>
        </w:tc>
      </w:tr>
      <w:tr w:rsidR="00000000" w:rsidRPr="005D75A7">
        <w:tblPrEx>
          <w:tblCellMar>
            <w:top w:w="0" w:type="dxa"/>
            <w:left w:w="0" w:type="dxa"/>
            <w:bottom w:w="0" w:type="dxa"/>
            <w:right w:w="0" w:type="dxa"/>
          </w:tblCellMar>
        </w:tblPrEx>
        <w:trPr>
          <w:gridAfter w:val="1"/>
          <w:wAfter w:w="1560" w:type="dxa"/>
          <w:trHeight w:val="854"/>
        </w:trPr>
        <w:tc>
          <w:tcPr>
            <w:tcW w:w="6095" w:type="dxa"/>
            <w:gridSpan w:val="2"/>
          </w:tcPr>
          <w:p w:rsidR="00246EBC" w:rsidRPr="005D75A7" w:rsidRDefault="00246EBC">
            <w:pPr>
              <w:pStyle w:val="Dokumentbeteckning-titel"/>
            </w:pPr>
            <w:r w:rsidRPr="005D75A7">
              <w:t>Meddelande från kommissionen till Europaparlamentet, rådet, Europeiska  ekonomiska och sociala kommittén och Regionkommittén. Förslag till gemenskapens Lissabonprogram 2008-2010</w:t>
            </w:r>
          </w:p>
        </w:tc>
      </w:tr>
      <w:tr w:rsidR="00000000" w:rsidRPr="005D75A7">
        <w:tblPrEx>
          <w:tblCellMar>
            <w:top w:w="0" w:type="dxa"/>
            <w:left w:w="0" w:type="dxa"/>
            <w:bottom w:w="0" w:type="dxa"/>
            <w:right w:w="0" w:type="dxa"/>
          </w:tblCellMar>
        </w:tblPrEx>
        <w:trPr>
          <w:gridAfter w:val="1"/>
          <w:wAfter w:w="1560" w:type="dxa"/>
          <w:trHeight w:val="399"/>
        </w:trPr>
        <w:tc>
          <w:tcPr>
            <w:tcW w:w="6095" w:type="dxa"/>
            <w:gridSpan w:val="2"/>
          </w:tcPr>
          <w:p w:rsidR="00246EBC" w:rsidRPr="005D75A7" w:rsidRDefault="00246EBC">
            <w:r w:rsidRPr="005D75A7">
              <w:t>KOM (2007) 798</w:t>
            </w:r>
          </w:p>
        </w:tc>
      </w:tr>
      <w:tr w:rsidR="00000000" w:rsidRPr="005D75A7">
        <w:tblPrEx>
          <w:tblCellMar>
            <w:top w:w="0" w:type="dxa"/>
            <w:left w:w="0" w:type="dxa"/>
            <w:bottom w:w="0" w:type="dxa"/>
            <w:right w:w="0" w:type="dxa"/>
          </w:tblCellMar>
        </w:tblPrEx>
        <w:trPr>
          <w:gridAfter w:val="1"/>
          <w:wAfter w:w="1560" w:type="dxa"/>
          <w:trHeight w:val="997"/>
        </w:trPr>
        <w:tc>
          <w:tcPr>
            <w:tcW w:w="6095" w:type="dxa"/>
            <w:gridSpan w:val="2"/>
          </w:tcPr>
          <w:p w:rsidR="00246EBC" w:rsidRPr="005D75A7" w:rsidRDefault="00246EBC">
            <w:pPr>
              <w:pStyle w:val="Dokumentbeteckning-titel"/>
            </w:pPr>
            <w:r w:rsidRPr="005D75A7">
              <w:t>Meddelande från kommissionen till Europaparlamentet, rådet, Europeiska  ekonomiska och sociala kommittén och Regionkommittén. Medlemsstater och regioner genomför Lissabonstrategin genom EU:s sammanhållningspolitik 2007-2013</w:t>
            </w:r>
          </w:p>
        </w:tc>
      </w:tr>
    </w:tbl>
    <w:p w:rsidR="00246EBC" w:rsidRPr="005D75A7" w:rsidRDefault="00246EBC"/>
    <w:p w:rsidR="00246EBC" w:rsidRPr="005D75A7" w:rsidRDefault="00246EBC">
      <w:pPr>
        <w:pStyle w:val="Rubrik1"/>
        <w:numPr>
          <w:ilvl w:val="0"/>
          <w:numId w:val="0"/>
        </w:numPr>
        <w:rPr>
          <w:rStyle w:val="Kommentarsreferens"/>
        </w:rPr>
      </w:pPr>
      <w:r w:rsidRPr="005D75A7">
        <w:t>Sammanfattning</w:t>
      </w:r>
    </w:p>
    <w:p w:rsidR="00246EBC" w:rsidRPr="005D75A7" w:rsidRDefault="00246EBC">
      <w:r w:rsidRPr="005D75A7">
        <w:t xml:space="preserve">Den 11 december 2007 presenterade kommissionen sitt ”Lissabon-paket” inför vårtoppmötet i mars 2008. I paketet ingår KOM:s strategiska framstegsrapport, förslag till kommissionens och rådets landspecifika rekommendationer, förslag till integrerade riktlinjer för perioden 2008–2010, KOM:s förslag till gemenskapsprogram för Lissabonstrategin 2008–2010 samt KOM:s </w:t>
      </w:r>
      <w:r w:rsidRPr="005D75A7">
        <w:lastRenderedPageBreak/>
        <w:t xml:space="preserve">meddelande om medlemsstaternas och regionernas genomförande av Lissabonstrategin genom sammanhållningspolitiken 2007–2013. </w:t>
      </w:r>
    </w:p>
    <w:p w:rsidR="00246EBC" w:rsidRPr="005D75A7" w:rsidRDefault="00246EBC">
      <w:r w:rsidRPr="005D75A7">
        <w:t>KOM:s strategiska rapport innehåller en utvärdering av medlemsstaternas genomförande av Lissabonstrategin i enlighet med de nationella handlingsprogrammen, baserat på de årliga nationella framstegsrapporterna. Centrala områden för att fördjupa samarbetet under den kommande tre-årsperioden pekas ut och ett antal specifika åtgärder på EU- och nationell nivå under fyra prioriterade område</w:t>
      </w:r>
      <w:r w:rsidRPr="005D75A7">
        <w:t>n.</w:t>
      </w:r>
    </w:p>
    <w:p w:rsidR="00246EBC" w:rsidRPr="005D75A7" w:rsidRDefault="00246EBC">
      <w:r w:rsidRPr="005D75A7">
        <w:t>Regeringen kan i stort välkomna kommissionens strategiska rapport och delar KOM:s bedömning vad gäller såväl framsteg som brister i genomförandet av Lissabonstrategin. Regeringen delar därför KOM:s bedömning om behovet av fördjupat genomförande av Lissabonstrategin på såväl nationell som på EU-nivå under nästa treårsperiod.</w:t>
      </w:r>
    </w:p>
    <w:p w:rsidR="00246EBC" w:rsidRPr="005D75A7" w:rsidRDefault="00246EBC">
      <w:pPr>
        <w:pStyle w:val="Rubrik1"/>
      </w:pPr>
      <w:r w:rsidRPr="005D75A7">
        <w:t>Förslaget</w:t>
      </w:r>
    </w:p>
    <w:p w:rsidR="00246EBC" w:rsidRPr="005D75A7" w:rsidRDefault="00246EBC">
      <w:pPr>
        <w:pStyle w:val="Rubrik2"/>
      </w:pPr>
      <w:r w:rsidRPr="005D75A7">
        <w:t>Ärendets bakgrund</w:t>
      </w:r>
    </w:p>
    <w:p w:rsidR="00246EBC" w:rsidRPr="005D75A7" w:rsidRDefault="00246EBC">
      <w:pPr>
        <w:rPr>
          <w:iCs/>
          <w:color w:val="000000"/>
          <w:sz w:val="16"/>
          <w:szCs w:val="16"/>
          <w:lang w:eastAsia="en-US"/>
        </w:rPr>
      </w:pPr>
      <w:r w:rsidRPr="005D75A7">
        <w:rPr>
          <w:iCs/>
          <w:color w:val="000000"/>
          <w:sz w:val="16"/>
          <w:szCs w:val="16"/>
          <w:lang w:eastAsia="en-US"/>
        </w:rPr>
        <w:t xml:space="preserve">EU:s gemensamma strategi för hållbar tillväxt och full sysselsättning syftar till att driva på ekonomiska reformer, stärka den sociala sammahållningen i unionen samt främja en miljömässigt hållbar utveckling. Strategin följs upp varje år av stats- och regeringscheferna vid vårtoppmötet. Då utvärderar  man framstegen i Lissabonstrategin och ger vägledning för det fortsatta arbetet. </w:t>
      </w:r>
    </w:p>
    <w:p w:rsidR="00246EBC" w:rsidRPr="005D75A7" w:rsidRDefault="00246EBC">
      <w:r w:rsidRPr="005D75A7">
        <w:rPr>
          <w:iCs/>
          <w:color w:val="000000"/>
          <w:sz w:val="16"/>
          <w:szCs w:val="16"/>
          <w:lang w:eastAsia="en-US"/>
        </w:rPr>
        <w:t xml:space="preserve">Den </w:t>
      </w:r>
      <w:r w:rsidRPr="005D75A7">
        <w:t>11 december 2007 presenterade kommissionen sitt ”Lissabon-paket” inför vårtoppmötet mars 2008. I paketet ingår KOM:s årliga rapport om genomförandet av Lissabonstrategin. Rapporten baseras på de årliga nationella framstegrapport om genomförandet av de nationella handlingsprogrammen. I övrigt ingår i paketet förslag till kommissionens och rådets landspecifika rekommendationer till medlemsstaterna, förslag till integrerade riktlinjer för perioden 2008–2010, KOM:s förslag till gemenskapsprogram för Lissabonstr</w:t>
      </w:r>
      <w:r w:rsidRPr="005D75A7">
        <w:t xml:space="preserve">ategin 2008–2010 samt KOM:s meddelande om medlemsstaternas och regionernas genomförande av Lissabonstrategin genom sammanhållningspolitiken 2007–2013. </w:t>
      </w:r>
    </w:p>
    <w:p w:rsidR="00246EBC" w:rsidRPr="005D75A7" w:rsidRDefault="00246EBC">
      <w:pPr>
        <w:pStyle w:val="Rubrik2"/>
      </w:pPr>
      <w:r w:rsidRPr="005D75A7">
        <w:t>Förslagets innehåll</w:t>
      </w:r>
    </w:p>
    <w:p w:rsidR="00246EBC" w:rsidRPr="005D75A7" w:rsidRDefault="00246EBC">
      <w:r w:rsidRPr="005D75A7">
        <w:t>Kommissionens strategiska rapport</w:t>
      </w:r>
    </w:p>
    <w:p w:rsidR="00246EBC" w:rsidRPr="005D75A7" w:rsidRDefault="00246EBC">
      <w:r w:rsidRPr="005D75A7">
        <w:t>KOM:s strategiska rapport innehåller en utvärdering av medlemsstaternas genomförande av Lissabonstrategin baserat på de årliga nationella framstegsrapporterna. Rapportens första del presenterar generella slutsatser om genomförandet av reformer. KOM menar inledningsvis att även om merparten av den ekonomiska uppgången hänförs till konjunkturen är resultatet från strategin synbart då strukturella reformer i MS bidragit till utvecklingen. KOM pekar dock på att genomförandet av reformer är ojämnt fördelat mell</w:t>
      </w:r>
      <w:r w:rsidRPr="005D75A7">
        <w:t xml:space="preserve">an såväl länder som mellan olika politikområden. </w:t>
      </w:r>
    </w:p>
    <w:p w:rsidR="00246EBC" w:rsidRPr="005D75A7" w:rsidRDefault="00246EBC"/>
    <w:p w:rsidR="00246EBC" w:rsidRPr="005D75A7" w:rsidRDefault="00246EBC">
      <w:r w:rsidRPr="005D75A7">
        <w:t xml:space="preserve">Rapporten pekar på fyra centrala områden för att fördjupa genomförandet av strategin under den kommande 3-årsperioden; </w:t>
      </w:r>
    </w:p>
    <w:p w:rsidR="00246EBC" w:rsidRPr="005D75A7" w:rsidRDefault="00246EBC">
      <w:pPr>
        <w:numPr>
          <w:ilvl w:val="0"/>
          <w:numId w:val="7"/>
        </w:numPr>
      </w:pPr>
      <w:r w:rsidRPr="005D75A7">
        <w:t>Driva igenom utestående reformer på nationell nivå bl a mot bakgrund av de landspecifika rekommendationerna till medlemsstaterna. De landspecifika rekommendationerna (eller de s. k. ”points to watch”) föreslås vara i stort oförändrade med endast marginella uppdateringar.</w:t>
      </w:r>
    </w:p>
    <w:p w:rsidR="00246EBC" w:rsidRPr="005D75A7" w:rsidRDefault="00246EBC">
      <w:pPr>
        <w:numPr>
          <w:ilvl w:val="0"/>
          <w:numId w:val="7"/>
        </w:numPr>
      </w:pPr>
      <w:r w:rsidRPr="005D75A7">
        <w:t>Stärka den ekonomiskpolitiska samordningen mellan och inom medlemsstaterna med fortsatt fokus på genomförande. De integrerade riktlinjerna förslås oförändrade för nästa tre-årsperiod. Kommissionen föreslår att varje medlemsstati sin rapportering om genomförandet av Lissabonstrategin ska inkludera en kort handlingsplan för åtgärder med tidtabeller för att möte de landspecifika rekommendationerna.</w:t>
      </w:r>
    </w:p>
    <w:p w:rsidR="00246EBC" w:rsidRPr="005D75A7" w:rsidRDefault="00246EBC">
      <w:pPr>
        <w:numPr>
          <w:ilvl w:val="0"/>
          <w:numId w:val="7"/>
        </w:numPr>
      </w:pPr>
      <w:r w:rsidRPr="005D75A7">
        <w:t xml:space="preserve">Genomföra prioriterade reformer på gemenskapsnivå t ex fullborda den inre marknaden. </w:t>
      </w:r>
    </w:p>
    <w:p w:rsidR="00246EBC" w:rsidRPr="005D75A7" w:rsidRDefault="00246EBC">
      <w:pPr>
        <w:numPr>
          <w:ilvl w:val="0"/>
          <w:numId w:val="7"/>
        </w:numPr>
      </w:pPr>
      <w:r w:rsidRPr="005D75A7">
        <w:t>Forma den externa agendan. KOM konstaterar att protektionism inte är en framkomlig väg.  EU bör använda alla sina instrument för att säkra att EU’s öppenhet bibehålls och matchas av ökat tillträde till marknader i tredje land. Vidare bör EU uppgradera sin strategiska dialog med tredjeland för att utveckla ömsesidigt fördelaktiga lösningar, främja högre standarder och harmonisering av internationella regelverk.</w:t>
      </w:r>
    </w:p>
    <w:p w:rsidR="00246EBC" w:rsidRPr="005D75A7" w:rsidRDefault="00246EBC"/>
    <w:p w:rsidR="00246EBC" w:rsidRPr="005D75A7" w:rsidRDefault="00246EBC">
      <w:r w:rsidRPr="005D75A7">
        <w:t xml:space="preserve">KOM redovisar ett antal specifika åtgärder för kommande period på EU respektive MS-nivå under de fyra prioriterade områdena; </w:t>
      </w:r>
    </w:p>
    <w:p w:rsidR="00246EBC" w:rsidRPr="005D75A7" w:rsidRDefault="00246EBC">
      <w:pPr>
        <w:rPr>
          <w:b/>
        </w:rPr>
      </w:pPr>
    </w:p>
    <w:p w:rsidR="00246EBC" w:rsidRPr="005D75A7" w:rsidRDefault="00246EBC">
      <w:pPr>
        <w:rPr>
          <w:b/>
        </w:rPr>
      </w:pPr>
      <w:r w:rsidRPr="005D75A7">
        <w:rPr>
          <w:b/>
        </w:rPr>
        <w:t>Investera i människor och modernisera arbetsmarknaderna</w:t>
      </w:r>
    </w:p>
    <w:p w:rsidR="00246EBC" w:rsidRPr="005D75A7" w:rsidRDefault="00246EBC">
      <w:pPr>
        <w:rPr>
          <w:i/>
        </w:rPr>
      </w:pPr>
      <w:r w:rsidRPr="005D75A7">
        <w:rPr>
          <w:i/>
        </w:rPr>
        <w:t>På gemenskapsnivå:</w:t>
      </w:r>
    </w:p>
    <w:p w:rsidR="00246EBC" w:rsidRPr="005D75A7" w:rsidRDefault="00246EBC">
      <w:pPr>
        <w:numPr>
          <w:ilvl w:val="0"/>
          <w:numId w:val="11"/>
        </w:numPr>
        <w:spacing w:line="140" w:lineRule="atLeast"/>
        <w:ind w:left="357" w:hanging="357"/>
      </w:pPr>
      <w:r w:rsidRPr="005D75A7">
        <w:t>stärka social sammanhållning genom en förnyad social agenda (2008)</w:t>
      </w:r>
    </w:p>
    <w:p w:rsidR="00246EBC" w:rsidRPr="005D75A7" w:rsidRDefault="00246EBC">
      <w:pPr>
        <w:numPr>
          <w:ilvl w:val="0"/>
          <w:numId w:val="11"/>
        </w:numPr>
        <w:spacing w:line="140" w:lineRule="atLeast"/>
        <w:ind w:left="357" w:hanging="357"/>
      </w:pPr>
      <w:r w:rsidRPr="005D75A7">
        <w:t>anta förslag till gemensam immigrationspolitik</w:t>
      </w:r>
    </w:p>
    <w:p w:rsidR="00246EBC" w:rsidRPr="005D75A7" w:rsidRDefault="00246EBC">
      <w:pPr>
        <w:numPr>
          <w:ilvl w:val="0"/>
          <w:numId w:val="11"/>
        </w:numPr>
        <w:spacing w:line="140" w:lineRule="atLeast"/>
        <w:ind w:left="357" w:hanging="357"/>
      </w:pPr>
      <w:r w:rsidRPr="005D75A7">
        <w:t>regelbundet utarbeta prognoser för kompetensbehovet</w:t>
      </w:r>
    </w:p>
    <w:p w:rsidR="00246EBC" w:rsidRPr="005D75A7" w:rsidRDefault="00246EBC">
      <w:pPr>
        <w:numPr>
          <w:ilvl w:val="0"/>
          <w:numId w:val="11"/>
        </w:numPr>
        <w:spacing w:line="140" w:lineRule="atLeast"/>
        <w:ind w:left="357" w:hanging="357"/>
      </w:pPr>
      <w:r w:rsidRPr="005D75A7">
        <w:t xml:space="preserve">ta bort hinder för arbetskraftsmobilitet </w:t>
      </w:r>
    </w:p>
    <w:p w:rsidR="00246EBC" w:rsidRPr="005D75A7" w:rsidRDefault="00246EBC">
      <w:pPr>
        <w:rPr>
          <w:i/>
        </w:rPr>
      </w:pPr>
      <w:r w:rsidRPr="005D75A7">
        <w:rPr>
          <w:i/>
        </w:rPr>
        <w:t>På nationell nivå:</w:t>
      </w:r>
    </w:p>
    <w:p w:rsidR="00246EBC" w:rsidRPr="005D75A7" w:rsidRDefault="00246EBC">
      <w:pPr>
        <w:numPr>
          <w:ilvl w:val="0"/>
          <w:numId w:val="12"/>
        </w:numPr>
      </w:pPr>
      <w:r w:rsidRPr="005D75A7">
        <w:t>genomföra principerna för flexicurity i nationell politik</w:t>
      </w:r>
    </w:p>
    <w:p w:rsidR="00246EBC" w:rsidRPr="005D75A7" w:rsidRDefault="00246EBC">
      <w:pPr>
        <w:numPr>
          <w:ilvl w:val="0"/>
          <w:numId w:val="12"/>
        </w:numPr>
      </w:pPr>
      <w:r w:rsidRPr="005D75A7">
        <w:t>öka tillgången på kostnadseffektiv barnomsorg</w:t>
      </w:r>
    </w:p>
    <w:p w:rsidR="00246EBC" w:rsidRPr="005D75A7" w:rsidRDefault="00246EBC">
      <w:pPr>
        <w:numPr>
          <w:ilvl w:val="0"/>
          <w:numId w:val="12"/>
        </w:numPr>
      </w:pPr>
      <w:r w:rsidRPr="005D75A7">
        <w:t>handlingsplaner för att minska ”early school leavers” och förbättra läs och skrivkunskaper.</w:t>
      </w:r>
    </w:p>
    <w:p w:rsidR="00246EBC" w:rsidRPr="005D75A7" w:rsidRDefault="00246EBC">
      <w:pPr>
        <w:numPr>
          <w:ilvl w:val="0"/>
          <w:numId w:val="12"/>
        </w:numPr>
      </w:pPr>
      <w:r w:rsidRPr="005D75A7">
        <w:t>utarbeta nationella ramverk för kvalifikationer till 2010</w:t>
      </w:r>
    </w:p>
    <w:p w:rsidR="00246EBC" w:rsidRPr="005D75A7" w:rsidRDefault="00246EBC"/>
    <w:p w:rsidR="00246EBC" w:rsidRPr="005D75A7" w:rsidRDefault="00246EBC">
      <w:pPr>
        <w:rPr>
          <w:b/>
        </w:rPr>
      </w:pPr>
      <w:r w:rsidRPr="005D75A7">
        <w:rPr>
          <w:b/>
        </w:rPr>
        <w:t>Frigöra potentialen för företag</w:t>
      </w:r>
    </w:p>
    <w:p w:rsidR="00246EBC" w:rsidRPr="005D75A7" w:rsidRDefault="00246EBC">
      <w:pPr>
        <w:rPr>
          <w:i/>
        </w:rPr>
      </w:pPr>
      <w:r w:rsidRPr="005D75A7">
        <w:rPr>
          <w:i/>
        </w:rPr>
        <w:t>På gemenskapsnivå:</w:t>
      </w:r>
    </w:p>
    <w:p w:rsidR="00246EBC" w:rsidRPr="005D75A7" w:rsidRDefault="00246EBC">
      <w:pPr>
        <w:numPr>
          <w:ilvl w:val="0"/>
          <w:numId w:val="13"/>
        </w:numPr>
      </w:pPr>
      <w:r w:rsidRPr="005D75A7">
        <w:t>presentera en europeisk akt för småföretag</w:t>
      </w:r>
    </w:p>
    <w:p w:rsidR="00246EBC" w:rsidRPr="005D75A7" w:rsidRDefault="00246EBC">
      <w:pPr>
        <w:numPr>
          <w:ilvl w:val="0"/>
          <w:numId w:val="13"/>
        </w:numPr>
      </w:pPr>
      <w:r w:rsidRPr="005D75A7">
        <w:t>genomföra det rullande förenklingsarbetet</w:t>
      </w:r>
    </w:p>
    <w:p w:rsidR="00246EBC" w:rsidRPr="005D75A7" w:rsidRDefault="00246EBC">
      <w:pPr>
        <w:rPr>
          <w:i/>
        </w:rPr>
      </w:pPr>
      <w:r w:rsidRPr="005D75A7">
        <w:rPr>
          <w:i/>
        </w:rPr>
        <w:t>På nationell nivå:</w:t>
      </w:r>
    </w:p>
    <w:p w:rsidR="00246EBC" w:rsidRPr="005D75A7" w:rsidRDefault="00246EBC">
      <w:pPr>
        <w:numPr>
          <w:ilvl w:val="0"/>
          <w:numId w:val="14"/>
        </w:numPr>
      </w:pPr>
      <w:r w:rsidRPr="005D75A7">
        <w:t>effektivt och samstämmigt genomförande av tjänstedirektivet (2009)</w:t>
      </w:r>
    </w:p>
    <w:p w:rsidR="00246EBC" w:rsidRPr="005D75A7" w:rsidRDefault="00246EBC">
      <w:pPr>
        <w:numPr>
          <w:ilvl w:val="0"/>
          <w:numId w:val="14"/>
        </w:numPr>
      </w:pPr>
      <w:r w:rsidRPr="005D75A7">
        <w:t>upprätta nationella mål för att minska den administrativa bördan (våren 2008)</w:t>
      </w:r>
    </w:p>
    <w:p w:rsidR="00246EBC" w:rsidRPr="005D75A7" w:rsidRDefault="00246EBC"/>
    <w:p w:rsidR="00246EBC" w:rsidRPr="005D75A7" w:rsidRDefault="00246EBC">
      <w:pPr>
        <w:rPr>
          <w:b/>
        </w:rPr>
      </w:pPr>
      <w:r w:rsidRPr="005D75A7">
        <w:rPr>
          <w:b/>
        </w:rPr>
        <w:t xml:space="preserve">Investera i kunskap och innovation och ökad rörlighet för kunskap </w:t>
      </w:r>
    </w:p>
    <w:p w:rsidR="00246EBC" w:rsidRPr="005D75A7" w:rsidRDefault="00246EBC">
      <w:pPr>
        <w:rPr>
          <w:i/>
        </w:rPr>
      </w:pPr>
      <w:r w:rsidRPr="005D75A7">
        <w:rPr>
          <w:i/>
        </w:rPr>
        <w:t>På gemenskapsnivå:</w:t>
      </w:r>
    </w:p>
    <w:p w:rsidR="00246EBC" w:rsidRPr="005D75A7" w:rsidRDefault="00246EBC">
      <w:pPr>
        <w:numPr>
          <w:ilvl w:val="0"/>
          <w:numId w:val="15"/>
        </w:numPr>
      </w:pPr>
      <w:r w:rsidRPr="005D75A7">
        <w:t>förbättra ramvillkoren för innovation (patent, standarders, gemensamt radiospektrum)</w:t>
      </w:r>
    </w:p>
    <w:p w:rsidR="00246EBC" w:rsidRPr="005D75A7" w:rsidRDefault="00246EBC">
      <w:pPr>
        <w:numPr>
          <w:ilvl w:val="0"/>
          <w:numId w:val="15"/>
        </w:numPr>
      </w:pPr>
      <w:r w:rsidRPr="005D75A7">
        <w:t>öka rörligheten för forskare</w:t>
      </w:r>
    </w:p>
    <w:p w:rsidR="00246EBC" w:rsidRPr="005D75A7" w:rsidRDefault="00246EBC">
      <w:pPr>
        <w:numPr>
          <w:ilvl w:val="0"/>
          <w:numId w:val="15"/>
        </w:numPr>
      </w:pPr>
      <w:r w:rsidRPr="005D75A7">
        <w:t>samordna forskningsmedel för att möta gemensamma utmaningar</w:t>
      </w:r>
    </w:p>
    <w:p w:rsidR="00246EBC" w:rsidRPr="005D75A7" w:rsidRDefault="00246EBC">
      <w:pPr>
        <w:numPr>
          <w:ilvl w:val="0"/>
          <w:numId w:val="15"/>
        </w:numPr>
      </w:pPr>
      <w:r w:rsidRPr="005D75A7">
        <w:t>lansera en ny generation med forskningsinfrastruktur i världsklass</w:t>
      </w:r>
    </w:p>
    <w:p w:rsidR="00246EBC" w:rsidRPr="005D75A7" w:rsidRDefault="00246EBC">
      <w:pPr>
        <w:numPr>
          <w:ilvl w:val="0"/>
          <w:numId w:val="15"/>
        </w:numPr>
      </w:pPr>
      <w:r w:rsidRPr="005D75A7">
        <w:t>öka konkurrensen inom snabba Internet-anslutningar</w:t>
      </w:r>
    </w:p>
    <w:p w:rsidR="00246EBC" w:rsidRPr="005D75A7" w:rsidRDefault="00246EBC">
      <w:pPr>
        <w:rPr>
          <w:i/>
        </w:rPr>
      </w:pPr>
      <w:r w:rsidRPr="005D75A7">
        <w:rPr>
          <w:i/>
        </w:rPr>
        <w:t>På nationell nivå:</w:t>
      </w:r>
    </w:p>
    <w:p w:rsidR="00246EBC" w:rsidRPr="005D75A7" w:rsidRDefault="00246EBC">
      <w:pPr>
        <w:numPr>
          <w:ilvl w:val="0"/>
          <w:numId w:val="16"/>
        </w:numPr>
      </w:pPr>
      <w:r w:rsidRPr="005D75A7">
        <w:t>åtgärder för att uppfylla nationella FoU-mål</w:t>
      </w:r>
    </w:p>
    <w:p w:rsidR="00246EBC" w:rsidRPr="005D75A7" w:rsidRDefault="00246EBC">
      <w:pPr>
        <w:numPr>
          <w:ilvl w:val="0"/>
          <w:numId w:val="16"/>
        </w:numPr>
      </w:pPr>
      <w:r w:rsidRPr="005D75A7">
        <w:t>ta bort hinder för forskarmobilitet mellan offentlig och provat forskning</w:t>
      </w:r>
    </w:p>
    <w:p w:rsidR="00246EBC" w:rsidRPr="005D75A7" w:rsidRDefault="00246EBC">
      <w:pPr>
        <w:numPr>
          <w:ilvl w:val="0"/>
          <w:numId w:val="16"/>
        </w:numPr>
      </w:pPr>
      <w:r w:rsidRPr="005D75A7">
        <w:t>nationella strategier för forskarinfrastruktur i världsklass</w:t>
      </w:r>
    </w:p>
    <w:p w:rsidR="00246EBC" w:rsidRPr="005D75A7" w:rsidRDefault="00246EBC">
      <w:pPr>
        <w:numPr>
          <w:ilvl w:val="0"/>
          <w:numId w:val="16"/>
        </w:numPr>
      </w:pPr>
      <w:r w:rsidRPr="005D75A7">
        <w:t xml:space="preserve">nationella bredbandsstrategier för snabba Internet-anslutningar </w:t>
      </w:r>
    </w:p>
    <w:p w:rsidR="00246EBC" w:rsidRPr="005D75A7" w:rsidRDefault="00246EBC"/>
    <w:p w:rsidR="00246EBC" w:rsidRPr="005D75A7" w:rsidRDefault="00246EBC">
      <w:pPr>
        <w:rPr>
          <w:b/>
        </w:rPr>
      </w:pPr>
      <w:r w:rsidRPr="005D75A7">
        <w:rPr>
          <w:b/>
        </w:rPr>
        <w:t>Energi och klimatförändringar</w:t>
      </w:r>
    </w:p>
    <w:p w:rsidR="00246EBC" w:rsidRPr="005D75A7" w:rsidRDefault="00246EBC">
      <w:pPr>
        <w:rPr>
          <w:i/>
        </w:rPr>
      </w:pPr>
      <w:r w:rsidRPr="005D75A7">
        <w:rPr>
          <w:i/>
        </w:rPr>
        <w:t>På gemenskapsnivå:</w:t>
      </w:r>
    </w:p>
    <w:p w:rsidR="00246EBC" w:rsidRPr="005D75A7" w:rsidRDefault="00246EBC">
      <w:pPr>
        <w:numPr>
          <w:ilvl w:val="0"/>
          <w:numId w:val="9"/>
        </w:numPr>
      </w:pPr>
      <w:r w:rsidRPr="005D75A7">
        <w:t>anta lagförslag som bidrar till att uppnå EU’s mål om minskat utsläpp av växthusgaser</w:t>
      </w:r>
    </w:p>
    <w:p w:rsidR="00246EBC" w:rsidRPr="005D75A7" w:rsidRDefault="00246EBC">
      <w:pPr>
        <w:numPr>
          <w:ilvl w:val="0"/>
          <w:numId w:val="9"/>
        </w:numPr>
      </w:pPr>
      <w:r w:rsidRPr="005D75A7">
        <w:t>översyn av energiskattedirektivet</w:t>
      </w:r>
    </w:p>
    <w:p w:rsidR="00246EBC" w:rsidRPr="005D75A7" w:rsidRDefault="00246EBC">
      <w:pPr>
        <w:numPr>
          <w:ilvl w:val="0"/>
          <w:numId w:val="9"/>
        </w:numPr>
      </w:pPr>
      <w:r w:rsidRPr="005D75A7">
        <w:t>stärka direktivet om byggnaders energiprestanda</w:t>
      </w:r>
    </w:p>
    <w:p w:rsidR="00246EBC" w:rsidRPr="005D75A7" w:rsidRDefault="00246EBC">
      <w:pPr>
        <w:rPr>
          <w:i/>
        </w:rPr>
      </w:pPr>
      <w:r w:rsidRPr="005D75A7">
        <w:rPr>
          <w:i/>
        </w:rPr>
        <w:t>På nationell nivå:</w:t>
      </w:r>
    </w:p>
    <w:p w:rsidR="00246EBC" w:rsidRPr="005D75A7" w:rsidRDefault="00246EBC">
      <w:pPr>
        <w:numPr>
          <w:ilvl w:val="0"/>
          <w:numId w:val="10"/>
        </w:numPr>
      </w:pPr>
      <w:r w:rsidRPr="005D75A7">
        <w:t>se över ekonomiska instrument för att minska utsläppen av växthusgaser</w:t>
      </w:r>
    </w:p>
    <w:p w:rsidR="00246EBC" w:rsidRPr="005D75A7" w:rsidRDefault="00246EBC">
      <w:pPr>
        <w:numPr>
          <w:ilvl w:val="0"/>
          <w:numId w:val="10"/>
        </w:numPr>
      </w:pPr>
      <w:r w:rsidRPr="005D75A7">
        <w:t>inkludera energieffektivitet som ett kriterium i offentlig upphandling</w:t>
      </w:r>
    </w:p>
    <w:p w:rsidR="00246EBC" w:rsidRPr="005D75A7" w:rsidRDefault="00246EBC">
      <w:pPr>
        <w:numPr>
          <w:ilvl w:val="0"/>
          <w:numId w:val="10"/>
        </w:numPr>
      </w:pPr>
      <w:r w:rsidRPr="005D75A7">
        <w:t xml:space="preserve">förbättra interna energinätverk  </w:t>
      </w:r>
    </w:p>
    <w:p w:rsidR="00246EBC" w:rsidRPr="005D75A7" w:rsidRDefault="00246EBC">
      <w:r w:rsidRPr="005D75A7">
        <w:t>KOM:s förslag till integrerade riktlinjer</w:t>
      </w:r>
    </w:p>
    <w:p w:rsidR="00246EBC" w:rsidRPr="005D75A7" w:rsidRDefault="00246EBC">
      <w:r w:rsidRPr="005D75A7">
        <w:t xml:space="preserve">KOM:s förslag till integrerade riktlinjer för 2008-2010 innebär att själva riktlinjerna 1-24 behålls oförändrade från föregående 3-årsperiod (med undantag för några språkliga justeringar). Motiveringen är att riktlinjerna är väl etablerade i medlemsstaterna och utgör ett bra ramverk för MS reformpolitik. Det stärker också fokus på genomförande. </w:t>
      </w:r>
    </w:p>
    <w:p w:rsidR="00246EBC" w:rsidRPr="005D75A7" w:rsidRDefault="00246EBC"/>
    <w:p w:rsidR="00246EBC" w:rsidRPr="005D75A7" w:rsidRDefault="00246EBC">
      <w:r w:rsidRPr="005D75A7">
        <w:t>Det svenska landavsnittet</w:t>
      </w:r>
    </w:p>
    <w:p w:rsidR="00246EBC" w:rsidRPr="005D75A7" w:rsidRDefault="00246EBC">
      <w:r w:rsidRPr="005D75A7">
        <w:t xml:space="preserve">Enligt KOM:s bedömning gör Sverige mycket goda framsteg i genomförandet av det nationella handlingsprogrammet och svarar väl upp mot de synpunkter som framfördes av kommissionen och rådet i förra årets framstegrapport. Den starka inhemska ekonomin är delvis ett resultat, enligt KOM:s bedömning, av regeringens flertal insatser och åtgärder, inklusive lägre skatt på arbete och andra åtgärder som har bidragit till ökad sysselsättningen, lägre arbetslöshet samt ökad disponibelinkomst för hushållen. </w:t>
      </w:r>
    </w:p>
    <w:p w:rsidR="00246EBC" w:rsidRPr="005D75A7" w:rsidRDefault="00246EBC"/>
    <w:p w:rsidR="00246EBC" w:rsidRPr="005D75A7" w:rsidRDefault="00246EBC">
      <w:r w:rsidRPr="005D75A7">
        <w:t>Bland styrkorna i handlingsprogrammet betonar KOM:</w:t>
      </w:r>
    </w:p>
    <w:p w:rsidR="00246EBC" w:rsidRPr="005D75A7" w:rsidRDefault="00246EBC">
      <w:pPr>
        <w:numPr>
          <w:ilvl w:val="0"/>
          <w:numId w:val="17"/>
        </w:numPr>
      </w:pPr>
      <w:r w:rsidRPr="005D75A7">
        <w:t>Handlingsplanen för regelförenkling och insatserna för att stärka arbetet med konsekvensanalyser</w:t>
      </w:r>
    </w:p>
    <w:p w:rsidR="00246EBC" w:rsidRPr="005D75A7" w:rsidRDefault="00246EBC">
      <w:pPr>
        <w:numPr>
          <w:ilvl w:val="0"/>
          <w:numId w:val="17"/>
        </w:numPr>
      </w:pPr>
      <w:r w:rsidRPr="005D75A7">
        <w:t>Framstegen med att öka arbetskraftsutbudet och minska arbetslösheten</w:t>
      </w:r>
    </w:p>
    <w:p w:rsidR="00246EBC" w:rsidRPr="005D75A7" w:rsidRDefault="00246EBC">
      <w:pPr>
        <w:numPr>
          <w:ilvl w:val="0"/>
          <w:numId w:val="17"/>
        </w:numPr>
      </w:pPr>
      <w:r w:rsidRPr="005D75A7">
        <w:t xml:space="preserve">Hållbar energianvändning </w:t>
      </w:r>
    </w:p>
    <w:p w:rsidR="00246EBC" w:rsidRPr="005D75A7" w:rsidRDefault="00246EBC">
      <w:pPr>
        <w:numPr>
          <w:ilvl w:val="0"/>
          <w:numId w:val="17"/>
        </w:numPr>
      </w:pPr>
      <w:r w:rsidRPr="005D75A7">
        <w:t>Ökade insatser för att stärka offentliga investeringar i FoU</w:t>
      </w:r>
    </w:p>
    <w:p w:rsidR="00246EBC" w:rsidRPr="005D75A7" w:rsidRDefault="00246EBC">
      <w:r w:rsidRPr="005D75A7">
        <w:t xml:space="preserve">  </w:t>
      </w:r>
    </w:p>
    <w:p w:rsidR="00246EBC" w:rsidRPr="005D75A7" w:rsidRDefault="00246EBC">
      <w:r w:rsidRPr="005D75A7">
        <w:t xml:space="preserve">Viktiga insatser för de kommande åren är enligt KOM:  </w:t>
      </w:r>
    </w:p>
    <w:p w:rsidR="00246EBC" w:rsidRPr="005D75A7" w:rsidRDefault="00246EBC">
      <w:pPr>
        <w:numPr>
          <w:ilvl w:val="0"/>
          <w:numId w:val="18"/>
        </w:numPr>
      </w:pPr>
      <w:r w:rsidRPr="005D75A7">
        <w:t xml:space="preserve">Ytterligare lagstiftningsåtgärder för att stärka konkurrensen, inte minst i tjänstesektorn; </w:t>
      </w:r>
    </w:p>
    <w:p w:rsidR="00246EBC" w:rsidRPr="005D75A7" w:rsidRDefault="00246EBC">
      <w:pPr>
        <w:numPr>
          <w:ilvl w:val="0"/>
          <w:numId w:val="18"/>
        </w:numPr>
      </w:pPr>
      <w:r w:rsidRPr="005D75A7">
        <w:t>Fokusera på genomförandet och utvärdering av reformer för att öka incitament till arbete;</w:t>
      </w:r>
    </w:p>
    <w:p w:rsidR="00246EBC" w:rsidRPr="005D75A7" w:rsidRDefault="00246EBC">
      <w:pPr>
        <w:numPr>
          <w:ilvl w:val="0"/>
          <w:numId w:val="18"/>
        </w:numPr>
      </w:pPr>
      <w:r w:rsidRPr="005D75A7">
        <w:t>Hantera ungdomsarbetslösheten, öka sysselsättningen bland immigranter samt återinföra långtidssjukskrivna i arbete.</w:t>
      </w:r>
    </w:p>
    <w:p w:rsidR="00246EBC" w:rsidRPr="005D75A7" w:rsidRDefault="00246EBC">
      <w:r w:rsidRPr="005D75A7">
        <w:t>Kommissionens förslag till gemenskapsprogram för Lissabonstrategin 2008–2010</w:t>
      </w:r>
    </w:p>
    <w:p w:rsidR="00246EBC" w:rsidRPr="005D75A7" w:rsidRDefault="00246EBC">
      <w:r w:rsidRPr="005D75A7">
        <w:t xml:space="preserve">Kommissionens gemenskapsprogram för Lissabonstrategin (CLP) 2008-2010 presenterar de viktigaste och mest prioriterade åtgärder på gemenskapsnivå för att uppnå strategins mål och intentioner. </w:t>
      </w:r>
    </w:p>
    <w:p w:rsidR="00246EBC" w:rsidRPr="005D75A7" w:rsidRDefault="00246EBC"/>
    <w:p w:rsidR="00246EBC" w:rsidRPr="005D75A7" w:rsidRDefault="00246EBC">
      <w:r w:rsidRPr="005D75A7">
        <w:t>Programmet består av 10 huvudmålsättningar med tillhörande åtgärder:</w:t>
      </w:r>
    </w:p>
    <w:p w:rsidR="00246EBC" w:rsidRPr="005D75A7" w:rsidRDefault="00246EBC">
      <w:pPr>
        <w:numPr>
          <w:ilvl w:val="0"/>
          <w:numId w:val="8"/>
        </w:numPr>
      </w:pPr>
      <w:r w:rsidRPr="005D75A7">
        <w:t>Förslag till förnyad social agenda i mitten av 2008</w:t>
      </w:r>
    </w:p>
    <w:p w:rsidR="00246EBC" w:rsidRPr="005D75A7" w:rsidRDefault="00246EBC">
      <w:pPr>
        <w:numPr>
          <w:ilvl w:val="0"/>
          <w:numId w:val="8"/>
        </w:numPr>
      </w:pPr>
      <w:r w:rsidRPr="005D75A7">
        <w:t>Förslag till en gemensam migrationspolitik under 2008</w:t>
      </w:r>
    </w:p>
    <w:p w:rsidR="00246EBC" w:rsidRPr="005D75A7" w:rsidRDefault="00246EBC">
      <w:pPr>
        <w:numPr>
          <w:ilvl w:val="0"/>
          <w:numId w:val="8"/>
        </w:numPr>
      </w:pPr>
      <w:r w:rsidRPr="005D75A7">
        <w:t>Antagandet av en Small Business Act</w:t>
      </w:r>
    </w:p>
    <w:p w:rsidR="00246EBC" w:rsidRPr="005D75A7" w:rsidRDefault="00246EBC">
      <w:pPr>
        <w:numPr>
          <w:ilvl w:val="0"/>
          <w:numId w:val="8"/>
        </w:numPr>
      </w:pPr>
      <w:r w:rsidRPr="005D75A7">
        <w:t>Åtgärder för att nå 25 procent minskad administrativ kostnad 2012.</w:t>
      </w:r>
    </w:p>
    <w:p w:rsidR="00246EBC" w:rsidRPr="005D75A7" w:rsidRDefault="00246EBC">
      <w:pPr>
        <w:numPr>
          <w:ilvl w:val="0"/>
          <w:numId w:val="8"/>
        </w:numPr>
      </w:pPr>
      <w:r w:rsidRPr="005D75A7">
        <w:t>Stärka den inre marknaden, öka konkurrensen i tjänstesektorn och integrera de finansiella marknaderna</w:t>
      </w:r>
    </w:p>
    <w:p w:rsidR="00246EBC" w:rsidRPr="005D75A7" w:rsidRDefault="00246EBC">
      <w:pPr>
        <w:numPr>
          <w:ilvl w:val="0"/>
          <w:numId w:val="8"/>
        </w:numPr>
      </w:pPr>
      <w:r w:rsidRPr="005D75A7">
        <w:t>Fullborda fri rörlighet för kunskap och skapa ett europeiskt forskningsområde</w:t>
      </w:r>
    </w:p>
    <w:p w:rsidR="00246EBC" w:rsidRPr="005D75A7" w:rsidRDefault="00246EBC">
      <w:pPr>
        <w:numPr>
          <w:ilvl w:val="0"/>
          <w:numId w:val="8"/>
        </w:numPr>
      </w:pPr>
      <w:r w:rsidRPr="005D75A7">
        <w:t>Förbättra ramverken för innovation</w:t>
      </w:r>
    </w:p>
    <w:p w:rsidR="00246EBC" w:rsidRPr="005D75A7" w:rsidRDefault="00246EBC">
      <w:pPr>
        <w:numPr>
          <w:ilvl w:val="0"/>
          <w:numId w:val="8"/>
        </w:numPr>
      </w:pPr>
      <w:r w:rsidRPr="005D75A7">
        <w:t>Fullborda en inre marknad för energi och anta klimatpaketet</w:t>
      </w:r>
    </w:p>
    <w:p w:rsidR="00246EBC" w:rsidRPr="005D75A7" w:rsidRDefault="00246EBC">
      <w:pPr>
        <w:numPr>
          <w:ilvl w:val="0"/>
          <w:numId w:val="8"/>
        </w:numPr>
      </w:pPr>
      <w:r w:rsidRPr="005D75A7">
        <w:t>Främja en industri/näringspolitik för hållbar produktion och konsumtion</w:t>
      </w:r>
    </w:p>
    <w:p w:rsidR="00246EBC" w:rsidRPr="005D75A7" w:rsidRDefault="00246EBC">
      <w:pPr>
        <w:numPr>
          <w:ilvl w:val="0"/>
          <w:numId w:val="8"/>
        </w:numPr>
      </w:pPr>
      <w:r w:rsidRPr="005D75A7">
        <w:t>Förhandla  bilateralt med nyckelpartners till Europa för att öppna upp nya möjligheter till handel och investeringar, med ett gemensamt område för regler och standarder.</w:t>
      </w:r>
    </w:p>
    <w:p w:rsidR="00246EBC" w:rsidRPr="005D75A7" w:rsidRDefault="00246EBC">
      <w:pPr>
        <w:pStyle w:val="Rubrik2"/>
      </w:pPr>
      <w:r w:rsidRPr="005D75A7">
        <w:t>Gällande svenska regler och förslagets effekt på dessa</w:t>
      </w:r>
    </w:p>
    <w:p w:rsidR="00246EBC" w:rsidRPr="005D75A7" w:rsidRDefault="00246EBC">
      <w:r w:rsidRPr="005D75A7">
        <w:t>-</w:t>
      </w:r>
    </w:p>
    <w:p w:rsidR="00246EBC" w:rsidRPr="005D75A7" w:rsidRDefault="00246EBC">
      <w:pPr>
        <w:pStyle w:val="Rubrik2"/>
      </w:pPr>
      <w:r w:rsidRPr="005D75A7">
        <w:t>Budgetära konsekvenser</w:t>
      </w:r>
    </w:p>
    <w:p w:rsidR="00246EBC" w:rsidRPr="005D75A7" w:rsidRDefault="00246EBC">
      <w:r w:rsidRPr="005D75A7">
        <w:t>-</w:t>
      </w:r>
    </w:p>
    <w:p w:rsidR="00246EBC" w:rsidRPr="005D75A7" w:rsidRDefault="00246EBC">
      <w:pPr>
        <w:pStyle w:val="Rubrik1"/>
      </w:pPr>
      <w:r w:rsidRPr="005D75A7">
        <w:t>Ståndpunkter</w:t>
      </w:r>
    </w:p>
    <w:p w:rsidR="00246EBC" w:rsidRPr="005D75A7" w:rsidRDefault="00246EBC">
      <w:pPr>
        <w:pStyle w:val="Rubrik2"/>
      </w:pPr>
      <w:r w:rsidRPr="005D75A7">
        <w:t>Preliminär svensk ståndpunkt</w:t>
      </w:r>
    </w:p>
    <w:p w:rsidR="00246EBC" w:rsidRPr="005D75A7" w:rsidRDefault="00246EBC">
      <w:r w:rsidRPr="005D75A7">
        <w:t xml:space="preserve">Regeringen välkomnar i stort kommissionens strategiska rapport och delar KOM:s bedömning vad gäller såväl framsteg som brister i genomförandet av Lissabonstrategin. Regeringen delar därför KOM:s bedömning om behovet av fördjupat genomförande av Lissabonstrategin på såväl nationell som på EU-nivå under nästa treårsperiod. </w:t>
      </w:r>
    </w:p>
    <w:p w:rsidR="00246EBC" w:rsidRPr="005D75A7" w:rsidRDefault="00246EBC"/>
    <w:p w:rsidR="00246EBC" w:rsidRPr="005D75A7" w:rsidRDefault="00246EBC">
      <w:r w:rsidRPr="005D75A7">
        <w:t>Regeringen välkomnar särskilt att KOM:s förslag till integrerade riktlinjer innebär oförändrade riktlinjer från föregående period. Mycket återstår att göra i medlemsstaterna för att genomföra strategins mål och intentioner och en allt för långtgående diskussion om riktlinjerna riskerar underminera fokus på genomförande.</w:t>
      </w:r>
    </w:p>
    <w:p w:rsidR="00246EBC" w:rsidRPr="005D75A7" w:rsidRDefault="00246EBC"/>
    <w:p w:rsidR="00246EBC" w:rsidRPr="005D75A7" w:rsidRDefault="00246EBC">
      <w:r w:rsidRPr="005D75A7">
        <w:t xml:space="preserve">Regeringen välkomnar också  förslaget till landspecifika rekommendationer. De indikerar brister och behov av insatser i genomförandet av strategin i medlemsstaterna samt ger medlemsstaterna möjlighet att föra en långsiktig politik för strukturella reformer. </w:t>
      </w:r>
    </w:p>
    <w:p w:rsidR="00246EBC" w:rsidRPr="005D75A7" w:rsidRDefault="00246EBC"/>
    <w:p w:rsidR="00246EBC" w:rsidRPr="005D75A7" w:rsidRDefault="00246EBC">
      <w:r w:rsidRPr="005D75A7">
        <w:t>Regeringen välkomnar särskilt att den externa dimensionen ges en tydligare plats i rapporten.  Regeringen saknar emellertid en tydlig  referens till vikten av öppna gränser och frihandel samt kopplingen mellan strukturella reformer inom EU och handelspolitiken, för att göra EU mer konkurrenskraftigt.</w:t>
      </w:r>
    </w:p>
    <w:p w:rsidR="00246EBC" w:rsidRPr="005D75A7" w:rsidRDefault="00246EBC"/>
    <w:p w:rsidR="00246EBC" w:rsidRPr="005D75A7" w:rsidRDefault="00246EBC">
      <w:r w:rsidRPr="005D75A7">
        <w:t>Vidare saknar regeringen en referens till vikten av hållbara offentliga finanser och behovet av ökat arbetskraftsutbud för att säkra tillgången och kvalitén av sociala trygghetssystem.</w:t>
      </w:r>
    </w:p>
    <w:p w:rsidR="00246EBC" w:rsidRPr="005D75A7" w:rsidRDefault="00246EBC"/>
    <w:p w:rsidR="00246EBC" w:rsidRPr="005D75A7" w:rsidRDefault="00246EBC">
      <w:r w:rsidRPr="005D75A7">
        <w:t>Regeringen delar kommissionens bedömning av situationen i Sverige och genomförandet av Lissabonsstrategin.</w:t>
      </w:r>
    </w:p>
    <w:p w:rsidR="00246EBC" w:rsidRPr="005D75A7" w:rsidRDefault="00246EBC">
      <w:pPr>
        <w:pStyle w:val="Rubrik2"/>
      </w:pPr>
      <w:r w:rsidRPr="005D75A7">
        <w:t>Medlemsstaternas ståndpunkter</w:t>
      </w:r>
    </w:p>
    <w:p w:rsidR="00246EBC" w:rsidRPr="005D75A7" w:rsidRDefault="00246EBC">
      <w:r w:rsidRPr="005D75A7">
        <w:t>-</w:t>
      </w:r>
    </w:p>
    <w:p w:rsidR="00246EBC" w:rsidRPr="005D75A7" w:rsidRDefault="00246EBC">
      <w:pPr>
        <w:pStyle w:val="Rubrik2"/>
      </w:pPr>
      <w:r w:rsidRPr="005D75A7">
        <w:t>Institutionernas ståndpunkter</w:t>
      </w:r>
    </w:p>
    <w:p w:rsidR="00246EBC" w:rsidRPr="005D75A7" w:rsidRDefault="00246EBC">
      <w:r w:rsidRPr="005D75A7">
        <w:t>-</w:t>
      </w:r>
    </w:p>
    <w:p w:rsidR="00246EBC" w:rsidRPr="005D75A7" w:rsidRDefault="00246EBC">
      <w:pPr>
        <w:pStyle w:val="Rubrik2"/>
      </w:pPr>
      <w:r w:rsidRPr="005D75A7">
        <w:t>Remissinstansernas ståndpunkter</w:t>
      </w:r>
    </w:p>
    <w:p w:rsidR="00246EBC" w:rsidRPr="005D75A7" w:rsidRDefault="00246EBC">
      <w:r w:rsidRPr="005D75A7">
        <w:t>-</w:t>
      </w:r>
    </w:p>
    <w:p w:rsidR="00246EBC" w:rsidRPr="005D75A7" w:rsidRDefault="00246EBC">
      <w:pPr>
        <w:pStyle w:val="Rubrik1"/>
      </w:pPr>
      <w:r w:rsidRPr="005D75A7">
        <w:t>Förslagets förutsättningar</w:t>
      </w:r>
    </w:p>
    <w:p w:rsidR="00246EBC" w:rsidRPr="005D75A7" w:rsidRDefault="00246EBC">
      <w:pPr>
        <w:pStyle w:val="Rubrik2"/>
      </w:pPr>
      <w:r w:rsidRPr="005D75A7">
        <w:t>Rättslig grund och beslutsförfarande</w:t>
      </w:r>
    </w:p>
    <w:p w:rsidR="00246EBC" w:rsidRPr="005D75A7" w:rsidRDefault="00246EBC">
      <w:r w:rsidRPr="005D75A7">
        <w:t>Artikel 99 i fördraget</w:t>
      </w:r>
    </w:p>
    <w:p w:rsidR="00246EBC" w:rsidRPr="005D75A7" w:rsidRDefault="00246EBC">
      <w:r w:rsidRPr="005D75A7">
        <w:t>Artikel 128 i fördraget</w:t>
      </w:r>
    </w:p>
    <w:p w:rsidR="00246EBC" w:rsidRPr="005D75A7" w:rsidRDefault="00246EBC">
      <w:pPr>
        <w:pStyle w:val="Rubrik2"/>
      </w:pPr>
      <w:r w:rsidRPr="005D75A7">
        <w:t>Subsidiaritets- och proportionalitetsprincipen</w:t>
      </w:r>
    </w:p>
    <w:p w:rsidR="00246EBC" w:rsidRPr="005D75A7" w:rsidRDefault="00246EBC">
      <w:r w:rsidRPr="005D75A7">
        <w:t>-</w:t>
      </w:r>
    </w:p>
    <w:p w:rsidR="00246EBC" w:rsidRPr="005D75A7" w:rsidRDefault="00246EBC">
      <w:pPr>
        <w:pStyle w:val="Rubrik1"/>
      </w:pPr>
      <w:r w:rsidRPr="005D75A7">
        <w:t>Övrigt</w:t>
      </w:r>
    </w:p>
    <w:p w:rsidR="00246EBC" w:rsidRPr="005D75A7" w:rsidRDefault="00246EBC">
      <w:pPr>
        <w:pStyle w:val="Rubrik2"/>
      </w:pPr>
      <w:r w:rsidRPr="005D75A7">
        <w:t>Fortsatt behandling av ärendet</w:t>
      </w:r>
    </w:p>
    <w:p w:rsidR="00246EBC" w:rsidRPr="005D75A7" w:rsidRDefault="00246EBC">
      <w:r w:rsidRPr="005D75A7">
        <w:t xml:space="preserve">Paketet kommer att behandlas i ett antal rådsformationer och ligga till grund för rådets bidrag vårtoppmötet (ECFIN, EPSCO, KK-rådet, Miljö, TTE, Utbildning m fl). Integrerade riktlinjerna och de landspecifika rekommendationerna behandlas och antas av rådet (ECFIN, EPSCO).  </w:t>
      </w:r>
    </w:p>
    <w:p w:rsidR="00246EBC" w:rsidRPr="005D75A7" w:rsidRDefault="00246EBC">
      <w:pPr>
        <w:pStyle w:val="Rubrik2"/>
      </w:pPr>
      <w:r w:rsidRPr="005D75A7">
        <w:t>Fackuttryck/termer</w:t>
      </w:r>
    </w:p>
    <w:p w:rsidR="00246EBC" w:rsidRPr="005D75A7" w:rsidRDefault="00246EBC"/>
    <w:sectPr w:rsidR="00246EBC" w:rsidRPr="005D75A7">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6EBC" w:rsidRPr="005D75A7" w:rsidRDefault="00246EBC">
      <w:r w:rsidRPr="005D75A7">
        <w:separator/>
      </w:r>
    </w:p>
  </w:endnote>
  <w:endnote w:type="continuationSeparator" w:id="0">
    <w:p w:rsidR="00246EBC" w:rsidRPr="005D75A7" w:rsidRDefault="00246EBC">
      <w:r w:rsidRPr="005D75A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6EBC" w:rsidRPr="005D75A7" w:rsidRDefault="00246EB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6EBC" w:rsidRPr="005D75A7" w:rsidRDefault="00246EBC">
    <w:pPr>
      <w:pStyle w:val="SidfotH"/>
      <w:framePr w:wrap="around"/>
    </w:pPr>
    <w:r w:rsidRPr="005D75A7">
      <w:t>2</w:t>
    </w:r>
  </w:p>
  <w:p w:rsidR="00246EBC" w:rsidRPr="005D75A7" w:rsidRDefault="00246EB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6EBC" w:rsidRPr="005D75A7" w:rsidRDefault="00246EBC">
    <w:pPr>
      <w:pStyle w:val="SidfotH"/>
      <w:framePr w:wrap="around"/>
    </w:pPr>
    <w:r w:rsidRPr="005D75A7">
      <w:t>1</w:t>
    </w:r>
  </w:p>
  <w:p w:rsidR="00246EBC" w:rsidRPr="005D75A7" w:rsidRDefault="00246EB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6EBC" w:rsidRPr="005D75A7" w:rsidRDefault="00246EBC">
      <w:r w:rsidRPr="005D75A7">
        <w:separator/>
      </w:r>
    </w:p>
  </w:footnote>
  <w:footnote w:type="continuationSeparator" w:id="0">
    <w:p w:rsidR="00246EBC" w:rsidRPr="005D75A7" w:rsidRDefault="00246EBC">
      <w:r w:rsidRPr="005D75A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6EBC" w:rsidRPr="005D75A7" w:rsidRDefault="00246EB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6EBC" w:rsidRPr="005D75A7" w:rsidRDefault="00246EBC">
    <w:pPr>
      <w:pStyle w:val="Kantrubrik"/>
      <w:framePr w:h="1157" w:hRule="exact" w:wrap="around" w:y="738"/>
    </w:pPr>
    <w:r w:rsidRPr="005D75A7">
      <w:t>2007/08:FPM64</w:t>
    </w:r>
  </w:p>
  <w:p w:rsidR="00246EBC" w:rsidRPr="005D75A7" w:rsidRDefault="00246EB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6EBC" w:rsidRPr="005D75A7" w:rsidRDefault="005D75A7">
    <w:pPr>
      <w:pStyle w:val="Sidhuvud"/>
    </w:pPr>
    <w:r w:rsidRPr="005D75A7">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0709162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46EBC" w:rsidRDefault="00246EBC">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96302"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246EBC" w:rsidRDefault="00246EBC">
                    <w:pPr>
                      <w:pStyle w:val="Logo"/>
                    </w:pPr>
                    <w:r>
                      <w:object w:dxaOrig="840" w:dyaOrig="1545">
                        <v:shape id="_x0000_i1025" type="#_x0000_t75" style="width:42pt;height:77.15pt" filled="t">
                          <v:imagedata r:id="rId1" o:title=""/>
                        </v:shape>
                        <o:OLEObject Type="Embed" ProgID="Word.Picture.8" ShapeID="_x0000_i1025" DrawAspect="Content" ObjectID="_1827496302"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6D96EEF"/>
    <w:multiLevelType w:val="hybridMultilevel"/>
    <w:tmpl w:val="42ECBC4C"/>
    <w:lvl w:ilvl="0" w:tplc="D538853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FBA5773"/>
    <w:multiLevelType w:val="hybridMultilevel"/>
    <w:tmpl w:val="47063B66"/>
    <w:lvl w:ilvl="0" w:tplc="D538853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0481F71"/>
    <w:multiLevelType w:val="hybridMultilevel"/>
    <w:tmpl w:val="DDCEC23E"/>
    <w:lvl w:ilvl="0" w:tplc="D538853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1852076"/>
    <w:multiLevelType w:val="hybridMultilevel"/>
    <w:tmpl w:val="F574EC4E"/>
    <w:lvl w:ilvl="0" w:tplc="D538853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08526B7"/>
    <w:multiLevelType w:val="hybridMultilevel"/>
    <w:tmpl w:val="D36A15F2"/>
    <w:lvl w:ilvl="0" w:tplc="D538853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0F325C3"/>
    <w:multiLevelType w:val="hybridMultilevel"/>
    <w:tmpl w:val="BF78D13C"/>
    <w:lvl w:ilvl="0" w:tplc="D538853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8" w15:restartNumberingAfterBreak="0">
    <w:nsid w:val="34816E31"/>
    <w:multiLevelType w:val="hybridMultilevel"/>
    <w:tmpl w:val="4230963C"/>
    <w:lvl w:ilvl="0" w:tplc="D538853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025368"/>
    <w:multiLevelType w:val="hybridMultilevel"/>
    <w:tmpl w:val="13CCDB32"/>
    <w:lvl w:ilvl="0" w:tplc="D538853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B166D6B"/>
    <w:multiLevelType w:val="hybridMultilevel"/>
    <w:tmpl w:val="FA7E5C02"/>
    <w:lvl w:ilvl="0" w:tplc="D538853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6310D6B"/>
    <w:multiLevelType w:val="hybridMultilevel"/>
    <w:tmpl w:val="D424E380"/>
    <w:lvl w:ilvl="0" w:tplc="D538853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1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14" w15:restartNumberingAfterBreak="0">
    <w:nsid w:val="68C81FCF"/>
    <w:multiLevelType w:val="hybridMultilevel"/>
    <w:tmpl w:val="E3BC35AC"/>
    <w:lvl w:ilvl="0" w:tplc="D538853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BED243F"/>
    <w:multiLevelType w:val="hybridMultilevel"/>
    <w:tmpl w:val="7DA81FD4"/>
    <w:lvl w:ilvl="0" w:tplc="D538853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17"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570696245">
    <w:abstractNumId w:val="16"/>
  </w:num>
  <w:num w:numId="2" w16cid:durableId="1911960120">
    <w:abstractNumId w:val="7"/>
  </w:num>
  <w:num w:numId="3" w16cid:durableId="1242838022">
    <w:abstractNumId w:val="12"/>
  </w:num>
  <w:num w:numId="4" w16cid:durableId="164633556">
    <w:abstractNumId w:val="13"/>
  </w:num>
  <w:num w:numId="5" w16cid:durableId="1392729097">
    <w:abstractNumId w:val="17"/>
  </w:num>
  <w:num w:numId="6" w16cid:durableId="114640990">
    <w:abstractNumId w:val="0"/>
  </w:num>
  <w:num w:numId="7" w16cid:durableId="1900627354">
    <w:abstractNumId w:val="15"/>
  </w:num>
  <w:num w:numId="8" w16cid:durableId="1942184751">
    <w:abstractNumId w:val="8"/>
  </w:num>
  <w:num w:numId="9" w16cid:durableId="1434856396">
    <w:abstractNumId w:val="2"/>
  </w:num>
  <w:num w:numId="10" w16cid:durableId="1904950076">
    <w:abstractNumId w:val="1"/>
  </w:num>
  <w:num w:numId="11" w16cid:durableId="947195855">
    <w:abstractNumId w:val="14"/>
  </w:num>
  <w:num w:numId="12" w16cid:durableId="590554606">
    <w:abstractNumId w:val="10"/>
  </w:num>
  <w:num w:numId="13" w16cid:durableId="1553954787">
    <w:abstractNumId w:val="11"/>
  </w:num>
  <w:num w:numId="14" w16cid:durableId="11108163">
    <w:abstractNumId w:val="6"/>
  </w:num>
  <w:num w:numId="15" w16cid:durableId="201064595">
    <w:abstractNumId w:val="5"/>
  </w:num>
  <w:num w:numId="16" w16cid:durableId="1116215129">
    <w:abstractNumId w:val="9"/>
  </w:num>
  <w:num w:numId="17" w16cid:durableId="2011524359">
    <w:abstractNumId w:val="3"/>
  </w:num>
  <w:num w:numId="18" w16cid:durableId="17988325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02-04"/>
    <w:docVar w:name="Ar" w:val="2007/08"/>
    <w:docVar w:name="Dep" w:val="Statsrådsberedningen"/>
    <w:docVar w:name="DepWeb" w:val="Statsrådsberedningen"/>
    <w:docVar w:name="GDB1" w:val="KOM (2007) 803"/>
    <w:docVar w:name="GDB10" w:val=" "/>
    <w:docVar w:name="GDB11" w:val=" "/>
    <w:docVar w:name="GDB12" w:val=" "/>
    <w:docVar w:name="GDB13" w:val=" "/>
    <w:docVar w:name="GDB2" w:val="KOM (2007) 804"/>
    <w:docVar w:name="GDB3" w:val="KOM (2007) 798"/>
    <w:docVar w:name="GDB4" w:val=" "/>
    <w:docVar w:name="GDB5" w:val=" "/>
    <w:docVar w:name="GDB6" w:val=" "/>
    <w:docVar w:name="GDB7" w:val=" "/>
    <w:docVar w:name="GDB8" w:val=" "/>
    <w:docVar w:name="GDB9" w:val=" "/>
    <w:docVar w:name="GDT1" w:val="Meddelande från kommissionen till Europeiska rådet: Strategirapport om den förnyade Lissabonstrategin för tillväxt och jobb: start för den nya treårsperioden 2008-2010. Rekommendation till rådsrekommendationer på medlemsstaternas och gemenskapens ekonomiska politik samt på genomförandet av sysselsättningspolitiken i medlemsstaterna. Integrerade riktlinjer för tillväxt och sysselsättning (2008-2010); Kommissionens rekommendation om allmänna riktlinjer för medlemsstaternas och gemenskapens ekonomiska politik samt kommissionens förslag till rådsbeslut om riktlinjer för sysselsättningspolitiken i medlemsstaterna."/>
    <w:docVar w:name="GDT10" w:val=" "/>
    <w:docVar w:name="GDT11" w:val=" "/>
    <w:docVar w:name="GDT12" w:val=" "/>
    <w:docVar w:name="GDT13" w:val=" "/>
    <w:docVar w:name="GDT2" w:val="Meddelande från kommissionen till Europaparlamentet, rådet, Europeiska  ekonomiska och sociala kommittén och Regionkommittén. Förslag till gemenskapens Lissabonprogram 2008-2010"/>
    <w:docVar w:name="GDT3" w:val="Meddelande från kommissionen till Europaparlamentet, rådet, Europeiska  ekonomiska och sociala kommittén och Regionkommittén. Medlemsstater och regioner genomför Lissabonstrategin genom EU:s sammanhållningspolitik 2007-2013"/>
    <w:docVar w:name="GDT4" w:val=" "/>
    <w:docVar w:name="GDT5" w:val=" "/>
    <w:docVar w:name="GDT6" w:val=" "/>
    <w:docVar w:name="GDT7" w:val=" "/>
    <w:docVar w:name="GDT8" w:val=" "/>
    <w:docVar w:name="GDT9" w:val=" "/>
    <w:docVar w:name="GDTWeb" w:val="KOM (2007) 803, KOM (2007) 804, KOM (2007) 798"/>
    <w:docVar w:name="Nr" w:val="64"/>
    <w:docVar w:name="RD_APPVERSION" w:val="3.00"/>
    <w:docVar w:name="Rub" w:val="Rapport om Lissabonstrategin"/>
    <w:docVar w:name="UppDat" w:val="2008-02-04"/>
    <w:docVar w:name="Utsk" w:val="Näringsutskottet"/>
  </w:docVars>
  <w:rsids>
    <w:rsidRoot w:val="00A7432C"/>
    <w:rsid w:val="00246EBC"/>
    <w:rsid w:val="005D75A7"/>
    <w:rsid w:val="00A7432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2BC8304-D492-4242-B769-EB1CFBAEF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1571</Words>
  <Characters>10748</Characters>
  <Application>Microsoft Office Word</Application>
  <DocSecurity>4</DocSecurity>
  <Lines>255</Lines>
  <Paragraphs>138</Paragraphs>
  <ScaleCrop>false</ScaleCrop>
  <HeadingPairs>
    <vt:vector size="2" baseType="variant">
      <vt:variant>
        <vt:lpstr>Rubrik</vt:lpstr>
      </vt:variant>
      <vt:variant>
        <vt:i4>1</vt:i4>
      </vt:variant>
    </vt:vector>
  </HeadingPairs>
  <TitlesOfParts>
    <vt:vector size="1" baseType="lpstr">
      <vt:lpstr>FPM_200708__64</vt:lpstr>
    </vt:vector>
  </TitlesOfParts>
  <Company>RD-DTSL</Company>
  <LinksUpToDate>false</LinksUpToDate>
  <CharactersWithSpaces>12181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FPM_200708__64</dc:title>
  <dc:subject>FPM_200708__64</dc:subject>
  <dc:creator>Riksdagen</dc:creator>
  <cp:keywords>Riksdagen</cp:keywords>
  <dc:description>KP2004-version.  Ändringarna påverkar enbart användningen inom Riksdagen. 050429 nya departement DTSL.</dc:description>
  <cp:lastModifiedBy>Lars Brink</cp:lastModifiedBy>
  <cp:revision>2</cp:revision>
  <cp:lastPrinted>2008-02-05T06:06:00Z</cp:lastPrinted>
  <dcterms:created xsi:type="dcterms:W3CDTF">2025-12-17T12:06:00Z</dcterms:created>
  <dcterms:modified xsi:type="dcterms:W3CDTF">2025-12-17T12:06:00Z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64</vt:lpwstr>
  </property>
  <property fmtid="{D5CDD505-2E9C-101B-9397-08002B2CF9AE}" pid="4" name="GDB1">
    <vt:lpwstr>KOM (2007) 803</vt:lpwstr>
  </property>
  <property fmtid="{D5CDD505-2E9C-101B-9397-08002B2CF9AE}" pid="5" name="GDT1">
    <vt:lpwstr> </vt:lpwstr>
  </property>
  <property fmtid="{D5CDD505-2E9C-101B-9397-08002B2CF9AE}" pid="6" name="Dep">
    <vt:lpwstr>Statsrådsberedningen</vt:lpwstr>
  </property>
  <property fmtid="{D5CDD505-2E9C-101B-9397-08002B2CF9AE}" pid="7" name="Rub">
    <vt:lpwstr>Rapport om Lissabonstrategin</vt:lpwstr>
  </property>
  <property fmtid="{D5CDD505-2E9C-101B-9397-08002B2CF9AE}" pid="8" name="UppDat">
    <vt:lpwstr>2008-02-04</vt:lpwstr>
  </property>
  <property fmtid="{D5CDD505-2E9C-101B-9397-08002B2CF9AE}" pid="9" name="AnkDat">
    <vt:lpwstr>2008-02-04</vt:lpwstr>
  </property>
  <property fmtid="{D5CDD505-2E9C-101B-9397-08002B2CF9AE}" pid="10" name="Utsk">
    <vt:lpwstr>Näringsutskottet</vt:lpwstr>
  </property>
  <property fmtid="{D5CDD505-2E9C-101B-9397-08002B2CF9AE}" pid="11" name="Ar">
    <vt:lpwstr>2007/08</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KOM (2007) 804</vt:lpwstr>
  </property>
  <property fmtid="{D5CDD505-2E9C-101B-9397-08002B2CF9AE}" pid="15" name="GDB3">
    <vt:lpwstr>KOM (2007) 798</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JA</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1;0;0;394</vt:lpwstr>
  </property>
  <property fmtid="{D5CDD505-2E9C-101B-9397-08002B2CF9AE}" pid="42" name="Sprak">
    <vt:lpwstr>Svenska</vt:lpwstr>
  </property>
  <property fmtid="{D5CDD505-2E9C-101B-9397-08002B2CF9AE}" pid="43" name="DokID">
    <vt:i4>80</vt:i4>
  </property>
</Properties>
</file>