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76C1" w:rsidRPr="008A1DE5" w:rsidRDefault="00F076C1" w:rsidP="00F076C1">
      <w:pPr>
        <w:pStyle w:val="RubrikInnehllsf"/>
      </w:pPr>
      <w:bookmarkStart w:id="0" w:name="_Toc84392546"/>
      <w:bookmarkStart w:id="1" w:name="_Toc118353456"/>
      <w:r w:rsidRPr="008A1DE5">
        <w:t>Innehållsförteckning</w:t>
      </w:r>
      <w:bookmarkEnd w:id="1"/>
    </w:p>
    <w:p w:rsidR="00AA425D" w:rsidRPr="008A1DE5" w:rsidRDefault="00F076C1">
      <w:pPr>
        <w:pStyle w:val="Innehll1"/>
        <w:rPr>
          <w:sz w:val="24"/>
          <w:szCs w:val="24"/>
        </w:rPr>
      </w:pPr>
      <w:r w:rsidRPr="008A1DE5">
        <w:fldChar w:fldCharType="begin" w:fldLock="1"/>
      </w:r>
      <w:r w:rsidRPr="008A1DE5">
        <w:instrText xml:space="preserve"> TOC \o "1-3" \t "HEMSTL_RUBRIK" </w:instrText>
      </w:r>
      <w:r w:rsidRPr="008A1DE5">
        <w:fldChar w:fldCharType="separate"/>
      </w:r>
      <w:r w:rsidR="00AA425D" w:rsidRPr="008A1DE5">
        <w:t>Innehållsförteckning</w:t>
      </w:r>
      <w:r w:rsidR="00AA425D" w:rsidRPr="008A1DE5">
        <w:tab/>
      </w:r>
      <w:r w:rsidR="00AA425D" w:rsidRPr="008A1DE5">
        <w:fldChar w:fldCharType="begin" w:fldLock="1"/>
      </w:r>
      <w:r w:rsidR="00AA425D" w:rsidRPr="008A1DE5">
        <w:instrText xml:space="preserve"> PAGEREF _Toc118353456 \h </w:instrText>
      </w:r>
      <w:r w:rsidR="00AA425D" w:rsidRPr="008A1DE5">
        <w:fldChar w:fldCharType="separate"/>
      </w:r>
      <w:r w:rsidR="000278EA" w:rsidRPr="008A1DE5">
        <w:t>1</w:t>
      </w:r>
      <w:r w:rsidR="00AA425D" w:rsidRPr="008A1DE5">
        <w:fldChar w:fldCharType="end"/>
      </w:r>
    </w:p>
    <w:p w:rsidR="00AA425D" w:rsidRPr="008A1DE5" w:rsidRDefault="00AA425D">
      <w:pPr>
        <w:pStyle w:val="Innehll1"/>
        <w:rPr>
          <w:sz w:val="24"/>
          <w:szCs w:val="24"/>
        </w:rPr>
      </w:pPr>
      <w:r w:rsidRPr="008A1DE5">
        <w:t>Förslag till riksdagsbeslut</w:t>
      </w:r>
      <w:r w:rsidRPr="008A1DE5">
        <w:tab/>
      </w:r>
      <w:r w:rsidRPr="008A1DE5">
        <w:fldChar w:fldCharType="begin" w:fldLock="1"/>
      </w:r>
      <w:r w:rsidRPr="008A1DE5">
        <w:instrText xml:space="preserve"> PAGEREF _Toc118353457 \h </w:instrText>
      </w:r>
      <w:r w:rsidRPr="008A1DE5">
        <w:fldChar w:fldCharType="separate"/>
      </w:r>
      <w:r w:rsidR="000278EA" w:rsidRPr="008A1DE5">
        <w:t>2</w:t>
      </w:r>
      <w:r w:rsidRPr="008A1DE5">
        <w:fldChar w:fldCharType="end"/>
      </w:r>
    </w:p>
    <w:p w:rsidR="00AA425D" w:rsidRPr="008A1DE5" w:rsidRDefault="00AA425D">
      <w:pPr>
        <w:pStyle w:val="Innehll1"/>
        <w:rPr>
          <w:sz w:val="24"/>
          <w:szCs w:val="24"/>
        </w:rPr>
      </w:pPr>
      <w:r w:rsidRPr="008A1DE5">
        <w:t>Energi – en välståndsbildande kraft</w:t>
      </w:r>
      <w:r w:rsidRPr="008A1DE5">
        <w:tab/>
      </w:r>
      <w:r w:rsidRPr="008A1DE5">
        <w:fldChar w:fldCharType="begin" w:fldLock="1"/>
      </w:r>
      <w:r w:rsidRPr="008A1DE5">
        <w:instrText xml:space="preserve"> PAGEREF _Toc118353458 \h </w:instrText>
      </w:r>
      <w:r w:rsidRPr="008A1DE5">
        <w:fldChar w:fldCharType="separate"/>
      </w:r>
      <w:r w:rsidR="000278EA" w:rsidRPr="008A1DE5">
        <w:t>4</w:t>
      </w:r>
      <w:r w:rsidRPr="008A1DE5">
        <w:fldChar w:fldCharType="end"/>
      </w:r>
    </w:p>
    <w:p w:rsidR="00AA425D" w:rsidRPr="008A1DE5" w:rsidRDefault="00AA425D">
      <w:pPr>
        <w:pStyle w:val="Innehll1"/>
        <w:rPr>
          <w:sz w:val="24"/>
          <w:szCs w:val="24"/>
        </w:rPr>
      </w:pPr>
      <w:r w:rsidRPr="008A1DE5">
        <w:t>Regeringens energipolitik skadar Sverige</w:t>
      </w:r>
      <w:r w:rsidRPr="008A1DE5">
        <w:tab/>
      </w:r>
      <w:r w:rsidRPr="008A1DE5">
        <w:fldChar w:fldCharType="begin" w:fldLock="1"/>
      </w:r>
      <w:r w:rsidRPr="008A1DE5">
        <w:instrText xml:space="preserve"> PAGEREF _Toc118353459 \h </w:instrText>
      </w:r>
      <w:r w:rsidRPr="008A1DE5">
        <w:fldChar w:fldCharType="separate"/>
      </w:r>
      <w:r w:rsidR="000278EA" w:rsidRPr="008A1DE5">
        <w:t>5</w:t>
      </w:r>
      <w:r w:rsidRPr="008A1DE5">
        <w:fldChar w:fldCharType="end"/>
      </w:r>
    </w:p>
    <w:p w:rsidR="00AA425D" w:rsidRPr="008A1DE5" w:rsidRDefault="00AA425D">
      <w:pPr>
        <w:pStyle w:val="Innehll2"/>
        <w:rPr>
          <w:sz w:val="24"/>
          <w:szCs w:val="24"/>
        </w:rPr>
      </w:pPr>
      <w:r w:rsidRPr="008A1DE5">
        <w:t>Regeringens energipolitik blir märkligare och märkligare</w:t>
      </w:r>
      <w:r w:rsidRPr="008A1DE5">
        <w:tab/>
      </w:r>
      <w:r w:rsidRPr="008A1DE5">
        <w:fldChar w:fldCharType="begin" w:fldLock="1"/>
      </w:r>
      <w:r w:rsidRPr="008A1DE5">
        <w:instrText xml:space="preserve"> PAGEREF _Toc118353460 \h </w:instrText>
      </w:r>
      <w:r w:rsidRPr="008A1DE5">
        <w:fldChar w:fldCharType="separate"/>
      </w:r>
      <w:r w:rsidR="000278EA" w:rsidRPr="008A1DE5">
        <w:t>5</w:t>
      </w:r>
      <w:r w:rsidRPr="008A1DE5">
        <w:fldChar w:fldCharType="end"/>
      </w:r>
    </w:p>
    <w:p w:rsidR="00AA425D" w:rsidRPr="008A1DE5" w:rsidRDefault="00AA425D">
      <w:pPr>
        <w:pStyle w:val="Innehll2"/>
        <w:rPr>
          <w:sz w:val="24"/>
          <w:szCs w:val="24"/>
        </w:rPr>
      </w:pPr>
      <w:r w:rsidRPr="008A1DE5">
        <w:t>Vattenfall</w:t>
      </w:r>
      <w:r w:rsidRPr="008A1DE5">
        <w:tab/>
      </w:r>
      <w:r w:rsidRPr="008A1DE5">
        <w:fldChar w:fldCharType="begin" w:fldLock="1"/>
      </w:r>
      <w:r w:rsidRPr="008A1DE5">
        <w:instrText xml:space="preserve"> PAGEREF _Toc118353461 \h </w:instrText>
      </w:r>
      <w:r w:rsidRPr="008A1DE5">
        <w:fldChar w:fldCharType="separate"/>
      </w:r>
      <w:r w:rsidR="000278EA" w:rsidRPr="008A1DE5">
        <w:t>6</w:t>
      </w:r>
      <w:r w:rsidRPr="008A1DE5">
        <w:fldChar w:fldCharType="end"/>
      </w:r>
    </w:p>
    <w:p w:rsidR="00AA425D" w:rsidRPr="008A1DE5" w:rsidRDefault="00AA425D">
      <w:pPr>
        <w:pStyle w:val="Innehll2"/>
        <w:rPr>
          <w:sz w:val="24"/>
          <w:szCs w:val="24"/>
        </w:rPr>
      </w:pPr>
      <w:r w:rsidRPr="008A1DE5">
        <w:t>Industrin tappar förtroendet</w:t>
      </w:r>
      <w:r w:rsidRPr="008A1DE5">
        <w:tab/>
      </w:r>
      <w:r w:rsidRPr="008A1DE5">
        <w:fldChar w:fldCharType="begin" w:fldLock="1"/>
      </w:r>
      <w:r w:rsidRPr="008A1DE5">
        <w:instrText xml:space="preserve"> PAGEREF _Toc118353462 \h </w:instrText>
      </w:r>
      <w:r w:rsidRPr="008A1DE5">
        <w:fldChar w:fldCharType="separate"/>
      </w:r>
      <w:r w:rsidR="000278EA" w:rsidRPr="008A1DE5">
        <w:t>6</w:t>
      </w:r>
      <w:r w:rsidRPr="008A1DE5">
        <w:fldChar w:fldCharType="end"/>
      </w:r>
    </w:p>
    <w:p w:rsidR="00AA425D" w:rsidRPr="008A1DE5" w:rsidRDefault="00AA425D">
      <w:pPr>
        <w:pStyle w:val="Innehll1"/>
        <w:rPr>
          <w:sz w:val="24"/>
          <w:szCs w:val="24"/>
        </w:rPr>
      </w:pPr>
      <w:r w:rsidRPr="008A1DE5">
        <w:t>En liberal energipolitik</w:t>
      </w:r>
      <w:r w:rsidRPr="008A1DE5">
        <w:tab/>
      </w:r>
      <w:r w:rsidRPr="008A1DE5">
        <w:fldChar w:fldCharType="begin" w:fldLock="1"/>
      </w:r>
      <w:r w:rsidRPr="008A1DE5">
        <w:instrText xml:space="preserve"> PAGEREF _Toc118353463 \h </w:instrText>
      </w:r>
      <w:r w:rsidRPr="008A1DE5">
        <w:fldChar w:fldCharType="separate"/>
      </w:r>
      <w:r w:rsidR="000278EA" w:rsidRPr="008A1DE5">
        <w:t>7</w:t>
      </w:r>
      <w:r w:rsidRPr="008A1DE5">
        <w:fldChar w:fldCharType="end"/>
      </w:r>
    </w:p>
    <w:p w:rsidR="00AA425D" w:rsidRPr="008A1DE5" w:rsidRDefault="00AA425D">
      <w:pPr>
        <w:pStyle w:val="Innehll1"/>
        <w:rPr>
          <w:sz w:val="24"/>
          <w:szCs w:val="24"/>
        </w:rPr>
      </w:pPr>
      <w:r w:rsidRPr="008A1DE5">
        <w:t>Fortsätt använda kärnkraften</w:t>
      </w:r>
      <w:r w:rsidRPr="008A1DE5">
        <w:tab/>
      </w:r>
      <w:r w:rsidRPr="008A1DE5">
        <w:fldChar w:fldCharType="begin" w:fldLock="1"/>
      </w:r>
      <w:r w:rsidRPr="008A1DE5">
        <w:instrText xml:space="preserve"> PAGEREF _Toc118353464 \h </w:instrText>
      </w:r>
      <w:r w:rsidRPr="008A1DE5">
        <w:fldChar w:fldCharType="separate"/>
      </w:r>
      <w:r w:rsidR="000278EA" w:rsidRPr="008A1DE5">
        <w:t>8</w:t>
      </w:r>
      <w:r w:rsidRPr="008A1DE5">
        <w:fldChar w:fldCharType="end"/>
      </w:r>
    </w:p>
    <w:p w:rsidR="00AA425D" w:rsidRPr="008A1DE5" w:rsidRDefault="00AA425D">
      <w:pPr>
        <w:pStyle w:val="Innehll2"/>
        <w:rPr>
          <w:sz w:val="24"/>
          <w:szCs w:val="24"/>
        </w:rPr>
      </w:pPr>
      <w:r w:rsidRPr="008A1DE5">
        <w:t>Upphäv förbuden mot kärnkraft</w:t>
      </w:r>
      <w:r w:rsidRPr="008A1DE5">
        <w:tab/>
      </w:r>
      <w:r w:rsidRPr="008A1DE5">
        <w:fldChar w:fldCharType="begin" w:fldLock="1"/>
      </w:r>
      <w:r w:rsidRPr="008A1DE5">
        <w:instrText xml:space="preserve"> PAGEREF _Toc118353465 \h </w:instrText>
      </w:r>
      <w:r w:rsidRPr="008A1DE5">
        <w:fldChar w:fldCharType="separate"/>
      </w:r>
      <w:r w:rsidR="000278EA" w:rsidRPr="008A1DE5">
        <w:t>9</w:t>
      </w:r>
      <w:r w:rsidRPr="008A1DE5">
        <w:fldChar w:fldCharType="end"/>
      </w:r>
    </w:p>
    <w:p w:rsidR="00AA425D" w:rsidRPr="008A1DE5" w:rsidRDefault="00AA425D">
      <w:pPr>
        <w:pStyle w:val="Innehll2"/>
        <w:rPr>
          <w:sz w:val="24"/>
          <w:szCs w:val="24"/>
        </w:rPr>
      </w:pPr>
      <w:r w:rsidRPr="008A1DE5">
        <w:t>Upphäv tankeförbudet</w:t>
      </w:r>
      <w:r w:rsidRPr="008A1DE5">
        <w:tab/>
      </w:r>
      <w:r w:rsidRPr="008A1DE5">
        <w:fldChar w:fldCharType="begin" w:fldLock="1"/>
      </w:r>
      <w:r w:rsidRPr="008A1DE5">
        <w:instrText xml:space="preserve"> PAGEREF _Toc118353466 \h </w:instrText>
      </w:r>
      <w:r w:rsidRPr="008A1DE5">
        <w:fldChar w:fldCharType="separate"/>
      </w:r>
      <w:r w:rsidR="000278EA" w:rsidRPr="008A1DE5">
        <w:t>9</w:t>
      </w:r>
      <w:r w:rsidRPr="008A1DE5">
        <w:fldChar w:fldCharType="end"/>
      </w:r>
    </w:p>
    <w:p w:rsidR="00AA425D" w:rsidRPr="008A1DE5" w:rsidRDefault="00AA425D">
      <w:pPr>
        <w:pStyle w:val="Innehll2"/>
        <w:rPr>
          <w:sz w:val="24"/>
          <w:szCs w:val="24"/>
        </w:rPr>
      </w:pPr>
      <w:r w:rsidRPr="008A1DE5">
        <w:t>Skärp kärnkraftens försäkringsansvar</w:t>
      </w:r>
      <w:r w:rsidRPr="008A1DE5">
        <w:tab/>
      </w:r>
      <w:r w:rsidRPr="008A1DE5">
        <w:fldChar w:fldCharType="begin" w:fldLock="1"/>
      </w:r>
      <w:r w:rsidRPr="008A1DE5">
        <w:instrText xml:space="preserve"> PAGEREF _Toc118353467 \h </w:instrText>
      </w:r>
      <w:r w:rsidRPr="008A1DE5">
        <w:fldChar w:fldCharType="separate"/>
      </w:r>
      <w:r w:rsidR="000278EA" w:rsidRPr="008A1DE5">
        <w:t>10</w:t>
      </w:r>
      <w:r w:rsidRPr="008A1DE5">
        <w:fldChar w:fldCharType="end"/>
      </w:r>
    </w:p>
    <w:p w:rsidR="00AA425D" w:rsidRPr="008A1DE5" w:rsidRDefault="00AA425D">
      <w:pPr>
        <w:pStyle w:val="Innehll2"/>
        <w:rPr>
          <w:sz w:val="24"/>
          <w:szCs w:val="24"/>
        </w:rPr>
      </w:pPr>
      <w:r w:rsidRPr="008A1DE5">
        <w:t>Avskaffa effektskatten på kärnkraft</w:t>
      </w:r>
      <w:r w:rsidRPr="008A1DE5">
        <w:tab/>
      </w:r>
      <w:r w:rsidRPr="008A1DE5">
        <w:fldChar w:fldCharType="begin" w:fldLock="1"/>
      </w:r>
      <w:r w:rsidRPr="008A1DE5">
        <w:instrText xml:space="preserve"> PAGEREF _Toc118353468 \h </w:instrText>
      </w:r>
      <w:r w:rsidRPr="008A1DE5">
        <w:fldChar w:fldCharType="separate"/>
      </w:r>
      <w:r w:rsidR="000278EA" w:rsidRPr="008A1DE5">
        <w:t>10</w:t>
      </w:r>
      <w:r w:rsidRPr="008A1DE5">
        <w:fldChar w:fldCharType="end"/>
      </w:r>
    </w:p>
    <w:p w:rsidR="00AA425D" w:rsidRPr="008A1DE5" w:rsidRDefault="00AA425D">
      <w:pPr>
        <w:pStyle w:val="Innehll1"/>
        <w:rPr>
          <w:sz w:val="24"/>
          <w:szCs w:val="24"/>
        </w:rPr>
      </w:pPr>
      <w:r w:rsidRPr="008A1DE5">
        <w:t>Effektivare energiproduktion</w:t>
      </w:r>
      <w:r w:rsidRPr="008A1DE5">
        <w:tab/>
      </w:r>
      <w:r w:rsidRPr="008A1DE5">
        <w:fldChar w:fldCharType="begin" w:fldLock="1"/>
      </w:r>
      <w:r w:rsidRPr="008A1DE5">
        <w:instrText xml:space="preserve"> PAGEREF _Toc118353469 \h </w:instrText>
      </w:r>
      <w:r w:rsidRPr="008A1DE5">
        <w:fldChar w:fldCharType="separate"/>
      </w:r>
      <w:r w:rsidR="000278EA" w:rsidRPr="008A1DE5">
        <w:t>11</w:t>
      </w:r>
      <w:r w:rsidRPr="008A1DE5">
        <w:fldChar w:fldCharType="end"/>
      </w:r>
    </w:p>
    <w:p w:rsidR="00AA425D" w:rsidRPr="008A1DE5" w:rsidRDefault="00AA425D">
      <w:pPr>
        <w:pStyle w:val="Innehll1"/>
        <w:rPr>
          <w:sz w:val="24"/>
          <w:szCs w:val="24"/>
        </w:rPr>
      </w:pPr>
      <w:r w:rsidRPr="008A1DE5">
        <w:t>Energi utan subventioner</w:t>
      </w:r>
      <w:r w:rsidRPr="008A1DE5">
        <w:tab/>
      </w:r>
      <w:r w:rsidRPr="008A1DE5">
        <w:fldChar w:fldCharType="begin" w:fldLock="1"/>
      </w:r>
      <w:r w:rsidRPr="008A1DE5">
        <w:instrText xml:space="preserve"> PAGEREF _Toc118353470 \h </w:instrText>
      </w:r>
      <w:r w:rsidRPr="008A1DE5">
        <w:fldChar w:fldCharType="separate"/>
      </w:r>
      <w:r w:rsidR="000278EA" w:rsidRPr="008A1DE5">
        <w:t>11</w:t>
      </w:r>
      <w:r w:rsidRPr="008A1DE5">
        <w:fldChar w:fldCharType="end"/>
      </w:r>
    </w:p>
    <w:p w:rsidR="00AA425D" w:rsidRPr="008A1DE5" w:rsidRDefault="00AA425D">
      <w:pPr>
        <w:pStyle w:val="Innehll2"/>
        <w:rPr>
          <w:sz w:val="24"/>
          <w:szCs w:val="24"/>
        </w:rPr>
      </w:pPr>
      <w:r w:rsidRPr="008A1DE5">
        <w:t>Elcertifikat</w:t>
      </w:r>
      <w:r w:rsidRPr="008A1DE5">
        <w:tab/>
      </w:r>
      <w:r w:rsidRPr="008A1DE5">
        <w:fldChar w:fldCharType="begin" w:fldLock="1"/>
      </w:r>
      <w:r w:rsidRPr="008A1DE5">
        <w:instrText xml:space="preserve"> PAGEREF _Toc118353471 \h </w:instrText>
      </w:r>
      <w:r w:rsidRPr="008A1DE5">
        <w:fldChar w:fldCharType="separate"/>
      </w:r>
      <w:r w:rsidR="000278EA" w:rsidRPr="008A1DE5">
        <w:t>12</w:t>
      </w:r>
      <w:r w:rsidRPr="008A1DE5">
        <w:fldChar w:fldCharType="end"/>
      </w:r>
    </w:p>
    <w:p w:rsidR="00AA425D" w:rsidRPr="008A1DE5" w:rsidRDefault="00AA425D">
      <w:pPr>
        <w:pStyle w:val="Innehll1"/>
        <w:rPr>
          <w:sz w:val="24"/>
          <w:szCs w:val="24"/>
        </w:rPr>
      </w:pPr>
      <w:r w:rsidRPr="008A1DE5">
        <w:t>Ny lovande energiteknik</w:t>
      </w:r>
      <w:r w:rsidRPr="008A1DE5">
        <w:tab/>
      </w:r>
      <w:r w:rsidRPr="008A1DE5">
        <w:fldChar w:fldCharType="begin" w:fldLock="1"/>
      </w:r>
      <w:r w:rsidRPr="008A1DE5">
        <w:instrText xml:space="preserve"> PAGEREF _Toc118353472 \h </w:instrText>
      </w:r>
      <w:r w:rsidRPr="008A1DE5">
        <w:fldChar w:fldCharType="separate"/>
      </w:r>
      <w:r w:rsidR="000278EA" w:rsidRPr="008A1DE5">
        <w:t>12</w:t>
      </w:r>
      <w:r w:rsidRPr="008A1DE5">
        <w:fldChar w:fldCharType="end"/>
      </w:r>
    </w:p>
    <w:p w:rsidR="00AA425D" w:rsidRPr="008A1DE5" w:rsidRDefault="00AA425D">
      <w:pPr>
        <w:pStyle w:val="Innehll1"/>
        <w:rPr>
          <w:sz w:val="24"/>
          <w:szCs w:val="24"/>
        </w:rPr>
      </w:pPr>
      <w:r w:rsidRPr="008A1DE5">
        <w:t>Förnyelsebara alternativ</w:t>
      </w:r>
      <w:r w:rsidRPr="008A1DE5">
        <w:tab/>
      </w:r>
      <w:r w:rsidRPr="008A1DE5">
        <w:fldChar w:fldCharType="begin" w:fldLock="1"/>
      </w:r>
      <w:r w:rsidRPr="008A1DE5">
        <w:instrText xml:space="preserve"> PAGEREF _Toc118353473 \h </w:instrText>
      </w:r>
      <w:r w:rsidRPr="008A1DE5">
        <w:fldChar w:fldCharType="separate"/>
      </w:r>
      <w:r w:rsidR="000278EA" w:rsidRPr="008A1DE5">
        <w:t>12</w:t>
      </w:r>
      <w:r w:rsidRPr="008A1DE5">
        <w:fldChar w:fldCharType="end"/>
      </w:r>
    </w:p>
    <w:p w:rsidR="00AA425D" w:rsidRPr="008A1DE5" w:rsidRDefault="00AA425D">
      <w:pPr>
        <w:pStyle w:val="Innehll1"/>
        <w:rPr>
          <w:sz w:val="24"/>
          <w:szCs w:val="24"/>
        </w:rPr>
      </w:pPr>
      <w:r w:rsidRPr="008A1DE5">
        <w:t>Redovisa de faktiska utsläppen</w:t>
      </w:r>
      <w:r w:rsidRPr="008A1DE5">
        <w:tab/>
      </w:r>
      <w:r w:rsidRPr="008A1DE5">
        <w:fldChar w:fldCharType="begin" w:fldLock="1"/>
      </w:r>
      <w:r w:rsidRPr="008A1DE5">
        <w:instrText xml:space="preserve"> PAGEREF _Toc118353474 \h </w:instrText>
      </w:r>
      <w:r w:rsidRPr="008A1DE5">
        <w:fldChar w:fldCharType="separate"/>
      </w:r>
      <w:r w:rsidR="000278EA" w:rsidRPr="008A1DE5">
        <w:t>13</w:t>
      </w:r>
      <w:r w:rsidRPr="008A1DE5">
        <w:fldChar w:fldCharType="end"/>
      </w:r>
    </w:p>
    <w:p w:rsidR="00AA425D" w:rsidRPr="008A1DE5" w:rsidRDefault="00AA425D">
      <w:pPr>
        <w:pStyle w:val="Innehll1"/>
        <w:rPr>
          <w:sz w:val="24"/>
          <w:szCs w:val="24"/>
        </w:rPr>
      </w:pPr>
      <w:r w:rsidRPr="008A1DE5">
        <w:t>Skapa konkurrens på hela elmarknaden</w:t>
      </w:r>
      <w:r w:rsidRPr="008A1DE5">
        <w:tab/>
      </w:r>
      <w:r w:rsidRPr="008A1DE5">
        <w:fldChar w:fldCharType="begin" w:fldLock="1"/>
      </w:r>
      <w:r w:rsidRPr="008A1DE5">
        <w:instrText xml:space="preserve"> PAGEREF _Toc118353475 \h </w:instrText>
      </w:r>
      <w:r w:rsidRPr="008A1DE5">
        <w:fldChar w:fldCharType="separate"/>
      </w:r>
      <w:r w:rsidR="000278EA" w:rsidRPr="008A1DE5">
        <w:t>13</w:t>
      </w:r>
      <w:r w:rsidRPr="008A1DE5">
        <w:fldChar w:fldCharType="end"/>
      </w:r>
    </w:p>
    <w:p w:rsidR="00AA425D" w:rsidRPr="008A1DE5" w:rsidRDefault="00AA425D">
      <w:pPr>
        <w:pStyle w:val="Innehll2"/>
        <w:rPr>
          <w:sz w:val="24"/>
          <w:szCs w:val="24"/>
        </w:rPr>
      </w:pPr>
      <w:r w:rsidRPr="008A1DE5">
        <w:t>Elproduktion</w:t>
      </w:r>
      <w:r w:rsidRPr="008A1DE5">
        <w:tab/>
      </w:r>
      <w:r w:rsidRPr="008A1DE5">
        <w:fldChar w:fldCharType="begin" w:fldLock="1"/>
      </w:r>
      <w:r w:rsidRPr="008A1DE5">
        <w:instrText xml:space="preserve"> PAGEREF _Toc118353476 \h </w:instrText>
      </w:r>
      <w:r w:rsidRPr="008A1DE5">
        <w:fldChar w:fldCharType="separate"/>
      </w:r>
      <w:r w:rsidR="000278EA" w:rsidRPr="008A1DE5">
        <w:t>13</w:t>
      </w:r>
      <w:r w:rsidRPr="008A1DE5">
        <w:fldChar w:fldCharType="end"/>
      </w:r>
    </w:p>
    <w:p w:rsidR="00AA425D" w:rsidRPr="008A1DE5" w:rsidRDefault="00AA425D">
      <w:pPr>
        <w:pStyle w:val="Innehll2"/>
        <w:rPr>
          <w:sz w:val="24"/>
          <w:szCs w:val="24"/>
        </w:rPr>
      </w:pPr>
      <w:r w:rsidRPr="008A1DE5">
        <w:t>Elnät och elhandel</w:t>
      </w:r>
      <w:r w:rsidRPr="008A1DE5">
        <w:tab/>
      </w:r>
      <w:r w:rsidRPr="008A1DE5">
        <w:fldChar w:fldCharType="begin" w:fldLock="1"/>
      </w:r>
      <w:r w:rsidRPr="008A1DE5">
        <w:instrText xml:space="preserve"> PAGEREF _Toc118353477 \h </w:instrText>
      </w:r>
      <w:r w:rsidRPr="008A1DE5">
        <w:fldChar w:fldCharType="separate"/>
      </w:r>
      <w:r w:rsidR="000278EA" w:rsidRPr="008A1DE5">
        <w:t>14</w:t>
      </w:r>
      <w:r w:rsidRPr="008A1DE5">
        <w:fldChar w:fldCharType="end"/>
      </w:r>
    </w:p>
    <w:p w:rsidR="00AA425D" w:rsidRPr="008A1DE5" w:rsidRDefault="00AA425D">
      <w:pPr>
        <w:pStyle w:val="Innehll2"/>
        <w:rPr>
          <w:sz w:val="24"/>
          <w:szCs w:val="24"/>
        </w:rPr>
      </w:pPr>
      <w:r w:rsidRPr="008A1DE5">
        <w:t>Konkurrensövervakning</w:t>
      </w:r>
      <w:r w:rsidRPr="008A1DE5">
        <w:tab/>
      </w:r>
      <w:r w:rsidRPr="008A1DE5">
        <w:fldChar w:fldCharType="begin" w:fldLock="1"/>
      </w:r>
      <w:r w:rsidRPr="008A1DE5">
        <w:instrText xml:space="preserve"> PAGEREF _Toc118353478 \h </w:instrText>
      </w:r>
      <w:r w:rsidRPr="008A1DE5">
        <w:fldChar w:fldCharType="separate"/>
      </w:r>
      <w:r w:rsidR="000278EA" w:rsidRPr="008A1DE5">
        <w:t>14</w:t>
      </w:r>
      <w:r w:rsidRPr="008A1DE5">
        <w:fldChar w:fldCharType="end"/>
      </w:r>
    </w:p>
    <w:p w:rsidR="00AA425D" w:rsidRPr="008A1DE5" w:rsidRDefault="00AA425D">
      <w:pPr>
        <w:pStyle w:val="Innehll1"/>
        <w:rPr>
          <w:sz w:val="24"/>
          <w:szCs w:val="24"/>
        </w:rPr>
      </w:pPr>
      <w:r w:rsidRPr="008A1DE5">
        <w:t>Det sårbara samhället</w:t>
      </w:r>
      <w:r w:rsidRPr="008A1DE5">
        <w:tab/>
      </w:r>
      <w:r w:rsidRPr="008A1DE5">
        <w:fldChar w:fldCharType="begin" w:fldLock="1"/>
      </w:r>
      <w:r w:rsidRPr="008A1DE5">
        <w:instrText xml:space="preserve"> PAGEREF _Toc118353479 \h </w:instrText>
      </w:r>
      <w:r w:rsidRPr="008A1DE5">
        <w:fldChar w:fldCharType="separate"/>
      </w:r>
      <w:r w:rsidR="000278EA" w:rsidRPr="008A1DE5">
        <w:t>14</w:t>
      </w:r>
      <w:r w:rsidRPr="008A1DE5">
        <w:fldChar w:fldCharType="end"/>
      </w:r>
    </w:p>
    <w:p w:rsidR="00AA425D" w:rsidRPr="008A1DE5" w:rsidRDefault="00AA425D">
      <w:pPr>
        <w:pStyle w:val="Innehll1"/>
        <w:rPr>
          <w:sz w:val="24"/>
          <w:szCs w:val="24"/>
        </w:rPr>
      </w:pPr>
      <w:r w:rsidRPr="008A1DE5">
        <w:t>Strålningsrisker från kraftledningar</w:t>
      </w:r>
      <w:r w:rsidRPr="008A1DE5">
        <w:tab/>
      </w:r>
      <w:r w:rsidRPr="008A1DE5">
        <w:fldChar w:fldCharType="begin" w:fldLock="1"/>
      </w:r>
      <w:r w:rsidRPr="008A1DE5">
        <w:instrText xml:space="preserve"> PAGEREF _Toc118353480 \h </w:instrText>
      </w:r>
      <w:r w:rsidRPr="008A1DE5">
        <w:fldChar w:fldCharType="separate"/>
      </w:r>
      <w:r w:rsidR="000278EA" w:rsidRPr="008A1DE5">
        <w:t>15</w:t>
      </w:r>
      <w:r w:rsidRPr="008A1DE5">
        <w:fldChar w:fldCharType="end"/>
      </w:r>
    </w:p>
    <w:p w:rsidR="00AA425D" w:rsidRPr="008A1DE5" w:rsidRDefault="00AA425D">
      <w:pPr>
        <w:pStyle w:val="Innehll1"/>
        <w:rPr>
          <w:sz w:val="24"/>
          <w:szCs w:val="24"/>
        </w:rPr>
      </w:pPr>
      <w:r w:rsidRPr="008A1DE5">
        <w:t>Energisparande måste löna sig</w:t>
      </w:r>
      <w:r w:rsidRPr="008A1DE5">
        <w:tab/>
      </w:r>
      <w:r w:rsidRPr="008A1DE5">
        <w:fldChar w:fldCharType="begin" w:fldLock="1"/>
      </w:r>
      <w:r w:rsidRPr="008A1DE5">
        <w:instrText xml:space="preserve"> PAGEREF _Toc118353481 \h </w:instrText>
      </w:r>
      <w:r w:rsidRPr="008A1DE5">
        <w:fldChar w:fldCharType="separate"/>
      </w:r>
      <w:r w:rsidR="000278EA" w:rsidRPr="008A1DE5">
        <w:t>16</w:t>
      </w:r>
      <w:r w:rsidRPr="008A1DE5">
        <w:fldChar w:fldCharType="end"/>
      </w:r>
    </w:p>
    <w:p w:rsidR="00AA425D" w:rsidRPr="008A1DE5" w:rsidRDefault="00AA425D">
      <w:pPr>
        <w:pStyle w:val="Innehll1"/>
        <w:rPr>
          <w:sz w:val="24"/>
          <w:szCs w:val="24"/>
        </w:rPr>
      </w:pPr>
      <w:r w:rsidRPr="008A1DE5">
        <w:t>Skatter på energiområdet</w:t>
      </w:r>
      <w:r w:rsidRPr="008A1DE5">
        <w:tab/>
      </w:r>
      <w:r w:rsidRPr="008A1DE5">
        <w:fldChar w:fldCharType="begin" w:fldLock="1"/>
      </w:r>
      <w:r w:rsidRPr="008A1DE5">
        <w:instrText xml:space="preserve"> PAGEREF _Toc118353482 \h </w:instrText>
      </w:r>
      <w:r w:rsidRPr="008A1DE5">
        <w:fldChar w:fldCharType="separate"/>
      </w:r>
      <w:r w:rsidR="000278EA" w:rsidRPr="008A1DE5">
        <w:t>16</w:t>
      </w:r>
      <w:r w:rsidRPr="008A1DE5">
        <w:fldChar w:fldCharType="end"/>
      </w:r>
    </w:p>
    <w:p w:rsidR="00AA425D" w:rsidRPr="008A1DE5" w:rsidRDefault="00AA425D">
      <w:pPr>
        <w:pStyle w:val="Innehll1"/>
        <w:rPr>
          <w:sz w:val="24"/>
          <w:szCs w:val="24"/>
        </w:rPr>
      </w:pPr>
      <w:r w:rsidRPr="008A1DE5">
        <w:t>Anslagsfrågor utgiftsområde 21</w:t>
      </w:r>
      <w:r w:rsidRPr="008A1DE5">
        <w:tab/>
      </w:r>
      <w:r w:rsidRPr="008A1DE5">
        <w:fldChar w:fldCharType="begin" w:fldLock="1"/>
      </w:r>
      <w:r w:rsidRPr="008A1DE5">
        <w:instrText xml:space="preserve"> PAGEREF _Toc118353483 \h </w:instrText>
      </w:r>
      <w:r w:rsidRPr="008A1DE5">
        <w:fldChar w:fldCharType="separate"/>
      </w:r>
      <w:r w:rsidR="000278EA" w:rsidRPr="008A1DE5">
        <w:t>17</w:t>
      </w:r>
      <w:r w:rsidRPr="008A1DE5">
        <w:fldChar w:fldCharType="end"/>
      </w:r>
    </w:p>
    <w:p w:rsidR="0051083D" w:rsidRPr="008A1DE5" w:rsidRDefault="00F076C1" w:rsidP="0051083D">
      <w:r w:rsidRPr="008A1DE5">
        <w:fldChar w:fldCharType="end"/>
      </w:r>
    </w:p>
    <w:p w:rsidR="00F076C1" w:rsidRPr="008A1DE5" w:rsidRDefault="0051083D" w:rsidP="00DA385F">
      <w:pPr>
        <w:pStyle w:val="Hemstlrubrik"/>
      </w:pPr>
      <w:r w:rsidRPr="008A1DE5">
        <w:br w:type="page"/>
      </w:r>
      <w:bookmarkStart w:id="2" w:name="_Toc118353457"/>
      <w:r w:rsidR="00F076C1" w:rsidRPr="008A1DE5">
        <w:lastRenderedPageBreak/>
        <w:t>Förslag till riksdagsbeslut</w:t>
      </w:r>
      <w:bookmarkEnd w:id="2"/>
    </w:p>
    <w:p w:rsidR="00075450" w:rsidRPr="008A1DE5" w:rsidRDefault="00075450" w:rsidP="00075450">
      <w:pPr>
        <w:pStyle w:val="Hemstlatt"/>
      </w:pPr>
      <w:r w:rsidRPr="008A1DE5">
        <w:t>Riksdagen tillkännager för regeringen som sin mening vad i motionen anförs om elskatt.</w:t>
      </w:r>
      <w:r w:rsidR="0051083D" w:rsidRPr="008A1DE5">
        <w:rPr>
          <w:vertAlign w:val="superscript"/>
        </w:rPr>
        <w:t>1</w:t>
      </w:r>
    </w:p>
    <w:p w:rsidR="00075450" w:rsidRPr="008A1DE5" w:rsidRDefault="00075450" w:rsidP="00075450">
      <w:pPr>
        <w:pStyle w:val="Hemstlatt"/>
      </w:pPr>
      <w:r w:rsidRPr="008A1DE5">
        <w:t>Riksdagen tillkännager för regeringen som sin mening vad i motionen anförs om att återstarta båda reaktorerna i Barsebäck.</w:t>
      </w:r>
    </w:p>
    <w:p w:rsidR="00075450" w:rsidRPr="008A1DE5" w:rsidRDefault="00075450" w:rsidP="00075450">
      <w:pPr>
        <w:pStyle w:val="Hemstlatt"/>
      </w:pPr>
      <w:r w:rsidRPr="008A1DE5">
        <w:t>Riksdagen tillkännager för regeringen som sin mening vad i motionen anförs om att avskaffa lagen om kärnkraftens avveckling.</w:t>
      </w:r>
    </w:p>
    <w:p w:rsidR="00075450" w:rsidRPr="008A1DE5" w:rsidRDefault="00075450" w:rsidP="00075450">
      <w:pPr>
        <w:pStyle w:val="Hemstlatt"/>
      </w:pPr>
      <w:r w:rsidRPr="008A1DE5">
        <w:t xml:space="preserve">Riksdagen tillkännager för regeringen som sin mening vad i motionen anförs om att avskaffa </w:t>
      </w:r>
      <w:smartTag w:uri="urn:schemas-microsoft-com:office:smarttags" w:element="metricconverter">
        <w:smartTagPr>
          <w:attr w:name="ProductID" w:val="5 a"/>
        </w:smartTagPr>
        <w:r w:rsidR="00F75A71" w:rsidRPr="008A1DE5">
          <w:t>5 a</w:t>
        </w:r>
      </w:smartTag>
      <w:r w:rsidR="00F75A71" w:rsidRPr="008A1DE5">
        <w:t xml:space="preserve"> § </w:t>
      </w:r>
      <w:r w:rsidR="0051083D" w:rsidRPr="008A1DE5">
        <w:t>k</w:t>
      </w:r>
      <w:r w:rsidR="00F75A71" w:rsidRPr="008A1DE5">
        <w:t>ärntekniklagen.</w:t>
      </w:r>
    </w:p>
    <w:p w:rsidR="00075450" w:rsidRPr="008A1DE5" w:rsidRDefault="00075450" w:rsidP="00075450">
      <w:pPr>
        <w:pStyle w:val="Hemstlatt"/>
      </w:pPr>
      <w:r w:rsidRPr="008A1DE5">
        <w:t>Riksdagen tillkännager för regeringen som sin mening vad i motionen anförs om att avskaffa</w:t>
      </w:r>
      <w:r w:rsidR="008F3912" w:rsidRPr="008A1DE5">
        <w:t xml:space="preserve"> 6 § </w:t>
      </w:r>
      <w:r w:rsidR="0051083D" w:rsidRPr="008A1DE5">
        <w:t>k</w:t>
      </w:r>
      <w:r w:rsidR="00F75A71" w:rsidRPr="008A1DE5">
        <w:t>ärntekniklagen</w:t>
      </w:r>
      <w:r w:rsidRPr="008A1DE5">
        <w:t>.</w:t>
      </w:r>
    </w:p>
    <w:p w:rsidR="00AD51ED" w:rsidRPr="008A1DE5" w:rsidRDefault="00AD51ED" w:rsidP="00AD51ED">
      <w:pPr>
        <w:pStyle w:val="Hemstlatt"/>
      </w:pPr>
      <w:r w:rsidRPr="008A1DE5">
        <w:t>Riksdagen tillkännager för regeringen som sin mening vad i motionen anförs om att anpassa atomansvarighetslagen till den nya nivån i Pari</w:t>
      </w:r>
      <w:r w:rsidRPr="008A1DE5">
        <w:t>s</w:t>
      </w:r>
      <w:r w:rsidRPr="008A1DE5">
        <w:t>konve</w:t>
      </w:r>
      <w:r w:rsidRPr="008A1DE5">
        <w:t>n</w:t>
      </w:r>
      <w:r w:rsidRPr="008A1DE5">
        <w:t>tionen.</w:t>
      </w:r>
      <w:r w:rsidR="0051083D" w:rsidRPr="008A1DE5">
        <w:rPr>
          <w:vertAlign w:val="superscript"/>
        </w:rPr>
        <w:t>2</w:t>
      </w:r>
    </w:p>
    <w:p w:rsidR="00F42AF0" w:rsidRPr="008A1DE5" w:rsidRDefault="00F42AF0" w:rsidP="00F42AF0">
      <w:pPr>
        <w:pStyle w:val="Hemstlatt"/>
      </w:pPr>
      <w:r w:rsidRPr="008A1DE5">
        <w:t>Riksdagen avslår regeringens förslag att höja effektskatten på kärnkraft.</w:t>
      </w:r>
      <w:r w:rsidR="0051083D" w:rsidRPr="008A1DE5">
        <w:rPr>
          <w:vertAlign w:val="superscript"/>
        </w:rPr>
        <w:t>3</w:t>
      </w:r>
    </w:p>
    <w:p w:rsidR="00AD51ED" w:rsidRPr="008A1DE5" w:rsidRDefault="00AD51ED" w:rsidP="00AD51ED">
      <w:pPr>
        <w:pStyle w:val="Hemstlatt"/>
      </w:pPr>
      <w:r w:rsidRPr="008A1DE5">
        <w:t>Riksdagen tillkännager för regeringen som sin mening vad i motionen anförs om att avskaffa effektskatten på kärnkraft.</w:t>
      </w:r>
      <w:r w:rsidR="0051083D" w:rsidRPr="008A1DE5">
        <w:rPr>
          <w:vertAlign w:val="superscript"/>
        </w:rPr>
        <w:t>1</w:t>
      </w:r>
    </w:p>
    <w:p w:rsidR="00075450" w:rsidRPr="008A1DE5" w:rsidRDefault="00075450" w:rsidP="00075450">
      <w:pPr>
        <w:pStyle w:val="Hemstlatt"/>
      </w:pPr>
      <w:r w:rsidRPr="008A1DE5">
        <w:t>Riksdagen tillkännager för regeringen som sin mening vad i motionen anförs om att utreda möjligheterna att utnyttja värmen i kärnkraftverkens kylvatten.</w:t>
      </w:r>
    </w:p>
    <w:p w:rsidR="00D5725B" w:rsidRPr="008A1DE5" w:rsidRDefault="00D5725B" w:rsidP="00D5725B">
      <w:pPr>
        <w:pStyle w:val="Hemstlatt"/>
      </w:pPr>
      <w:r w:rsidRPr="008A1DE5">
        <w:t>Riksdagen tillkännager för regeringen som sin mening vad i motionen anförs om att avskaffa elcertifikats</w:t>
      </w:r>
      <w:r w:rsidR="008F3912" w:rsidRPr="008A1DE5">
        <w:t>s</w:t>
      </w:r>
      <w:r w:rsidRPr="008A1DE5">
        <w:t>ystemet.</w:t>
      </w:r>
    </w:p>
    <w:p w:rsidR="00075450" w:rsidRPr="008A1DE5" w:rsidRDefault="00075450" w:rsidP="00075450">
      <w:pPr>
        <w:pStyle w:val="Hemstlatt"/>
      </w:pPr>
      <w:r w:rsidRPr="008A1DE5">
        <w:t>Riksdagen tillkännager för regeringen som sin mening vad i motionen anförs om att redovisa koldioxidutsläpp för importerad el i den svenska stat</w:t>
      </w:r>
      <w:r w:rsidRPr="008A1DE5">
        <w:t>i</w:t>
      </w:r>
      <w:r w:rsidRPr="008A1DE5">
        <w:t>stiken.</w:t>
      </w:r>
      <w:r w:rsidR="0051083D" w:rsidRPr="008A1DE5">
        <w:rPr>
          <w:vertAlign w:val="superscript"/>
        </w:rPr>
        <w:t>4</w:t>
      </w:r>
    </w:p>
    <w:p w:rsidR="007C484D" w:rsidRPr="008A1DE5" w:rsidRDefault="007C484D" w:rsidP="007C484D">
      <w:pPr>
        <w:pStyle w:val="Hemstlatt"/>
      </w:pPr>
      <w:r w:rsidRPr="008A1DE5">
        <w:t>Riksdagen tillkännager för regeringen som sin mening vad i motionen anförs om tuffare konkurrensgranskning av elproduktionsmarknaden.</w:t>
      </w:r>
    </w:p>
    <w:p w:rsidR="00860155" w:rsidRPr="008A1DE5" w:rsidRDefault="00860155" w:rsidP="00860155">
      <w:pPr>
        <w:pStyle w:val="Hemstlatt"/>
      </w:pPr>
      <w:r w:rsidRPr="008A1DE5">
        <w:t>Riksdagen tillkännager för regeringen som sin mening vad i motionen anförs om prioritering av utbyggnad av överföringskapaciteten i Norden.</w:t>
      </w:r>
    </w:p>
    <w:p w:rsidR="00A76AA5" w:rsidRPr="008A1DE5" w:rsidRDefault="00A76AA5" w:rsidP="00A76AA5">
      <w:pPr>
        <w:pStyle w:val="Hemstlatt"/>
      </w:pPr>
      <w:r w:rsidRPr="008A1DE5">
        <w:t>Riksdagen tillkännager för regeringen som sin mening vad i motionen anförs om ett centralt anläggningsregister.</w:t>
      </w:r>
    </w:p>
    <w:p w:rsidR="0043326A" w:rsidRPr="008A1DE5" w:rsidRDefault="0043326A" w:rsidP="0043326A">
      <w:pPr>
        <w:pStyle w:val="Hemstlatt"/>
      </w:pPr>
      <w:r w:rsidRPr="008A1DE5">
        <w:t>Riksdagen tillkännager för regeringen som sin mening vad i motionen anförs om begripliga elräkningar.</w:t>
      </w:r>
    </w:p>
    <w:p w:rsidR="006D21B8" w:rsidRPr="008A1DE5" w:rsidRDefault="006D21B8" w:rsidP="006D21B8">
      <w:pPr>
        <w:pStyle w:val="Hemstlatt"/>
      </w:pPr>
      <w:r w:rsidRPr="008A1DE5">
        <w:t xml:space="preserve">Riksdagen tillkännager för regeringen som sin mening om </w:t>
      </w:r>
      <w:r w:rsidR="0051083D" w:rsidRPr="008A1DE5">
        <w:t>vad i moti</w:t>
      </w:r>
      <w:r w:rsidR="0051083D" w:rsidRPr="008A1DE5">
        <w:t>o</w:t>
      </w:r>
      <w:r w:rsidR="0051083D" w:rsidRPr="008A1DE5">
        <w:t xml:space="preserve">nen anförs om </w:t>
      </w:r>
      <w:r w:rsidRPr="008A1DE5">
        <w:t>att flytta konkurrensövervakningen av elmarknaden till Konkurrensverket.</w:t>
      </w:r>
    </w:p>
    <w:p w:rsidR="00016474" w:rsidRPr="008A1DE5" w:rsidRDefault="00016474" w:rsidP="00016474">
      <w:pPr>
        <w:pStyle w:val="Hemstlatt"/>
      </w:pPr>
      <w:r w:rsidRPr="008A1DE5">
        <w:t>Riksdagen tillkännager för regeringen som sin mening vad i motionen anförs om starka ekonomiska incitament för nätbolagen att öka leveran</w:t>
      </w:r>
      <w:r w:rsidRPr="008A1DE5">
        <w:t>s</w:t>
      </w:r>
      <w:r w:rsidRPr="008A1DE5">
        <w:t>säkerheten i elnätet.</w:t>
      </w:r>
    </w:p>
    <w:p w:rsidR="004441CD" w:rsidRPr="008A1DE5" w:rsidRDefault="004441CD" w:rsidP="004441CD">
      <w:pPr>
        <w:pStyle w:val="Hemstlatt"/>
      </w:pPr>
      <w:r w:rsidRPr="008A1DE5">
        <w:t>Riksdagen tillkännager för regeringen som sin mening vad i motionen anförs om att se över samtliga kommuners reservkraftskapacitet vid eventue</w:t>
      </w:r>
      <w:r w:rsidRPr="008A1DE5">
        <w:t>l</w:t>
      </w:r>
      <w:r w:rsidRPr="008A1DE5">
        <w:t>la strömavbrott.</w:t>
      </w:r>
      <w:r w:rsidR="0051083D" w:rsidRPr="008A1DE5">
        <w:rPr>
          <w:vertAlign w:val="superscript"/>
        </w:rPr>
        <w:t>5</w:t>
      </w:r>
    </w:p>
    <w:p w:rsidR="00075450" w:rsidRPr="008A1DE5" w:rsidRDefault="00075450" w:rsidP="00075450">
      <w:pPr>
        <w:pStyle w:val="Hemstlatt"/>
      </w:pPr>
      <w:r w:rsidRPr="008A1DE5">
        <w:t>Riksdagen tillkännager för regeringen som sin mening vad i motionen anförs om att uppmuntra energibesparande åtgärder i bostäder.</w:t>
      </w:r>
    </w:p>
    <w:p w:rsidR="00254DF2" w:rsidRPr="008A1DE5" w:rsidRDefault="00254DF2" w:rsidP="00254DF2">
      <w:pPr>
        <w:pStyle w:val="Hemstlatt"/>
      </w:pPr>
      <w:r w:rsidRPr="008A1DE5">
        <w:t>Riksdagen avslår regeringens förslag om investeringsstöd för konvert</w:t>
      </w:r>
      <w:r w:rsidRPr="008A1DE5">
        <w:t>e</w:t>
      </w:r>
      <w:r w:rsidRPr="008A1DE5">
        <w:t>ring från direktverkande elvärme i bostadshus.</w:t>
      </w:r>
      <w:r w:rsidR="0051083D" w:rsidRPr="008A1DE5">
        <w:rPr>
          <w:vertAlign w:val="superscript"/>
        </w:rPr>
        <w:t>3</w:t>
      </w:r>
    </w:p>
    <w:p w:rsidR="00D46FB8" w:rsidRPr="008A1DE5" w:rsidRDefault="00D46FB8" w:rsidP="00D46FB8">
      <w:pPr>
        <w:pStyle w:val="Hemstlatt"/>
      </w:pPr>
      <w:r w:rsidRPr="008A1DE5">
        <w:t>Riksdagen tillkännager för regeringen som sin mening vad i motionen anförs om att avskaffa miljöbonusen för vindkraft.</w:t>
      </w:r>
      <w:r w:rsidR="0051083D" w:rsidRPr="008A1DE5">
        <w:rPr>
          <w:vertAlign w:val="superscript"/>
        </w:rPr>
        <w:t>1</w:t>
      </w:r>
    </w:p>
    <w:p w:rsidR="00D46FB8" w:rsidRPr="008A1DE5" w:rsidRDefault="00D46FB8" w:rsidP="00D46FB8">
      <w:pPr>
        <w:pStyle w:val="Hemstlatt"/>
      </w:pPr>
      <w:r w:rsidRPr="008A1DE5">
        <w:t>Riksdagen tillkännager för regeringen som sin mening vad i motionen anförs om att avskaffa koldioxidskattebefrielsen för torv.</w:t>
      </w:r>
      <w:r w:rsidR="0051083D" w:rsidRPr="008A1DE5">
        <w:rPr>
          <w:vertAlign w:val="superscript"/>
        </w:rPr>
        <w:t>1</w:t>
      </w:r>
    </w:p>
    <w:p w:rsidR="000861AF" w:rsidRPr="008A1DE5" w:rsidRDefault="000861AF" w:rsidP="000861AF">
      <w:pPr>
        <w:pStyle w:val="Hemstlatt"/>
      </w:pPr>
      <w:r w:rsidRPr="008A1DE5">
        <w:t>Riksdagen tillkännager för regeringen som sin mening vad i motionen anförs om att avskaffa energiskattebefrielsen för torv.</w:t>
      </w:r>
      <w:r w:rsidR="0051083D" w:rsidRPr="008A1DE5">
        <w:rPr>
          <w:vertAlign w:val="superscript"/>
        </w:rPr>
        <w:t>1</w:t>
      </w:r>
    </w:p>
    <w:p w:rsidR="00D46FB8" w:rsidRPr="008A1DE5" w:rsidRDefault="00D46FB8" w:rsidP="00E204CD">
      <w:pPr>
        <w:pStyle w:val="Hemstlatt"/>
        <w:spacing w:after="40"/>
      </w:pPr>
      <w:r w:rsidRPr="008A1DE5">
        <w:t>Riksdagen anvisar med följande ändringar i förhållande till regeringens förslag anslagen under utgiftsområde 21 Energi</w:t>
      </w:r>
      <w:r w:rsidR="0051083D" w:rsidRPr="008A1DE5">
        <w:t xml:space="preserve"> enligt uppställning</w:t>
      </w:r>
      <w:r w:rsidRPr="008A1DE5">
        <w:t>:</w:t>
      </w:r>
    </w:p>
    <w:tbl>
      <w:tblPr>
        <w:tblStyle w:val="Tabellrutnt1"/>
        <w:tblW w:w="5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648"/>
        <w:gridCol w:w="2880"/>
        <w:gridCol w:w="1235"/>
        <w:gridCol w:w="1235"/>
      </w:tblGrid>
      <w:tr w:rsidR="005D2812" w:rsidRPr="008A1DE5">
        <w:tc>
          <w:tcPr>
            <w:tcW w:w="648" w:type="dxa"/>
            <w:tcBorders>
              <w:top w:val="single" w:sz="4" w:space="0" w:color="auto"/>
              <w:bottom w:val="single" w:sz="4" w:space="0" w:color="auto"/>
            </w:tcBorders>
          </w:tcPr>
          <w:p w:rsidR="005D2812" w:rsidRPr="008A1DE5" w:rsidRDefault="005D2812" w:rsidP="008F3912">
            <w:pPr>
              <w:pStyle w:val="KantRubrikS5V"/>
              <w:widowControl/>
              <w:tabs>
                <w:tab w:val="clear" w:pos="1814"/>
                <w:tab w:val="clear" w:pos="1899"/>
              </w:tabs>
              <w:suppressAutoHyphens w:val="0"/>
              <w:spacing w:before="60" w:line="200" w:lineRule="exact"/>
              <w:rPr>
                <w:b/>
                <w:noProof w:val="0"/>
                <w:spacing w:val="0"/>
                <w:szCs w:val="16"/>
                <w:lang w:val="sv-SE"/>
              </w:rPr>
            </w:pPr>
          </w:p>
        </w:tc>
        <w:tc>
          <w:tcPr>
            <w:tcW w:w="2880" w:type="dxa"/>
            <w:tcBorders>
              <w:top w:val="single" w:sz="4" w:space="0" w:color="auto"/>
              <w:bottom w:val="single" w:sz="4" w:space="0" w:color="auto"/>
            </w:tcBorders>
          </w:tcPr>
          <w:p w:rsidR="005D2812" w:rsidRPr="008A1DE5" w:rsidRDefault="005D2812" w:rsidP="008F3912">
            <w:pPr>
              <w:pStyle w:val="KantRubrikS5V"/>
              <w:widowControl/>
              <w:tabs>
                <w:tab w:val="clear" w:pos="1814"/>
                <w:tab w:val="clear" w:pos="1899"/>
              </w:tabs>
              <w:suppressAutoHyphens w:val="0"/>
              <w:spacing w:before="60" w:line="200" w:lineRule="exact"/>
              <w:rPr>
                <w:b/>
                <w:noProof w:val="0"/>
                <w:spacing w:val="0"/>
                <w:szCs w:val="16"/>
                <w:lang w:val="sv-SE"/>
              </w:rPr>
            </w:pPr>
            <w:r w:rsidRPr="008A1DE5">
              <w:rPr>
                <w:b/>
                <w:noProof w:val="0"/>
                <w:spacing w:val="0"/>
                <w:szCs w:val="16"/>
                <w:lang w:val="sv-SE"/>
              </w:rPr>
              <w:t>Anslag (miljoner kronor)</w:t>
            </w:r>
          </w:p>
        </w:tc>
        <w:tc>
          <w:tcPr>
            <w:tcW w:w="1235" w:type="dxa"/>
            <w:tcBorders>
              <w:top w:val="single" w:sz="4" w:space="0" w:color="auto"/>
              <w:bottom w:val="single" w:sz="4" w:space="0" w:color="auto"/>
            </w:tcBorders>
          </w:tcPr>
          <w:p w:rsidR="005D2812" w:rsidRPr="008A1DE5" w:rsidRDefault="005D2812" w:rsidP="008F3912">
            <w:pPr>
              <w:spacing w:before="60" w:line="200" w:lineRule="exact"/>
              <w:rPr>
                <w:b/>
                <w:sz w:val="16"/>
                <w:szCs w:val="16"/>
              </w:rPr>
            </w:pPr>
            <w:r w:rsidRPr="008A1DE5">
              <w:rPr>
                <w:b/>
                <w:sz w:val="16"/>
                <w:szCs w:val="16"/>
              </w:rPr>
              <w:t>Regerin</w:t>
            </w:r>
            <w:r w:rsidRPr="008A1DE5">
              <w:rPr>
                <w:b/>
                <w:sz w:val="16"/>
                <w:szCs w:val="16"/>
              </w:rPr>
              <w:t>g</w:t>
            </w:r>
            <w:r w:rsidRPr="008A1DE5">
              <w:rPr>
                <w:b/>
                <w:sz w:val="16"/>
                <w:szCs w:val="16"/>
              </w:rPr>
              <w:t>ens förslag 2006</w:t>
            </w:r>
          </w:p>
        </w:tc>
        <w:tc>
          <w:tcPr>
            <w:tcW w:w="1235" w:type="dxa"/>
            <w:tcBorders>
              <w:top w:val="single" w:sz="4" w:space="0" w:color="auto"/>
              <w:bottom w:val="single" w:sz="4" w:space="0" w:color="auto"/>
            </w:tcBorders>
          </w:tcPr>
          <w:p w:rsidR="005D2812" w:rsidRPr="008A1DE5" w:rsidRDefault="005D2812" w:rsidP="008F3912">
            <w:pPr>
              <w:spacing w:before="60" w:line="200" w:lineRule="exact"/>
              <w:rPr>
                <w:b/>
                <w:sz w:val="16"/>
                <w:szCs w:val="16"/>
              </w:rPr>
            </w:pPr>
            <w:r w:rsidRPr="008A1DE5">
              <w:rPr>
                <w:b/>
                <w:sz w:val="16"/>
                <w:szCs w:val="16"/>
              </w:rPr>
              <w:t>Förän</w:t>
            </w:r>
            <w:r w:rsidRPr="008A1DE5">
              <w:rPr>
                <w:b/>
                <w:sz w:val="16"/>
                <w:szCs w:val="16"/>
              </w:rPr>
              <w:t>d</w:t>
            </w:r>
            <w:r w:rsidRPr="008A1DE5">
              <w:rPr>
                <w:b/>
                <w:sz w:val="16"/>
                <w:szCs w:val="16"/>
              </w:rPr>
              <w:t>ringar 2006</w:t>
            </w:r>
          </w:p>
        </w:tc>
      </w:tr>
      <w:tr w:rsidR="005D2812" w:rsidRPr="008A1DE5">
        <w:tc>
          <w:tcPr>
            <w:tcW w:w="648" w:type="dxa"/>
            <w:tcBorders>
              <w:top w:val="single" w:sz="4" w:space="0" w:color="auto"/>
            </w:tcBorders>
          </w:tcPr>
          <w:p w:rsidR="005D2812" w:rsidRPr="008A1DE5" w:rsidRDefault="005D2812" w:rsidP="00E204CD">
            <w:pPr>
              <w:spacing w:before="60" w:line="200" w:lineRule="exact"/>
              <w:rPr>
                <w:sz w:val="16"/>
                <w:szCs w:val="16"/>
              </w:rPr>
            </w:pPr>
            <w:r w:rsidRPr="008A1DE5">
              <w:rPr>
                <w:sz w:val="16"/>
                <w:szCs w:val="16"/>
              </w:rPr>
              <w:t>35:1</w:t>
            </w:r>
          </w:p>
        </w:tc>
        <w:tc>
          <w:tcPr>
            <w:tcW w:w="2880" w:type="dxa"/>
            <w:tcBorders>
              <w:top w:val="single" w:sz="4" w:space="0" w:color="auto"/>
            </w:tcBorders>
          </w:tcPr>
          <w:p w:rsidR="005D2812" w:rsidRPr="008A1DE5" w:rsidRDefault="005D2812" w:rsidP="00E204CD">
            <w:pPr>
              <w:spacing w:before="60" w:line="200" w:lineRule="exact"/>
              <w:rPr>
                <w:sz w:val="16"/>
                <w:szCs w:val="16"/>
              </w:rPr>
            </w:pPr>
            <w:r w:rsidRPr="008A1DE5">
              <w:rPr>
                <w:sz w:val="16"/>
                <w:szCs w:val="16"/>
              </w:rPr>
              <w:t>Statens energimyndighet</w:t>
            </w:r>
          </w:p>
        </w:tc>
        <w:tc>
          <w:tcPr>
            <w:tcW w:w="1235" w:type="dxa"/>
            <w:tcBorders>
              <w:top w:val="single" w:sz="4" w:space="0" w:color="auto"/>
            </w:tcBorders>
          </w:tcPr>
          <w:p w:rsidR="005D2812" w:rsidRPr="008A1DE5" w:rsidRDefault="005D2812" w:rsidP="008B0038">
            <w:pPr>
              <w:tabs>
                <w:tab w:val="decimal" w:pos="557"/>
              </w:tabs>
              <w:spacing w:before="60" w:line="200" w:lineRule="exact"/>
              <w:jc w:val="left"/>
              <w:rPr>
                <w:sz w:val="16"/>
                <w:szCs w:val="16"/>
              </w:rPr>
            </w:pPr>
            <w:r w:rsidRPr="008A1DE5">
              <w:rPr>
                <w:sz w:val="16"/>
                <w:szCs w:val="16"/>
              </w:rPr>
              <w:t>193,8</w:t>
            </w:r>
          </w:p>
        </w:tc>
        <w:tc>
          <w:tcPr>
            <w:tcW w:w="1235" w:type="dxa"/>
            <w:tcBorders>
              <w:top w:val="single" w:sz="4" w:space="0" w:color="auto"/>
            </w:tcBorders>
          </w:tcPr>
          <w:p w:rsidR="005D2812" w:rsidRPr="008A1DE5" w:rsidRDefault="00DA385F" w:rsidP="008B0038">
            <w:pPr>
              <w:tabs>
                <w:tab w:val="decimal" w:pos="557"/>
              </w:tabs>
              <w:spacing w:before="60" w:line="200" w:lineRule="exact"/>
              <w:jc w:val="left"/>
              <w:rPr>
                <w:sz w:val="16"/>
                <w:szCs w:val="16"/>
              </w:rPr>
            </w:pPr>
            <w:r w:rsidRPr="008A1DE5">
              <w:rPr>
                <w:sz w:val="16"/>
                <w:szCs w:val="16"/>
              </w:rPr>
              <w:t>–</w:t>
            </w:r>
            <w:r w:rsidR="00055176" w:rsidRPr="008A1DE5">
              <w:rPr>
                <w:sz w:val="16"/>
                <w:szCs w:val="16"/>
              </w:rPr>
              <w:t>25</w:t>
            </w:r>
          </w:p>
        </w:tc>
      </w:tr>
      <w:tr w:rsidR="005D2812" w:rsidRPr="008A1DE5">
        <w:tc>
          <w:tcPr>
            <w:tcW w:w="648" w:type="dxa"/>
          </w:tcPr>
          <w:p w:rsidR="005D2812" w:rsidRPr="008A1DE5" w:rsidRDefault="005D2812" w:rsidP="008F3912">
            <w:pPr>
              <w:spacing w:before="60" w:line="200" w:lineRule="exact"/>
              <w:rPr>
                <w:sz w:val="16"/>
                <w:szCs w:val="16"/>
              </w:rPr>
            </w:pPr>
            <w:r w:rsidRPr="008A1DE5">
              <w:rPr>
                <w:sz w:val="16"/>
                <w:szCs w:val="16"/>
              </w:rPr>
              <w:t>35:2</w:t>
            </w:r>
          </w:p>
        </w:tc>
        <w:tc>
          <w:tcPr>
            <w:tcW w:w="2880" w:type="dxa"/>
          </w:tcPr>
          <w:p w:rsidR="005D2812" w:rsidRPr="008A1DE5" w:rsidRDefault="005D2812" w:rsidP="008F3912">
            <w:pPr>
              <w:spacing w:before="60" w:line="200" w:lineRule="exact"/>
              <w:rPr>
                <w:sz w:val="16"/>
                <w:szCs w:val="16"/>
              </w:rPr>
            </w:pPr>
            <w:r w:rsidRPr="008A1DE5">
              <w:rPr>
                <w:sz w:val="16"/>
                <w:szCs w:val="16"/>
              </w:rPr>
              <w:t>Insatser för effektivare energia</w:t>
            </w:r>
            <w:r w:rsidRPr="008A1DE5">
              <w:rPr>
                <w:sz w:val="16"/>
                <w:szCs w:val="16"/>
              </w:rPr>
              <w:t>n</w:t>
            </w:r>
            <w:r w:rsidRPr="008A1DE5">
              <w:rPr>
                <w:sz w:val="16"/>
                <w:szCs w:val="16"/>
              </w:rPr>
              <w:t>vändning</w:t>
            </w:r>
          </w:p>
        </w:tc>
        <w:tc>
          <w:tcPr>
            <w:tcW w:w="1235" w:type="dxa"/>
          </w:tcPr>
          <w:p w:rsidR="005D2812" w:rsidRPr="008A1DE5" w:rsidRDefault="005D2812" w:rsidP="008B0038">
            <w:pPr>
              <w:tabs>
                <w:tab w:val="decimal" w:pos="557"/>
              </w:tabs>
              <w:spacing w:before="60" w:line="200" w:lineRule="exact"/>
              <w:jc w:val="left"/>
              <w:rPr>
                <w:sz w:val="16"/>
                <w:szCs w:val="16"/>
              </w:rPr>
            </w:pPr>
            <w:r w:rsidRPr="008A1DE5">
              <w:rPr>
                <w:sz w:val="16"/>
                <w:szCs w:val="16"/>
              </w:rPr>
              <w:t>168</w:t>
            </w:r>
          </w:p>
        </w:tc>
        <w:tc>
          <w:tcPr>
            <w:tcW w:w="1235" w:type="dxa"/>
          </w:tcPr>
          <w:p w:rsidR="005D2812" w:rsidRPr="008A1DE5" w:rsidRDefault="00DA385F" w:rsidP="008B0038">
            <w:pPr>
              <w:tabs>
                <w:tab w:val="decimal" w:pos="557"/>
              </w:tabs>
              <w:spacing w:before="60" w:line="200" w:lineRule="exact"/>
              <w:jc w:val="left"/>
              <w:rPr>
                <w:sz w:val="16"/>
                <w:szCs w:val="16"/>
              </w:rPr>
            </w:pPr>
            <w:r w:rsidRPr="008A1DE5">
              <w:rPr>
                <w:sz w:val="16"/>
                <w:szCs w:val="16"/>
              </w:rPr>
              <w:t>–</w:t>
            </w:r>
            <w:r w:rsidR="005D2812" w:rsidRPr="008A1DE5">
              <w:rPr>
                <w:sz w:val="16"/>
                <w:szCs w:val="16"/>
              </w:rPr>
              <w:t>12</w:t>
            </w:r>
          </w:p>
        </w:tc>
      </w:tr>
      <w:tr w:rsidR="005D2812" w:rsidRPr="008A1DE5">
        <w:tc>
          <w:tcPr>
            <w:tcW w:w="648" w:type="dxa"/>
          </w:tcPr>
          <w:p w:rsidR="005D2812" w:rsidRPr="008A1DE5" w:rsidRDefault="005D2812" w:rsidP="008F3912">
            <w:pPr>
              <w:spacing w:before="60" w:line="200" w:lineRule="exact"/>
              <w:rPr>
                <w:sz w:val="16"/>
                <w:szCs w:val="16"/>
              </w:rPr>
            </w:pPr>
            <w:r w:rsidRPr="008A1DE5">
              <w:rPr>
                <w:sz w:val="16"/>
                <w:szCs w:val="16"/>
              </w:rPr>
              <w:t>35:3</w:t>
            </w:r>
          </w:p>
        </w:tc>
        <w:tc>
          <w:tcPr>
            <w:tcW w:w="2880" w:type="dxa"/>
            <w:vAlign w:val="bottom"/>
          </w:tcPr>
          <w:p w:rsidR="005D2812" w:rsidRPr="008A1DE5" w:rsidRDefault="005D2812" w:rsidP="008F3912">
            <w:pPr>
              <w:spacing w:before="60" w:line="200" w:lineRule="exact"/>
              <w:rPr>
                <w:sz w:val="16"/>
                <w:szCs w:val="16"/>
              </w:rPr>
            </w:pPr>
            <w:r w:rsidRPr="008A1DE5">
              <w:rPr>
                <w:sz w:val="16"/>
                <w:szCs w:val="16"/>
              </w:rPr>
              <w:t>Teknikupphandling och marknadsintr</w:t>
            </w:r>
            <w:r w:rsidRPr="008A1DE5">
              <w:rPr>
                <w:sz w:val="16"/>
                <w:szCs w:val="16"/>
              </w:rPr>
              <w:t>o</w:t>
            </w:r>
            <w:r w:rsidRPr="008A1DE5">
              <w:rPr>
                <w:sz w:val="16"/>
                <w:szCs w:val="16"/>
              </w:rPr>
              <w:t>duktion</w:t>
            </w:r>
          </w:p>
        </w:tc>
        <w:tc>
          <w:tcPr>
            <w:tcW w:w="1235" w:type="dxa"/>
            <w:vAlign w:val="bottom"/>
          </w:tcPr>
          <w:p w:rsidR="005D2812" w:rsidRPr="008A1DE5" w:rsidRDefault="005D2812" w:rsidP="008B0038">
            <w:pPr>
              <w:tabs>
                <w:tab w:val="decimal" w:pos="557"/>
              </w:tabs>
              <w:spacing w:before="60" w:line="200" w:lineRule="exact"/>
              <w:jc w:val="left"/>
              <w:rPr>
                <w:sz w:val="16"/>
                <w:szCs w:val="16"/>
              </w:rPr>
            </w:pPr>
            <w:r w:rsidRPr="008A1DE5">
              <w:rPr>
                <w:sz w:val="16"/>
                <w:szCs w:val="16"/>
              </w:rPr>
              <w:t>65</w:t>
            </w:r>
          </w:p>
        </w:tc>
        <w:tc>
          <w:tcPr>
            <w:tcW w:w="1235" w:type="dxa"/>
            <w:vAlign w:val="bottom"/>
          </w:tcPr>
          <w:p w:rsidR="005D2812" w:rsidRPr="008A1DE5" w:rsidRDefault="00DA385F" w:rsidP="008B0038">
            <w:pPr>
              <w:tabs>
                <w:tab w:val="decimal" w:pos="557"/>
              </w:tabs>
              <w:spacing w:before="60" w:line="200" w:lineRule="exact"/>
              <w:jc w:val="left"/>
              <w:rPr>
                <w:sz w:val="16"/>
                <w:szCs w:val="16"/>
              </w:rPr>
            </w:pPr>
            <w:r w:rsidRPr="008A1DE5">
              <w:rPr>
                <w:sz w:val="16"/>
                <w:szCs w:val="16"/>
              </w:rPr>
              <w:t>–</w:t>
            </w:r>
            <w:r w:rsidR="005D2812" w:rsidRPr="008A1DE5">
              <w:rPr>
                <w:sz w:val="16"/>
                <w:szCs w:val="16"/>
              </w:rPr>
              <w:t>13</w:t>
            </w:r>
          </w:p>
        </w:tc>
      </w:tr>
      <w:tr w:rsidR="005D2812" w:rsidRPr="008A1DE5">
        <w:tc>
          <w:tcPr>
            <w:tcW w:w="648" w:type="dxa"/>
          </w:tcPr>
          <w:p w:rsidR="005D2812" w:rsidRPr="008A1DE5" w:rsidRDefault="005D2812" w:rsidP="008F3912">
            <w:pPr>
              <w:spacing w:before="60" w:line="200" w:lineRule="exact"/>
              <w:rPr>
                <w:sz w:val="16"/>
                <w:szCs w:val="16"/>
              </w:rPr>
            </w:pPr>
            <w:r w:rsidRPr="008A1DE5">
              <w:rPr>
                <w:sz w:val="16"/>
                <w:szCs w:val="16"/>
              </w:rPr>
              <w:t>35:4</w:t>
            </w:r>
          </w:p>
        </w:tc>
        <w:tc>
          <w:tcPr>
            <w:tcW w:w="2880" w:type="dxa"/>
          </w:tcPr>
          <w:p w:rsidR="005D2812" w:rsidRPr="008A1DE5" w:rsidRDefault="005D2812" w:rsidP="008F3912">
            <w:pPr>
              <w:spacing w:before="60" w:line="200" w:lineRule="exact"/>
              <w:rPr>
                <w:sz w:val="16"/>
                <w:szCs w:val="16"/>
              </w:rPr>
            </w:pPr>
            <w:r w:rsidRPr="008A1DE5">
              <w:rPr>
                <w:sz w:val="16"/>
                <w:szCs w:val="16"/>
              </w:rPr>
              <w:t>Stöd till introduktion av vin</w:t>
            </w:r>
            <w:r w:rsidRPr="008A1DE5">
              <w:rPr>
                <w:sz w:val="16"/>
                <w:szCs w:val="16"/>
              </w:rPr>
              <w:t>d</w:t>
            </w:r>
            <w:r w:rsidRPr="008A1DE5">
              <w:rPr>
                <w:sz w:val="16"/>
                <w:szCs w:val="16"/>
              </w:rPr>
              <w:t>kraft</w:t>
            </w:r>
          </w:p>
        </w:tc>
        <w:tc>
          <w:tcPr>
            <w:tcW w:w="1235" w:type="dxa"/>
          </w:tcPr>
          <w:p w:rsidR="005D2812" w:rsidRPr="008A1DE5" w:rsidRDefault="005D2812" w:rsidP="008B0038">
            <w:pPr>
              <w:tabs>
                <w:tab w:val="decimal" w:pos="557"/>
              </w:tabs>
              <w:spacing w:before="60" w:line="200" w:lineRule="exact"/>
              <w:jc w:val="left"/>
              <w:rPr>
                <w:sz w:val="16"/>
                <w:szCs w:val="16"/>
              </w:rPr>
            </w:pPr>
            <w:r w:rsidRPr="008A1DE5">
              <w:rPr>
                <w:sz w:val="16"/>
                <w:szCs w:val="16"/>
              </w:rPr>
              <w:t>89,4</w:t>
            </w:r>
          </w:p>
        </w:tc>
        <w:tc>
          <w:tcPr>
            <w:tcW w:w="1235" w:type="dxa"/>
          </w:tcPr>
          <w:p w:rsidR="005D2812" w:rsidRPr="008A1DE5" w:rsidRDefault="00DA385F" w:rsidP="008B0038">
            <w:pPr>
              <w:tabs>
                <w:tab w:val="decimal" w:pos="557"/>
              </w:tabs>
              <w:spacing w:before="60" w:line="200" w:lineRule="exact"/>
              <w:jc w:val="left"/>
              <w:rPr>
                <w:sz w:val="16"/>
                <w:szCs w:val="16"/>
              </w:rPr>
            </w:pPr>
            <w:r w:rsidRPr="008A1DE5">
              <w:rPr>
                <w:sz w:val="16"/>
                <w:szCs w:val="16"/>
              </w:rPr>
              <w:t>–</w:t>
            </w:r>
            <w:r w:rsidR="005D2812" w:rsidRPr="008A1DE5">
              <w:rPr>
                <w:sz w:val="16"/>
                <w:szCs w:val="16"/>
              </w:rPr>
              <w:t>33</w:t>
            </w:r>
          </w:p>
        </w:tc>
      </w:tr>
      <w:tr w:rsidR="005D2812" w:rsidRPr="008A1DE5">
        <w:tc>
          <w:tcPr>
            <w:tcW w:w="648" w:type="dxa"/>
          </w:tcPr>
          <w:p w:rsidR="005D2812" w:rsidRPr="008A1DE5" w:rsidRDefault="005D2812" w:rsidP="008F3912">
            <w:pPr>
              <w:spacing w:before="60" w:line="200" w:lineRule="exact"/>
              <w:rPr>
                <w:sz w:val="16"/>
                <w:szCs w:val="16"/>
              </w:rPr>
            </w:pPr>
            <w:r w:rsidRPr="008A1DE5">
              <w:rPr>
                <w:sz w:val="16"/>
                <w:szCs w:val="16"/>
              </w:rPr>
              <w:t>35:5</w:t>
            </w:r>
          </w:p>
        </w:tc>
        <w:tc>
          <w:tcPr>
            <w:tcW w:w="2880" w:type="dxa"/>
          </w:tcPr>
          <w:p w:rsidR="005D2812" w:rsidRPr="008A1DE5" w:rsidRDefault="005D2812" w:rsidP="008F3912">
            <w:pPr>
              <w:spacing w:before="60" w:line="200" w:lineRule="exact"/>
              <w:ind w:right="592"/>
              <w:rPr>
                <w:sz w:val="16"/>
                <w:szCs w:val="16"/>
              </w:rPr>
            </w:pPr>
            <w:r w:rsidRPr="008A1DE5">
              <w:rPr>
                <w:sz w:val="16"/>
                <w:szCs w:val="16"/>
              </w:rPr>
              <w:t>Energiforskning</w:t>
            </w:r>
          </w:p>
        </w:tc>
        <w:tc>
          <w:tcPr>
            <w:tcW w:w="1235" w:type="dxa"/>
          </w:tcPr>
          <w:p w:rsidR="005D2812" w:rsidRPr="008A1DE5" w:rsidRDefault="005D2812" w:rsidP="008B0038">
            <w:pPr>
              <w:tabs>
                <w:tab w:val="decimal" w:pos="557"/>
              </w:tabs>
              <w:spacing w:before="60" w:line="200" w:lineRule="exact"/>
              <w:jc w:val="left"/>
              <w:rPr>
                <w:sz w:val="16"/>
                <w:szCs w:val="16"/>
              </w:rPr>
            </w:pPr>
            <w:r w:rsidRPr="008A1DE5">
              <w:rPr>
                <w:sz w:val="16"/>
                <w:szCs w:val="16"/>
              </w:rPr>
              <w:t>815,1</w:t>
            </w:r>
          </w:p>
        </w:tc>
        <w:tc>
          <w:tcPr>
            <w:tcW w:w="1235" w:type="dxa"/>
          </w:tcPr>
          <w:p w:rsidR="005D2812" w:rsidRPr="008A1DE5" w:rsidRDefault="005D2812" w:rsidP="008B0038">
            <w:pPr>
              <w:tabs>
                <w:tab w:val="decimal" w:pos="557"/>
              </w:tabs>
              <w:spacing w:before="60" w:line="200" w:lineRule="exact"/>
              <w:jc w:val="left"/>
              <w:rPr>
                <w:sz w:val="16"/>
                <w:szCs w:val="16"/>
              </w:rPr>
            </w:pPr>
            <w:r w:rsidRPr="008A1DE5">
              <w:rPr>
                <w:sz w:val="16"/>
                <w:szCs w:val="16"/>
              </w:rPr>
              <w:t>0</w:t>
            </w:r>
          </w:p>
        </w:tc>
      </w:tr>
      <w:tr w:rsidR="005D2812" w:rsidRPr="008A1DE5">
        <w:tc>
          <w:tcPr>
            <w:tcW w:w="648" w:type="dxa"/>
          </w:tcPr>
          <w:p w:rsidR="005D2812" w:rsidRPr="008A1DE5" w:rsidRDefault="005D2812" w:rsidP="008F3912">
            <w:pPr>
              <w:spacing w:before="60" w:line="200" w:lineRule="exact"/>
              <w:rPr>
                <w:sz w:val="16"/>
                <w:szCs w:val="16"/>
              </w:rPr>
            </w:pPr>
            <w:r w:rsidRPr="008A1DE5">
              <w:rPr>
                <w:sz w:val="16"/>
                <w:szCs w:val="16"/>
              </w:rPr>
              <w:t>35:6</w:t>
            </w:r>
          </w:p>
        </w:tc>
        <w:tc>
          <w:tcPr>
            <w:tcW w:w="2880" w:type="dxa"/>
            <w:vAlign w:val="bottom"/>
          </w:tcPr>
          <w:p w:rsidR="005D2812" w:rsidRPr="008A1DE5" w:rsidRDefault="005D2812" w:rsidP="008F3912">
            <w:pPr>
              <w:spacing w:before="60" w:line="200" w:lineRule="exact"/>
              <w:rPr>
                <w:sz w:val="16"/>
                <w:szCs w:val="16"/>
              </w:rPr>
            </w:pPr>
            <w:r w:rsidRPr="008A1DE5">
              <w:rPr>
                <w:sz w:val="16"/>
                <w:szCs w:val="16"/>
              </w:rPr>
              <w:t>Energipolitiskt motiverade internatione</w:t>
            </w:r>
            <w:r w:rsidRPr="008A1DE5">
              <w:rPr>
                <w:sz w:val="16"/>
                <w:szCs w:val="16"/>
              </w:rPr>
              <w:t>l</w:t>
            </w:r>
            <w:r w:rsidRPr="008A1DE5">
              <w:rPr>
                <w:sz w:val="16"/>
                <w:szCs w:val="16"/>
              </w:rPr>
              <w:t>la klimatinsatser</w:t>
            </w:r>
          </w:p>
        </w:tc>
        <w:tc>
          <w:tcPr>
            <w:tcW w:w="1235" w:type="dxa"/>
            <w:vAlign w:val="bottom"/>
          </w:tcPr>
          <w:p w:rsidR="005D2812" w:rsidRPr="008A1DE5" w:rsidRDefault="005D2812" w:rsidP="008B0038">
            <w:pPr>
              <w:tabs>
                <w:tab w:val="decimal" w:pos="557"/>
              </w:tabs>
              <w:spacing w:before="60" w:line="200" w:lineRule="exact"/>
              <w:jc w:val="left"/>
              <w:rPr>
                <w:sz w:val="16"/>
                <w:szCs w:val="16"/>
              </w:rPr>
            </w:pPr>
            <w:r w:rsidRPr="008A1DE5">
              <w:rPr>
                <w:sz w:val="16"/>
                <w:szCs w:val="16"/>
              </w:rPr>
              <w:t>18,1</w:t>
            </w:r>
          </w:p>
        </w:tc>
        <w:tc>
          <w:tcPr>
            <w:tcW w:w="1235" w:type="dxa"/>
            <w:vAlign w:val="bottom"/>
          </w:tcPr>
          <w:p w:rsidR="005D2812" w:rsidRPr="008A1DE5" w:rsidRDefault="005D2812" w:rsidP="008B0038">
            <w:pPr>
              <w:tabs>
                <w:tab w:val="decimal" w:pos="557"/>
              </w:tabs>
              <w:spacing w:before="60" w:line="200" w:lineRule="exact"/>
              <w:jc w:val="left"/>
              <w:rPr>
                <w:sz w:val="16"/>
                <w:szCs w:val="16"/>
              </w:rPr>
            </w:pPr>
            <w:r w:rsidRPr="008A1DE5">
              <w:rPr>
                <w:sz w:val="16"/>
                <w:szCs w:val="16"/>
              </w:rPr>
              <w:t>0</w:t>
            </w:r>
          </w:p>
        </w:tc>
      </w:tr>
      <w:tr w:rsidR="005D2812" w:rsidRPr="008A1DE5">
        <w:tc>
          <w:tcPr>
            <w:tcW w:w="648" w:type="dxa"/>
          </w:tcPr>
          <w:p w:rsidR="005D2812" w:rsidRPr="008A1DE5" w:rsidRDefault="005D2812" w:rsidP="008F3912">
            <w:pPr>
              <w:spacing w:before="60" w:line="200" w:lineRule="exact"/>
              <w:rPr>
                <w:sz w:val="16"/>
                <w:szCs w:val="16"/>
              </w:rPr>
            </w:pPr>
            <w:r w:rsidRPr="008A1DE5">
              <w:rPr>
                <w:sz w:val="16"/>
                <w:szCs w:val="16"/>
              </w:rPr>
              <w:t>35:7</w:t>
            </w:r>
          </w:p>
        </w:tc>
        <w:tc>
          <w:tcPr>
            <w:tcW w:w="2880" w:type="dxa"/>
          </w:tcPr>
          <w:p w:rsidR="005D2812" w:rsidRPr="008A1DE5" w:rsidRDefault="005D2812" w:rsidP="008F3912">
            <w:pPr>
              <w:spacing w:before="60" w:line="200" w:lineRule="exact"/>
              <w:rPr>
                <w:sz w:val="16"/>
                <w:szCs w:val="16"/>
              </w:rPr>
            </w:pPr>
            <w:r w:rsidRPr="008A1DE5">
              <w:rPr>
                <w:sz w:val="16"/>
                <w:szCs w:val="16"/>
              </w:rPr>
              <w:t>Statlig prisgaranti elcertifikat</w:t>
            </w:r>
          </w:p>
        </w:tc>
        <w:tc>
          <w:tcPr>
            <w:tcW w:w="1235" w:type="dxa"/>
          </w:tcPr>
          <w:p w:rsidR="005D2812" w:rsidRPr="008A1DE5" w:rsidRDefault="005D2812" w:rsidP="008B0038">
            <w:pPr>
              <w:tabs>
                <w:tab w:val="decimal" w:pos="557"/>
              </w:tabs>
              <w:spacing w:before="60" w:line="200" w:lineRule="exact"/>
              <w:jc w:val="left"/>
              <w:rPr>
                <w:sz w:val="16"/>
                <w:szCs w:val="16"/>
              </w:rPr>
            </w:pPr>
            <w:r w:rsidRPr="008A1DE5">
              <w:rPr>
                <w:sz w:val="16"/>
                <w:szCs w:val="16"/>
              </w:rPr>
              <w:t>59,5</w:t>
            </w:r>
          </w:p>
        </w:tc>
        <w:tc>
          <w:tcPr>
            <w:tcW w:w="1235" w:type="dxa"/>
          </w:tcPr>
          <w:p w:rsidR="005D2812" w:rsidRPr="008A1DE5" w:rsidRDefault="008B0038" w:rsidP="008B0038">
            <w:pPr>
              <w:tabs>
                <w:tab w:val="decimal" w:pos="557"/>
              </w:tabs>
              <w:spacing w:before="60" w:line="200" w:lineRule="exact"/>
              <w:jc w:val="left"/>
              <w:rPr>
                <w:sz w:val="16"/>
                <w:szCs w:val="16"/>
              </w:rPr>
            </w:pPr>
            <w:r w:rsidRPr="008A1DE5">
              <w:rPr>
                <w:sz w:val="16"/>
                <w:szCs w:val="16"/>
              </w:rPr>
              <w:t>–</w:t>
            </w:r>
            <w:r w:rsidR="005D2812" w:rsidRPr="008A1DE5">
              <w:rPr>
                <w:sz w:val="16"/>
                <w:szCs w:val="16"/>
              </w:rPr>
              <w:t>59,5</w:t>
            </w:r>
          </w:p>
        </w:tc>
      </w:tr>
      <w:tr w:rsidR="005D2812" w:rsidRPr="008A1DE5">
        <w:tc>
          <w:tcPr>
            <w:tcW w:w="648" w:type="dxa"/>
          </w:tcPr>
          <w:p w:rsidR="005D2812" w:rsidRPr="008A1DE5" w:rsidRDefault="005D2812" w:rsidP="008F3912">
            <w:pPr>
              <w:spacing w:before="60" w:line="200" w:lineRule="exact"/>
              <w:rPr>
                <w:sz w:val="16"/>
                <w:szCs w:val="16"/>
              </w:rPr>
            </w:pPr>
            <w:r w:rsidRPr="008A1DE5">
              <w:rPr>
                <w:sz w:val="16"/>
                <w:szCs w:val="16"/>
              </w:rPr>
              <w:t>35:8</w:t>
            </w:r>
          </w:p>
        </w:tc>
        <w:tc>
          <w:tcPr>
            <w:tcW w:w="2880" w:type="dxa"/>
            <w:vAlign w:val="bottom"/>
          </w:tcPr>
          <w:p w:rsidR="005D2812" w:rsidRPr="008A1DE5" w:rsidRDefault="005D2812" w:rsidP="008F3912">
            <w:pPr>
              <w:spacing w:before="60" w:line="200" w:lineRule="exact"/>
              <w:rPr>
                <w:sz w:val="16"/>
                <w:szCs w:val="16"/>
              </w:rPr>
            </w:pPr>
            <w:r w:rsidRPr="008A1DE5">
              <w:rPr>
                <w:sz w:val="16"/>
                <w:szCs w:val="16"/>
              </w:rPr>
              <w:t>Ersättning för vissa kostnader vid a</w:t>
            </w:r>
            <w:r w:rsidRPr="008A1DE5">
              <w:rPr>
                <w:sz w:val="16"/>
                <w:szCs w:val="16"/>
              </w:rPr>
              <w:t>v</w:t>
            </w:r>
            <w:r w:rsidRPr="008A1DE5">
              <w:rPr>
                <w:sz w:val="16"/>
                <w:szCs w:val="16"/>
              </w:rPr>
              <w:t>veckling av en reaktor vid Barsebäck</w:t>
            </w:r>
            <w:r w:rsidRPr="008A1DE5">
              <w:rPr>
                <w:sz w:val="16"/>
                <w:szCs w:val="16"/>
              </w:rPr>
              <w:t>s</w:t>
            </w:r>
            <w:r w:rsidRPr="008A1DE5">
              <w:rPr>
                <w:sz w:val="16"/>
                <w:szCs w:val="16"/>
              </w:rPr>
              <w:t>verket</w:t>
            </w:r>
          </w:p>
        </w:tc>
        <w:tc>
          <w:tcPr>
            <w:tcW w:w="1235" w:type="dxa"/>
            <w:vAlign w:val="bottom"/>
          </w:tcPr>
          <w:p w:rsidR="005D2812" w:rsidRPr="008A1DE5" w:rsidRDefault="005D2812" w:rsidP="008B0038">
            <w:pPr>
              <w:tabs>
                <w:tab w:val="decimal" w:pos="557"/>
              </w:tabs>
              <w:spacing w:before="60" w:line="200" w:lineRule="exact"/>
              <w:jc w:val="left"/>
              <w:rPr>
                <w:sz w:val="16"/>
                <w:szCs w:val="16"/>
              </w:rPr>
            </w:pPr>
            <w:r w:rsidRPr="008A1DE5">
              <w:rPr>
                <w:sz w:val="16"/>
                <w:szCs w:val="16"/>
              </w:rPr>
              <w:t>313,1</w:t>
            </w:r>
          </w:p>
        </w:tc>
        <w:tc>
          <w:tcPr>
            <w:tcW w:w="1235" w:type="dxa"/>
            <w:vAlign w:val="bottom"/>
          </w:tcPr>
          <w:p w:rsidR="005D2812" w:rsidRPr="008A1DE5" w:rsidRDefault="005D2812" w:rsidP="008B0038">
            <w:pPr>
              <w:tabs>
                <w:tab w:val="decimal" w:pos="557"/>
              </w:tabs>
              <w:spacing w:before="60" w:line="200" w:lineRule="exact"/>
              <w:jc w:val="left"/>
              <w:rPr>
                <w:sz w:val="16"/>
                <w:szCs w:val="16"/>
              </w:rPr>
            </w:pPr>
            <w:r w:rsidRPr="008A1DE5">
              <w:rPr>
                <w:sz w:val="16"/>
                <w:szCs w:val="16"/>
              </w:rPr>
              <w:t>0</w:t>
            </w:r>
          </w:p>
        </w:tc>
      </w:tr>
      <w:tr w:rsidR="005D2812" w:rsidRPr="008A1DE5">
        <w:tc>
          <w:tcPr>
            <w:tcW w:w="648" w:type="dxa"/>
            <w:tcBorders>
              <w:bottom w:val="single" w:sz="4" w:space="0" w:color="auto"/>
            </w:tcBorders>
          </w:tcPr>
          <w:p w:rsidR="005D2812" w:rsidRPr="008A1DE5" w:rsidRDefault="005D2812" w:rsidP="008F3912">
            <w:pPr>
              <w:spacing w:before="60" w:line="200" w:lineRule="exact"/>
              <w:rPr>
                <w:sz w:val="16"/>
                <w:szCs w:val="16"/>
              </w:rPr>
            </w:pPr>
          </w:p>
        </w:tc>
        <w:tc>
          <w:tcPr>
            <w:tcW w:w="2880" w:type="dxa"/>
            <w:tcBorders>
              <w:bottom w:val="single" w:sz="4" w:space="0" w:color="auto"/>
            </w:tcBorders>
          </w:tcPr>
          <w:p w:rsidR="005D2812" w:rsidRPr="008A1DE5" w:rsidRDefault="005D2812" w:rsidP="008F3912">
            <w:pPr>
              <w:spacing w:before="60" w:line="200" w:lineRule="exact"/>
              <w:rPr>
                <w:b/>
                <w:sz w:val="16"/>
                <w:szCs w:val="16"/>
              </w:rPr>
            </w:pPr>
            <w:r w:rsidRPr="008A1DE5">
              <w:rPr>
                <w:b/>
                <w:sz w:val="16"/>
                <w:szCs w:val="16"/>
              </w:rPr>
              <w:t>Total</w:t>
            </w:r>
            <w:r w:rsidR="008F3912" w:rsidRPr="008A1DE5">
              <w:rPr>
                <w:b/>
                <w:sz w:val="16"/>
                <w:szCs w:val="16"/>
              </w:rPr>
              <w:t>t</w:t>
            </w:r>
          </w:p>
        </w:tc>
        <w:tc>
          <w:tcPr>
            <w:tcW w:w="1235" w:type="dxa"/>
            <w:tcBorders>
              <w:bottom w:val="single" w:sz="4" w:space="0" w:color="auto"/>
            </w:tcBorders>
          </w:tcPr>
          <w:p w:rsidR="005D2812" w:rsidRPr="008A1DE5" w:rsidRDefault="0051083D" w:rsidP="00E204CD">
            <w:pPr>
              <w:tabs>
                <w:tab w:val="decimal" w:pos="557"/>
              </w:tabs>
              <w:spacing w:before="60" w:line="200" w:lineRule="exact"/>
              <w:jc w:val="left"/>
              <w:rPr>
                <w:b/>
                <w:sz w:val="16"/>
                <w:szCs w:val="16"/>
              </w:rPr>
            </w:pPr>
            <w:r w:rsidRPr="008A1DE5">
              <w:rPr>
                <w:b/>
                <w:sz w:val="16"/>
                <w:szCs w:val="16"/>
              </w:rPr>
              <w:t xml:space="preserve">1 </w:t>
            </w:r>
            <w:r w:rsidR="005D2812" w:rsidRPr="008A1DE5">
              <w:rPr>
                <w:b/>
                <w:sz w:val="16"/>
                <w:szCs w:val="16"/>
              </w:rPr>
              <w:t>722</w:t>
            </w:r>
          </w:p>
        </w:tc>
        <w:tc>
          <w:tcPr>
            <w:tcW w:w="1235" w:type="dxa"/>
            <w:tcBorders>
              <w:bottom w:val="single" w:sz="4" w:space="0" w:color="auto"/>
            </w:tcBorders>
          </w:tcPr>
          <w:p w:rsidR="005D2812" w:rsidRPr="008A1DE5" w:rsidRDefault="00DA385F" w:rsidP="008B0038">
            <w:pPr>
              <w:tabs>
                <w:tab w:val="decimal" w:pos="557"/>
              </w:tabs>
              <w:spacing w:before="60" w:line="200" w:lineRule="exact"/>
              <w:jc w:val="left"/>
              <w:rPr>
                <w:b/>
                <w:sz w:val="16"/>
                <w:szCs w:val="16"/>
              </w:rPr>
            </w:pPr>
            <w:r w:rsidRPr="008A1DE5">
              <w:rPr>
                <w:b/>
                <w:sz w:val="16"/>
                <w:szCs w:val="16"/>
              </w:rPr>
              <w:t>–</w:t>
            </w:r>
            <w:r w:rsidR="00710B6E" w:rsidRPr="008A1DE5">
              <w:rPr>
                <w:b/>
                <w:sz w:val="16"/>
                <w:szCs w:val="16"/>
              </w:rPr>
              <w:t>142,5</w:t>
            </w:r>
          </w:p>
        </w:tc>
      </w:tr>
    </w:tbl>
    <w:p w:rsidR="0051083D" w:rsidRPr="008A1DE5" w:rsidRDefault="0051083D" w:rsidP="00AA425D">
      <w:pPr>
        <w:pStyle w:val="Normaltindrag"/>
        <w:ind w:firstLine="0"/>
      </w:pPr>
    </w:p>
    <w:p w:rsidR="00523B21" w:rsidRPr="008A1DE5" w:rsidRDefault="00523B21" w:rsidP="00AA425D">
      <w:pPr>
        <w:pStyle w:val="Normaltindrag"/>
        <w:ind w:firstLine="0"/>
      </w:pPr>
    </w:p>
    <w:p w:rsidR="00523B21" w:rsidRPr="008A1DE5" w:rsidRDefault="00523B21" w:rsidP="00AA425D">
      <w:pPr>
        <w:pStyle w:val="Normaltindrag"/>
        <w:ind w:firstLine="0"/>
      </w:pPr>
    </w:p>
    <w:p w:rsidR="00523B21" w:rsidRPr="008A1DE5" w:rsidRDefault="00523B21" w:rsidP="008B0038">
      <w:pPr>
        <w:pStyle w:val="Normaltindrag"/>
        <w:tabs>
          <w:tab w:val="left" w:pos="4085"/>
        </w:tabs>
        <w:ind w:firstLine="0"/>
      </w:pPr>
    </w:p>
    <w:p w:rsidR="00523B21" w:rsidRPr="008A1DE5" w:rsidRDefault="00523B21" w:rsidP="00AA425D">
      <w:pPr>
        <w:pStyle w:val="Normaltindrag"/>
        <w:ind w:firstLine="0"/>
      </w:pPr>
    </w:p>
    <w:p w:rsidR="00523B21" w:rsidRPr="008A1DE5" w:rsidRDefault="00523B21" w:rsidP="00AA425D">
      <w:pPr>
        <w:pStyle w:val="Normaltindrag"/>
        <w:ind w:firstLine="0"/>
      </w:pPr>
    </w:p>
    <w:p w:rsidR="00611DCB" w:rsidRPr="008A1DE5" w:rsidRDefault="00611DCB" w:rsidP="00AA425D">
      <w:pPr>
        <w:pStyle w:val="Normaltindrag"/>
        <w:ind w:firstLine="0"/>
      </w:pPr>
    </w:p>
    <w:p w:rsidR="00611DCB" w:rsidRPr="008A1DE5" w:rsidRDefault="00611DCB" w:rsidP="00AA425D">
      <w:pPr>
        <w:pStyle w:val="Normaltindrag"/>
        <w:ind w:firstLine="0"/>
      </w:pPr>
    </w:p>
    <w:p w:rsidR="00611DCB" w:rsidRPr="008A1DE5" w:rsidRDefault="00611DCB" w:rsidP="00AA425D">
      <w:pPr>
        <w:pStyle w:val="Normaltindrag"/>
        <w:ind w:firstLine="0"/>
      </w:pPr>
    </w:p>
    <w:p w:rsidR="00611DCB" w:rsidRPr="008A1DE5" w:rsidRDefault="00611DCB" w:rsidP="00AA425D">
      <w:pPr>
        <w:pStyle w:val="Normaltindrag"/>
        <w:ind w:firstLine="0"/>
      </w:pPr>
    </w:p>
    <w:p w:rsidR="00611DCB" w:rsidRPr="008A1DE5" w:rsidRDefault="00611DCB" w:rsidP="00AA425D">
      <w:pPr>
        <w:pStyle w:val="Normaltindrag"/>
        <w:ind w:firstLine="0"/>
      </w:pPr>
    </w:p>
    <w:p w:rsidR="00611DCB" w:rsidRPr="008A1DE5" w:rsidRDefault="00611DCB" w:rsidP="00AA425D">
      <w:pPr>
        <w:pStyle w:val="Normaltindrag"/>
        <w:ind w:firstLine="0"/>
      </w:pPr>
    </w:p>
    <w:p w:rsidR="00611DCB" w:rsidRPr="008A1DE5" w:rsidRDefault="00611DCB" w:rsidP="00AA425D">
      <w:pPr>
        <w:pStyle w:val="Normaltindrag"/>
        <w:ind w:firstLine="0"/>
      </w:pPr>
    </w:p>
    <w:p w:rsidR="00611DCB" w:rsidRPr="008A1DE5" w:rsidRDefault="00611DCB" w:rsidP="00AA425D">
      <w:pPr>
        <w:pStyle w:val="Normaltindrag"/>
        <w:ind w:firstLine="0"/>
      </w:pPr>
    </w:p>
    <w:p w:rsidR="00611DCB" w:rsidRPr="008A1DE5" w:rsidRDefault="00611DCB" w:rsidP="00AA425D">
      <w:pPr>
        <w:pStyle w:val="Normaltindrag"/>
        <w:ind w:firstLine="0"/>
      </w:pPr>
    </w:p>
    <w:p w:rsidR="00523B21" w:rsidRPr="008A1DE5" w:rsidRDefault="00523B21" w:rsidP="00AA425D">
      <w:pPr>
        <w:pStyle w:val="Normaltindrag"/>
        <w:ind w:firstLine="0"/>
      </w:pPr>
    </w:p>
    <w:p w:rsidR="00523B21" w:rsidRPr="008A1DE5" w:rsidRDefault="00523B21" w:rsidP="00AA425D">
      <w:pPr>
        <w:pStyle w:val="Normaltindrag"/>
        <w:ind w:firstLine="0"/>
      </w:pPr>
    </w:p>
    <w:p w:rsidR="00523B21" w:rsidRPr="008A1DE5" w:rsidRDefault="00523B21" w:rsidP="00AA425D">
      <w:pPr>
        <w:pStyle w:val="Normaltindrag"/>
        <w:ind w:firstLine="0"/>
      </w:pPr>
    </w:p>
    <w:p w:rsidR="0051083D" w:rsidRPr="008A1DE5" w:rsidRDefault="0051083D" w:rsidP="00AA425D">
      <w:pPr>
        <w:spacing w:before="0" w:line="240" w:lineRule="auto"/>
        <w:rPr>
          <w:sz w:val="16"/>
          <w:szCs w:val="16"/>
        </w:rPr>
      </w:pPr>
      <w:r w:rsidRPr="008A1DE5">
        <w:rPr>
          <w:vertAlign w:val="superscript"/>
        </w:rPr>
        <w:t>1</w:t>
      </w:r>
      <w:r w:rsidRPr="008A1DE5">
        <w:t xml:space="preserve"> </w:t>
      </w:r>
      <w:r w:rsidRPr="008A1DE5">
        <w:rPr>
          <w:sz w:val="16"/>
          <w:szCs w:val="16"/>
        </w:rPr>
        <w:t>Yrkandena 1, 8 och 21–23 hänvisade till SkU.</w:t>
      </w:r>
    </w:p>
    <w:p w:rsidR="0051083D" w:rsidRPr="008A1DE5" w:rsidRDefault="0051083D" w:rsidP="00AA425D">
      <w:pPr>
        <w:spacing w:before="0" w:line="240" w:lineRule="auto"/>
        <w:rPr>
          <w:sz w:val="16"/>
          <w:szCs w:val="16"/>
        </w:rPr>
      </w:pPr>
      <w:r w:rsidRPr="008A1DE5">
        <w:rPr>
          <w:vertAlign w:val="superscript"/>
        </w:rPr>
        <w:t>2</w:t>
      </w:r>
      <w:r w:rsidRPr="008A1DE5">
        <w:t xml:space="preserve"> </w:t>
      </w:r>
      <w:r w:rsidRPr="008A1DE5">
        <w:rPr>
          <w:sz w:val="16"/>
          <w:szCs w:val="16"/>
        </w:rPr>
        <w:t>Yrkande 6 hänvisat till LU.</w:t>
      </w:r>
    </w:p>
    <w:p w:rsidR="0051083D" w:rsidRPr="008A1DE5" w:rsidRDefault="0051083D" w:rsidP="00AA425D">
      <w:pPr>
        <w:spacing w:before="0" w:line="240" w:lineRule="auto"/>
        <w:rPr>
          <w:sz w:val="16"/>
          <w:szCs w:val="16"/>
        </w:rPr>
      </w:pPr>
      <w:r w:rsidRPr="008A1DE5">
        <w:rPr>
          <w:vertAlign w:val="superscript"/>
        </w:rPr>
        <w:t>3</w:t>
      </w:r>
      <w:r w:rsidRPr="008A1DE5">
        <w:t xml:space="preserve"> </w:t>
      </w:r>
      <w:r w:rsidRPr="008A1DE5">
        <w:rPr>
          <w:sz w:val="16"/>
          <w:szCs w:val="16"/>
        </w:rPr>
        <w:t>Yrkandena 7 och 20 hänvisade till FiU.</w:t>
      </w:r>
    </w:p>
    <w:p w:rsidR="0051083D" w:rsidRPr="008A1DE5" w:rsidRDefault="0051083D" w:rsidP="00AA425D">
      <w:pPr>
        <w:spacing w:before="0" w:line="240" w:lineRule="auto"/>
        <w:rPr>
          <w:sz w:val="16"/>
          <w:szCs w:val="16"/>
        </w:rPr>
      </w:pPr>
      <w:r w:rsidRPr="008A1DE5">
        <w:rPr>
          <w:vertAlign w:val="superscript"/>
        </w:rPr>
        <w:t>4</w:t>
      </w:r>
      <w:r w:rsidRPr="008A1DE5">
        <w:t xml:space="preserve"> </w:t>
      </w:r>
      <w:r w:rsidRPr="008A1DE5">
        <w:rPr>
          <w:sz w:val="16"/>
          <w:szCs w:val="16"/>
        </w:rPr>
        <w:t>Yrkande 11 hänvisat till MJU.</w:t>
      </w:r>
    </w:p>
    <w:p w:rsidR="0051083D" w:rsidRPr="008A1DE5" w:rsidRDefault="0051083D" w:rsidP="00AA425D">
      <w:pPr>
        <w:spacing w:before="0" w:line="240" w:lineRule="auto"/>
        <w:rPr>
          <w:sz w:val="16"/>
          <w:szCs w:val="16"/>
        </w:rPr>
      </w:pPr>
      <w:r w:rsidRPr="008A1DE5">
        <w:rPr>
          <w:vertAlign w:val="superscript"/>
        </w:rPr>
        <w:t>5</w:t>
      </w:r>
      <w:r w:rsidRPr="008A1DE5">
        <w:t xml:space="preserve"> </w:t>
      </w:r>
      <w:r w:rsidRPr="008A1DE5">
        <w:rPr>
          <w:sz w:val="16"/>
          <w:szCs w:val="16"/>
        </w:rPr>
        <w:t>Yrkande 18 hänvisat till FöU.</w:t>
      </w:r>
    </w:p>
    <w:p w:rsidR="00F076C1" w:rsidRPr="008A1DE5" w:rsidRDefault="0051083D" w:rsidP="00F076C1">
      <w:pPr>
        <w:pStyle w:val="Rubrik1"/>
      </w:pPr>
      <w:r w:rsidRPr="008A1DE5">
        <w:br w:type="page"/>
      </w:r>
      <w:bookmarkStart w:id="3" w:name="_Toc118353458"/>
      <w:r w:rsidR="00F076C1" w:rsidRPr="008A1DE5">
        <w:t>Energi – en välståndsbildande kraft</w:t>
      </w:r>
      <w:bookmarkEnd w:id="0"/>
      <w:bookmarkEnd w:id="3"/>
    </w:p>
    <w:p w:rsidR="00F076C1" w:rsidRPr="008A1DE5" w:rsidRDefault="00F076C1" w:rsidP="00F076C1">
      <w:r w:rsidRPr="008A1DE5">
        <w:t>God tillgång på energi är en förutsättning för välstånd. Elektricitet är mycket viktig bl.a. för industrin, handeln, jordbruket, servicenäringarna och hushå</w:t>
      </w:r>
      <w:r w:rsidRPr="008A1DE5">
        <w:t>l</w:t>
      </w:r>
      <w:r w:rsidRPr="008A1DE5">
        <w:t>len, dvs</w:t>
      </w:r>
      <w:r w:rsidR="00CE2A57" w:rsidRPr="008A1DE5">
        <w:t>.</w:t>
      </w:r>
      <w:r w:rsidRPr="008A1DE5">
        <w:t xml:space="preserve"> för hela vårt samhälle.</w:t>
      </w:r>
    </w:p>
    <w:p w:rsidR="00F7457E" w:rsidRPr="008A1DE5" w:rsidRDefault="00F7457E" w:rsidP="00F7457E">
      <w:pPr>
        <w:pStyle w:val="Normaltindrag"/>
      </w:pPr>
      <w:r w:rsidRPr="008A1DE5">
        <w:t>Sveriges ekonomiska utveckling under 1900-talet har varit starkt beroende av en riklig tillgång på elektricitet till konkurrenskraftiga priser. Den elinte</w:t>
      </w:r>
      <w:r w:rsidRPr="008A1DE5">
        <w:t>n</w:t>
      </w:r>
      <w:r w:rsidRPr="008A1DE5">
        <w:t>siva svenska basindustrin står för hundratals miljarder i exportintäkter och sysselsätter hundratusentals människor.</w:t>
      </w:r>
    </w:p>
    <w:p w:rsidR="00F076C1" w:rsidRPr="008A1DE5" w:rsidRDefault="00F076C1" w:rsidP="00CC0540">
      <w:pPr>
        <w:pStyle w:val="Normaltindrag"/>
        <w:rPr>
          <w:snapToGrid w:val="0"/>
        </w:rPr>
      </w:pPr>
      <w:r w:rsidRPr="008A1DE5">
        <w:rPr>
          <w:snapToGrid w:val="0"/>
        </w:rPr>
        <w:t>Sveriges goda tillgång på vattendrag för produktion av el har givit basi</w:t>
      </w:r>
      <w:r w:rsidRPr="008A1DE5">
        <w:rPr>
          <w:snapToGrid w:val="0"/>
        </w:rPr>
        <w:t>n</w:t>
      </w:r>
      <w:r w:rsidRPr="008A1DE5">
        <w:rPr>
          <w:snapToGrid w:val="0"/>
        </w:rPr>
        <w:t xml:space="preserve">dustrierna skog, papper, gruvor och stål billig och miljövänlig el. Den höga teknologiska nivån i vårt lands industri under årtiondena efter kriget ledde till att vi tidigt startade ett avancerat kärnkraftsprogram. ASEA utvecklade </w:t>
      </w:r>
      <w:r w:rsidR="00CE2A57" w:rsidRPr="008A1DE5">
        <w:rPr>
          <w:snapToGrid w:val="0"/>
        </w:rPr>
        <w:t>kär</w:t>
      </w:r>
      <w:r w:rsidR="00CE2A57" w:rsidRPr="008A1DE5">
        <w:rPr>
          <w:snapToGrid w:val="0"/>
        </w:rPr>
        <w:t>n</w:t>
      </w:r>
      <w:r w:rsidR="00CE2A57" w:rsidRPr="008A1DE5">
        <w:rPr>
          <w:snapToGrid w:val="0"/>
        </w:rPr>
        <w:t>kraftsreaktorer</w:t>
      </w:r>
      <w:r w:rsidRPr="008A1DE5">
        <w:rPr>
          <w:snapToGrid w:val="0"/>
        </w:rPr>
        <w:t xml:space="preserve"> som togs i bruk under 70- och 80-talen och snabbt minskade det svenska oljeberoendet.</w:t>
      </w:r>
    </w:p>
    <w:p w:rsidR="00F076C1" w:rsidRPr="008A1DE5" w:rsidRDefault="00F076C1" w:rsidP="00F076C1">
      <w:pPr>
        <w:pStyle w:val="Normaltindrag"/>
      </w:pPr>
      <w:r w:rsidRPr="008A1DE5">
        <w:t xml:space="preserve">Sverige </w:t>
      </w:r>
      <w:r w:rsidR="00967837" w:rsidRPr="008A1DE5">
        <w:t>fick</w:t>
      </w:r>
      <w:r w:rsidRPr="008A1DE5">
        <w:t xml:space="preserve"> helt enkelt en elproduktion som resten av världen är avun</w:t>
      </w:r>
      <w:r w:rsidRPr="008A1DE5">
        <w:t>d</w:t>
      </w:r>
      <w:r w:rsidRPr="008A1DE5">
        <w:t>sjuk på. Hälften vattenkraft och hälften kärnkraft ger nästan inga koldioxidu</w:t>
      </w:r>
      <w:r w:rsidRPr="008A1DE5">
        <w:t>t</w:t>
      </w:r>
      <w:r w:rsidRPr="008A1DE5">
        <w:t>släpp alls.</w:t>
      </w:r>
    </w:p>
    <w:p w:rsidR="00126C73" w:rsidRPr="008A1DE5" w:rsidRDefault="00126C73" w:rsidP="00CC0540">
      <w:pPr>
        <w:pStyle w:val="Normaltindrag"/>
      </w:pPr>
      <w:bookmarkStart w:id="4" w:name="_Toc84392547"/>
      <w:r w:rsidRPr="008A1DE5">
        <w:t>Dagens energipolitiska beslut grundas fortfarande i allt väsentligt på fol</w:t>
      </w:r>
      <w:r w:rsidRPr="008A1DE5">
        <w:t>k</w:t>
      </w:r>
      <w:r w:rsidRPr="008A1DE5">
        <w:t>omröstningen 1980. Under de 25 år som förflutit sedan dess har emellertid flera helt avgörande faktorer förändrats:</w:t>
      </w:r>
    </w:p>
    <w:p w:rsidR="00126C73" w:rsidRPr="008A1DE5" w:rsidRDefault="00126C73" w:rsidP="00AA425D">
      <w:pPr>
        <w:pStyle w:val="PunktlistaBomb"/>
        <w:tabs>
          <w:tab w:val="clear" w:pos="360"/>
        </w:tabs>
      </w:pPr>
      <w:r w:rsidRPr="008A1DE5">
        <w:t>Vi har idag kunskap om det hot mot vårt klima</w:t>
      </w:r>
      <w:r w:rsidR="00DA385F" w:rsidRPr="008A1DE5">
        <w:t>t som utgörs av växthuse</w:t>
      </w:r>
      <w:r w:rsidR="00DA385F" w:rsidRPr="008A1DE5">
        <w:t>f</w:t>
      </w:r>
      <w:r w:rsidR="00DA385F" w:rsidRPr="008A1DE5">
        <w:t>fekten.</w:t>
      </w:r>
    </w:p>
    <w:p w:rsidR="00126C73" w:rsidRPr="008A1DE5" w:rsidRDefault="00126C73" w:rsidP="00AA425D">
      <w:pPr>
        <w:pStyle w:val="PunktlistaBomb"/>
        <w:tabs>
          <w:tab w:val="clear" w:pos="360"/>
        </w:tabs>
        <w:spacing w:before="0"/>
      </w:pPr>
      <w:r w:rsidRPr="008A1DE5">
        <w:t>”Sol och vind”, som många hoppades skulle ersätta kärnkraften, har inte hitti</w:t>
      </w:r>
      <w:r w:rsidR="008F3912" w:rsidRPr="008A1DE5">
        <w:t>lls uppfyllt de förväntningarna</w:t>
      </w:r>
      <w:r w:rsidR="00DA385F" w:rsidRPr="008A1DE5">
        <w:t>.</w:t>
      </w:r>
    </w:p>
    <w:p w:rsidR="00126C73" w:rsidRPr="008A1DE5" w:rsidRDefault="00126C73" w:rsidP="00AA425D">
      <w:pPr>
        <w:pStyle w:val="PunktlistaBomb"/>
        <w:tabs>
          <w:tab w:val="clear" w:pos="360"/>
        </w:tabs>
        <w:spacing w:before="0"/>
      </w:pPr>
      <w:r w:rsidRPr="008A1DE5">
        <w:t>Elmarknaden har internationaliserats; vilket innebär att avvecklad i</w:t>
      </w:r>
      <w:r w:rsidRPr="008A1DE5">
        <w:t>n</w:t>
      </w:r>
      <w:r w:rsidRPr="008A1DE5">
        <w:t>hemsk produktion ersätts med import</w:t>
      </w:r>
      <w:r w:rsidR="00DA385F" w:rsidRPr="008A1DE5">
        <w:t>.</w:t>
      </w:r>
    </w:p>
    <w:p w:rsidR="00126C73" w:rsidRPr="008A1DE5" w:rsidRDefault="00126C73" w:rsidP="00AA425D">
      <w:pPr>
        <w:pStyle w:val="PunktlistaBomb"/>
        <w:tabs>
          <w:tab w:val="clear" w:pos="360"/>
        </w:tabs>
        <w:spacing w:before="0"/>
      </w:pPr>
      <w:r w:rsidRPr="008A1DE5">
        <w:t>Livslängden på kärnkraftverk bedöms idag väsentligt längre än förut.</w:t>
      </w:r>
    </w:p>
    <w:p w:rsidR="00126C73" w:rsidRPr="008A1DE5" w:rsidRDefault="00126C73" w:rsidP="00AA425D">
      <w:r w:rsidRPr="008A1DE5">
        <w:t>Mot bakgrund av detta är det inte rimligt att dagens och framtidens energip</w:t>
      </w:r>
      <w:r w:rsidRPr="008A1DE5">
        <w:t>o</w:t>
      </w:r>
      <w:r w:rsidRPr="008A1DE5">
        <w:t>litik bygger på folkomröstninge</w:t>
      </w:r>
      <w:r w:rsidR="00DA385F" w:rsidRPr="008A1DE5">
        <w:t>n 1980. Det är dags för nya tag</w:t>
      </w:r>
      <w:r w:rsidR="008F3912" w:rsidRPr="008A1DE5">
        <w:t>.</w:t>
      </w:r>
      <w:r w:rsidRPr="008A1DE5">
        <w:t xml:space="preserve"> Svensk ene</w:t>
      </w:r>
      <w:r w:rsidRPr="008A1DE5">
        <w:t>r</w:t>
      </w:r>
      <w:r w:rsidRPr="008A1DE5">
        <w:t>gipolitik behöver en tydlig kursändring.</w:t>
      </w:r>
    </w:p>
    <w:p w:rsidR="00126C73" w:rsidRPr="008A1DE5" w:rsidRDefault="00126C73" w:rsidP="00DA385F">
      <w:r w:rsidRPr="008A1DE5">
        <w:t>Sveriges riksdag har antagit minst fyra beslut som är oförenliga:</w:t>
      </w:r>
    </w:p>
    <w:p w:rsidR="00126C73" w:rsidRPr="008A1DE5" w:rsidRDefault="00126C73" w:rsidP="008F3912">
      <w:pPr>
        <w:pStyle w:val="PunktlistaNummer"/>
        <w:tabs>
          <w:tab w:val="clear" w:pos="360"/>
        </w:tabs>
        <w:ind w:left="227" w:hanging="227"/>
      </w:pPr>
      <w:r w:rsidRPr="008A1DE5">
        <w:t xml:space="preserve">kärnkraften </w:t>
      </w:r>
      <w:r w:rsidR="003D2B37" w:rsidRPr="008A1DE5">
        <w:t>ska</w:t>
      </w:r>
      <w:r w:rsidRPr="008A1DE5">
        <w:t xml:space="preserve"> avvecklas, </w:t>
      </w:r>
    </w:p>
    <w:p w:rsidR="00126C73" w:rsidRPr="008A1DE5" w:rsidRDefault="00126C73" w:rsidP="00AA425D">
      <w:pPr>
        <w:pStyle w:val="PunktlistaNummer"/>
        <w:tabs>
          <w:tab w:val="clear" w:pos="360"/>
        </w:tabs>
        <w:spacing w:before="0"/>
        <w:ind w:left="227" w:hanging="227"/>
      </w:pPr>
      <w:r w:rsidRPr="008A1DE5">
        <w:t xml:space="preserve">de orörda älvarna får inte byggas ut, </w:t>
      </w:r>
    </w:p>
    <w:p w:rsidR="00126C73" w:rsidRPr="008A1DE5" w:rsidRDefault="00126C73" w:rsidP="00AA425D">
      <w:pPr>
        <w:pStyle w:val="PunktlistaNummer"/>
        <w:tabs>
          <w:tab w:val="clear" w:pos="360"/>
        </w:tabs>
        <w:spacing w:before="0"/>
        <w:ind w:left="227" w:hanging="227"/>
      </w:pPr>
      <w:r w:rsidRPr="008A1DE5">
        <w:t xml:space="preserve">koldioxidutsläppen </w:t>
      </w:r>
      <w:r w:rsidR="003D2B37" w:rsidRPr="008A1DE5">
        <w:t>ska</w:t>
      </w:r>
      <w:r w:rsidRPr="008A1DE5">
        <w:t xml:space="preserve"> begränsas och </w:t>
      </w:r>
    </w:p>
    <w:p w:rsidR="00126C73" w:rsidRPr="008A1DE5" w:rsidRDefault="00126C73" w:rsidP="00AA425D">
      <w:pPr>
        <w:pStyle w:val="PunktlistaNummer"/>
        <w:tabs>
          <w:tab w:val="clear" w:pos="360"/>
        </w:tabs>
        <w:spacing w:before="0"/>
        <w:ind w:left="227" w:hanging="227"/>
      </w:pPr>
      <w:r w:rsidRPr="008A1DE5">
        <w:t xml:space="preserve">den ekonomiska tillväxten i Sverige </w:t>
      </w:r>
      <w:r w:rsidR="003D2B37" w:rsidRPr="008A1DE5">
        <w:t>ska</w:t>
      </w:r>
      <w:r w:rsidRPr="008A1DE5">
        <w:t xml:space="preserve"> öka.</w:t>
      </w:r>
    </w:p>
    <w:p w:rsidR="00126C73" w:rsidRPr="008A1DE5" w:rsidRDefault="00126C73" w:rsidP="00AA425D">
      <w:r w:rsidRPr="008A1DE5">
        <w:t>Även regeringen har insett att dessa fyra mål inte är förenliga och tycks nu vara i full färd med att prioritera ned koldioxidmålet. Vi menar att koldioxi</w:t>
      </w:r>
      <w:r w:rsidRPr="008A1DE5">
        <w:t>d</w:t>
      </w:r>
      <w:r w:rsidRPr="008A1DE5">
        <w:t>målet måste stå fast</w:t>
      </w:r>
      <w:r w:rsidR="00CC47E0" w:rsidRPr="008A1DE5">
        <w:t>, de potentiella följderna av växthuseffekten är så a</w:t>
      </w:r>
      <w:r w:rsidR="00CC47E0" w:rsidRPr="008A1DE5">
        <w:t>v</w:t>
      </w:r>
      <w:r w:rsidR="00CC47E0" w:rsidRPr="008A1DE5">
        <w:t>skräckande att en försiktighetsprincip måste tillämpas.</w:t>
      </w:r>
      <w:r w:rsidRPr="008A1DE5">
        <w:t xml:space="preserve"> </w:t>
      </w:r>
      <w:r w:rsidR="00CC47E0" w:rsidRPr="008A1DE5">
        <w:t xml:space="preserve">Vi </w:t>
      </w:r>
      <w:r w:rsidRPr="008A1DE5">
        <w:t>vill istället riva upp beslutet om kärnkraftsavveckling.</w:t>
      </w:r>
    </w:p>
    <w:p w:rsidR="00F076C1" w:rsidRPr="008A1DE5" w:rsidRDefault="00F076C1" w:rsidP="00F076C1">
      <w:pPr>
        <w:pStyle w:val="Rubrik1"/>
      </w:pPr>
      <w:bookmarkStart w:id="5" w:name="_Toc84392548"/>
      <w:bookmarkStart w:id="6" w:name="_Toc118353459"/>
      <w:bookmarkEnd w:id="4"/>
      <w:r w:rsidRPr="008A1DE5">
        <w:t>Regeringens energipolitik skadar Sverige</w:t>
      </w:r>
      <w:bookmarkEnd w:id="5"/>
      <w:bookmarkEnd w:id="6"/>
    </w:p>
    <w:p w:rsidR="00F076C1" w:rsidRPr="008A1DE5" w:rsidRDefault="00F076C1" w:rsidP="00CC47E0">
      <w:r w:rsidRPr="008A1DE5">
        <w:t>Folkpartiet anser att de energipolitiska riktlinjer som antogs i riksdagen 1997</w:t>
      </w:r>
      <w:r w:rsidR="009F4772" w:rsidRPr="008A1DE5">
        <w:t>,</w:t>
      </w:r>
      <w:r w:rsidRPr="008A1DE5">
        <w:t xml:space="preserve"> och som fullföljdes genom den energipolitiska proposition som behandlades i riksdagen våren 2002, allvarligt skadar Sverige som industri- och miljönation. Dessutom är politiken på sikt förödande för välståndet. Särskilt allvarlig är den förtida avvecklingen av kärnkraft. Avvecklingen innebär en gigantisk kapitalförstöring som kommer att medföra enorma välfärdsförluster på sikt. Miljön kommer att skadas och det blir svårare att få företag att utvecklas och skapa fler jobb.</w:t>
      </w:r>
    </w:p>
    <w:p w:rsidR="00021F84" w:rsidRPr="008A1DE5" w:rsidRDefault="00021F84" w:rsidP="00021F84">
      <w:pPr>
        <w:pStyle w:val="Normaltindrag"/>
      </w:pPr>
      <w:r w:rsidRPr="008A1DE5">
        <w:t>Tecknen blir allt tydligare. Den högkonjunktur som den svenska industrin ridit på det senaste året går mot sitt slut. Den senaste konjunkturstatistiken från SCB och Konjunkturinstitutet är entydig. Industrin går fortfarande bra men sämre än för ett år sedan och några nya arbetstillfällen verkar det inte bli. Facit av de senaste fyra åren blir istället: 80 000 försvunna industriarbeten</w:t>
      </w:r>
      <w:r w:rsidR="009F4772" w:rsidRPr="008A1DE5">
        <w:t>,</w:t>
      </w:r>
      <w:r w:rsidRPr="008A1DE5">
        <w:t xml:space="preserve"> varav 50 000 industriarbeten</w:t>
      </w:r>
      <w:r w:rsidR="009F4772" w:rsidRPr="008A1DE5">
        <w:t>,</w:t>
      </w:r>
      <w:r w:rsidRPr="008A1DE5">
        <w:t xml:space="preserve"> har flyttat utomlands. Nu när konjunkturen vänder nedåt är risken stor att utflyttningen ökar när industriföretagen blir än mer tvingade att pressa sina kostnader. Ytterligare 160 000 industriarbeten kan försvinna de närmaste fem åren om företagen gör allvar av sina utflyt</w:t>
      </w:r>
      <w:r w:rsidRPr="008A1DE5">
        <w:t>t</w:t>
      </w:r>
      <w:r w:rsidRPr="008A1DE5">
        <w:t>ningsplaner, enligt Svenskt Näringsliv. Mot bakgrund av att en stor del av svensk industri är mycket elberoende så är energipolitiken en viktig faktor för att bryta denna negativa trend.</w:t>
      </w:r>
    </w:p>
    <w:p w:rsidR="00F076C1" w:rsidRPr="008A1DE5" w:rsidRDefault="00F076C1" w:rsidP="00F076C1">
      <w:pPr>
        <w:pStyle w:val="Normaltindrag"/>
      </w:pPr>
      <w:r w:rsidRPr="008A1DE5">
        <w:t>Resultatet av den förda politiken har blivit att elpriserna stigit och att sa</w:t>
      </w:r>
      <w:r w:rsidRPr="008A1DE5">
        <w:t>m</w:t>
      </w:r>
      <w:r w:rsidRPr="008A1DE5">
        <w:t>hällets hela energiförsörjning hotas vid stark kyla eller vid avbrott i någon del av elnätet. Svenska kraftnät får i ren desperation upphandla effekt och teckna avtal med företag om att hålla nere konsumtionen vid kallt väder. Samtidigt får det svenska folket damma av sina vedspisar och kaminer för att hålla varmt. Detta är orimligt i Sverige år 200</w:t>
      </w:r>
      <w:r w:rsidR="00CE2A57" w:rsidRPr="008A1DE5">
        <w:t>5</w:t>
      </w:r>
      <w:r w:rsidRPr="008A1DE5">
        <w:t>.</w:t>
      </w:r>
    </w:p>
    <w:p w:rsidR="00F076C1" w:rsidRPr="008A1DE5" w:rsidRDefault="00F076C1" w:rsidP="00F076C1">
      <w:pPr>
        <w:pStyle w:val="Normaltindrag"/>
      </w:pPr>
      <w:r w:rsidRPr="008A1DE5">
        <w:t>Elförbrukningen i Sverige har dessutom ökat år från år. Beräkningar från Energimyndigheten tyder också på att förbrukningen kommer att fortsätta att öka framöver. Detta gäller såväl i Sverige som i övriga Norden där man rä</w:t>
      </w:r>
      <w:r w:rsidRPr="008A1DE5">
        <w:t>k</w:t>
      </w:r>
      <w:r w:rsidRPr="008A1DE5">
        <w:t xml:space="preserve">nar med ca 2 </w:t>
      </w:r>
      <w:r w:rsidR="009F4772" w:rsidRPr="008A1DE5">
        <w:t>%</w:t>
      </w:r>
      <w:r w:rsidRPr="008A1DE5">
        <w:t xml:space="preserve"> ökning per år. Elen betyder mer i Sverige än i andra länder i Europa eftersom den svenska energikonsumtionen av tradition har byggt på god tillgång på el. Att då brådstörtat ställa om energisystemet är </w:t>
      </w:r>
      <w:r w:rsidR="00BF6A7D" w:rsidRPr="008A1DE5">
        <w:t>oansvarigt</w:t>
      </w:r>
      <w:r w:rsidRPr="008A1DE5">
        <w:t>. Dessutom har den svenska industrin en helt annan sammansättning än ind</w:t>
      </w:r>
      <w:r w:rsidRPr="008A1DE5">
        <w:t>u</w:t>
      </w:r>
      <w:r w:rsidRPr="008A1DE5">
        <w:t>strin på kontinenten. Traditionella svenska näringar som bl.a. malm, skog, stål och papper är oerhört elintensiva.</w:t>
      </w:r>
    </w:p>
    <w:p w:rsidR="00F7457E" w:rsidRPr="008A1DE5" w:rsidRDefault="00F7457E" w:rsidP="00F076C1">
      <w:pPr>
        <w:pStyle w:val="Normaltindrag"/>
      </w:pPr>
      <w:r w:rsidRPr="008A1DE5">
        <w:t>Regeringens energipolitik innehåller mycket politik, men lite energi.</w:t>
      </w:r>
      <w:r w:rsidR="00E47198" w:rsidRPr="008A1DE5">
        <w:t xml:space="preserve"> Den hotar vår industri, våra jobb, vår välfärd, vår miljö och vår hälsa.</w:t>
      </w:r>
    </w:p>
    <w:p w:rsidR="00F076C1" w:rsidRPr="008A1DE5" w:rsidRDefault="00F076C1" w:rsidP="00F076C1">
      <w:pPr>
        <w:pStyle w:val="Rubrik2"/>
      </w:pPr>
      <w:bookmarkStart w:id="7" w:name="_Toc84392549"/>
      <w:bookmarkStart w:id="8" w:name="_Toc118353460"/>
      <w:r w:rsidRPr="008A1DE5">
        <w:t>Regeringens energipolitik blir märkligare och märkligare</w:t>
      </w:r>
      <w:bookmarkEnd w:id="7"/>
      <w:bookmarkEnd w:id="8"/>
    </w:p>
    <w:p w:rsidR="00021F10" w:rsidRPr="008A1DE5" w:rsidRDefault="00021F10" w:rsidP="00021F10">
      <w:r w:rsidRPr="008A1DE5">
        <w:t>Regeringen har gett klartecken för att bygga en naturgasledning från Tyskland till Trelleborg, och planerar för en ökad användning av naturgas i Sverige. Om detta sker samtidigt som den svenska kärnkraften avvecklas kommer det</w:t>
      </w:r>
      <w:r w:rsidR="009F4772" w:rsidRPr="008A1DE5">
        <w:t xml:space="preserve"> att</w:t>
      </w:r>
      <w:r w:rsidRPr="008A1DE5">
        <w:t xml:space="preserve"> leda till ökade totala utsläpp av klimatpåverkande koldioxid i Sverige. Är det förenligt med Sveriges klimatmål?</w:t>
      </w:r>
    </w:p>
    <w:p w:rsidR="00021F10" w:rsidRPr="008A1DE5" w:rsidRDefault="00021F10" w:rsidP="00021F10">
      <w:pPr>
        <w:pStyle w:val="Normaltindrag"/>
      </w:pPr>
      <w:r w:rsidRPr="008A1DE5">
        <w:t xml:space="preserve">Dessutom planeras för en ny kraftledning från Finland, vars syfte är att importera el från det nya kärnkraftverket som håller på att byggas i Finland. Varför är det fel med kärnkraft i Sverige om det är </w:t>
      </w:r>
      <w:r w:rsidR="009F4772" w:rsidRPr="008A1DE5">
        <w:t>okej</w:t>
      </w:r>
      <w:r w:rsidRPr="008A1DE5">
        <w:t xml:space="preserve"> med kärnkraft i Fi</w:t>
      </w:r>
      <w:r w:rsidRPr="008A1DE5">
        <w:t>n</w:t>
      </w:r>
      <w:r w:rsidRPr="008A1DE5">
        <w:t>land?</w:t>
      </w:r>
    </w:p>
    <w:p w:rsidR="00021F10" w:rsidRPr="008A1DE5" w:rsidRDefault="00021F10" w:rsidP="00021F10">
      <w:pPr>
        <w:pStyle w:val="Rubrik2"/>
      </w:pPr>
      <w:bookmarkStart w:id="9" w:name="_Toc118353461"/>
      <w:r w:rsidRPr="008A1DE5">
        <w:t>Vattenfall</w:t>
      </w:r>
      <w:bookmarkEnd w:id="9"/>
    </w:p>
    <w:p w:rsidR="00021F10" w:rsidRPr="008A1DE5" w:rsidRDefault="00021F10" w:rsidP="00021F10">
      <w:r w:rsidRPr="008A1DE5">
        <w:t>Det statliga bolaget Vattenfall gör stora investeringar i kolgruvor och kole</w:t>
      </w:r>
      <w:r w:rsidRPr="008A1DE5">
        <w:t>l</w:t>
      </w:r>
      <w:r w:rsidRPr="008A1DE5">
        <w:t>dade kraftverk i Tyskland. Man har till och med tvingat hela byar att flytta för att kunna bryta brunkol, vilket är helt oacceptabelt. Genom att Vattenfall valt att investera så kraftfullt i kolkraft i Tyskland har det brutit mot riksdagens beslut. Det finns ingen anledning till att svenska skattebetalare ska betala för tyska utsläppsrätter. Det är även anmärkningsvärt att Vattenfall ska investera cirka en miljard kronor för att återstarta det gamla oljekraftverket i Stenun</w:t>
      </w:r>
      <w:r w:rsidRPr="008A1DE5">
        <w:t>g</w:t>
      </w:r>
      <w:r w:rsidRPr="008A1DE5">
        <w:t>sund. Det strider helt mot de uttalade svenska ambitionerna att sänka koldio</w:t>
      </w:r>
      <w:r w:rsidRPr="008A1DE5">
        <w:t>x</w:t>
      </w:r>
      <w:r w:rsidRPr="008A1DE5">
        <w:t>idutsläppen, vilket också är att nonchalera Kyotoprotokollet. Allt detta ag</w:t>
      </w:r>
      <w:r w:rsidRPr="008A1DE5">
        <w:t>e</w:t>
      </w:r>
      <w:r w:rsidRPr="008A1DE5">
        <w:t xml:space="preserve">rande har inte heller återkopplats till riksdagen. </w:t>
      </w:r>
    </w:p>
    <w:p w:rsidR="00021F10" w:rsidRPr="008A1DE5" w:rsidRDefault="00021F10" w:rsidP="00021F10">
      <w:pPr>
        <w:pStyle w:val="Normaltindrag"/>
      </w:pPr>
      <w:r w:rsidRPr="008A1DE5">
        <w:t xml:space="preserve">Riksrevisionen </w:t>
      </w:r>
      <w:r w:rsidR="009F4772" w:rsidRPr="008A1DE5">
        <w:t>presenterade i juni 2004</w:t>
      </w:r>
      <w:r w:rsidRPr="008A1DE5">
        <w:t xml:space="preserve"> rapporten </w:t>
      </w:r>
      <w:r w:rsidRPr="008A1DE5">
        <w:rPr>
          <w:i/>
        </w:rPr>
        <w:t xml:space="preserve">Vattenfall AB </w:t>
      </w:r>
      <w:r w:rsidR="009F4772" w:rsidRPr="008A1DE5">
        <w:rPr>
          <w:i/>
        </w:rPr>
        <w:t>–</w:t>
      </w:r>
      <w:r w:rsidRPr="008A1DE5">
        <w:rPr>
          <w:i/>
        </w:rPr>
        <w:t xml:space="preserve"> Up</w:t>
      </w:r>
      <w:r w:rsidRPr="008A1DE5">
        <w:rPr>
          <w:i/>
        </w:rPr>
        <w:t>p</w:t>
      </w:r>
      <w:r w:rsidRPr="008A1DE5">
        <w:rPr>
          <w:i/>
        </w:rPr>
        <w:t>drag och statens styrning</w:t>
      </w:r>
      <w:r w:rsidRPr="008A1DE5">
        <w:t xml:space="preserve"> (RiR 2004:18). Riksrevisionen har granskat Vatte</w:t>
      </w:r>
      <w:r w:rsidRPr="008A1DE5">
        <w:t>n</w:t>
      </w:r>
      <w:r w:rsidRPr="008A1DE5">
        <w:t>falls uppdrag att inom ramen för affärsmässighet verka för en omställning av det svenska energisystemet och hur dessa krav har hanterats av ägarförval</w:t>
      </w:r>
      <w:r w:rsidRPr="008A1DE5">
        <w:t>t</w:t>
      </w:r>
      <w:r w:rsidRPr="008A1DE5">
        <w:t>ningen, dvs. regeringen och Näringsdepartementet, och av bolagets ledning, dvs. styrelsen och koncernledningen. I analysen redogörs för hur Vattenfalls expansion i Tyskland relaterar till de svenska miljö- och energipolitiska m</w:t>
      </w:r>
      <w:r w:rsidRPr="008A1DE5">
        <w:t>å</w:t>
      </w:r>
      <w:r w:rsidRPr="008A1DE5">
        <w:t>len. Riksrevisionen konstaterar att regeringen varit otydlig vid styrningen av Vattenfall. Regeringen och bolagsledningen har inte tagit initiativ till att få klargjort om förvärven i Tyskland var förenliga med den av riksdagen besl</w:t>
      </w:r>
      <w:r w:rsidRPr="008A1DE5">
        <w:t>u</w:t>
      </w:r>
      <w:r w:rsidRPr="008A1DE5">
        <w:t>tade miljö- och energipolitiken. Svenska staten har heller inte möjlighet till insyn och kontrollmöjligheter av verksamheten i Vattenfalls tyska dotterb</w:t>
      </w:r>
      <w:r w:rsidRPr="008A1DE5">
        <w:t>o</w:t>
      </w:r>
      <w:r w:rsidRPr="008A1DE5">
        <w:t>lag. Riksrevisionen rekommenderar att regeringen tar initiativ till att tydligg</w:t>
      </w:r>
      <w:r w:rsidRPr="008A1DE5">
        <w:t>ö</w:t>
      </w:r>
      <w:r w:rsidRPr="008A1DE5">
        <w:t>ra Vattenfalls uppdrag vad gäller miljö- och energipolitik. Detta är ytterst allvarlig kritik som vi i Folkpartiet instämmer i. Vi har under en rad av år kritiserat Vattenfalls engagemang i just Tyskland. Även riksdagens konstit</w:t>
      </w:r>
      <w:r w:rsidRPr="008A1DE5">
        <w:t>u</w:t>
      </w:r>
      <w:r w:rsidRPr="008A1DE5">
        <w:t>tionsutskott h</w:t>
      </w:r>
      <w:r w:rsidR="005A0E4C" w:rsidRPr="008A1DE5">
        <w:t>ar riktat kritik mot Vattenfall, och näringsminister Thomas Östros blev prickad me</w:t>
      </w:r>
      <w:r w:rsidR="009F4772" w:rsidRPr="008A1DE5">
        <w:t>d anledning av en anmälan från F</w:t>
      </w:r>
      <w:r w:rsidR="005A0E4C" w:rsidRPr="008A1DE5">
        <w:t>olkpartiet.</w:t>
      </w:r>
    </w:p>
    <w:p w:rsidR="00021F10" w:rsidRPr="008A1DE5" w:rsidRDefault="00021F10" w:rsidP="00330227">
      <w:pPr>
        <w:pStyle w:val="Normaltindrag"/>
      </w:pPr>
      <w:r w:rsidRPr="008A1DE5">
        <w:t xml:space="preserve">Mot bakgrund av </w:t>
      </w:r>
      <w:r w:rsidR="00E47198" w:rsidRPr="008A1DE5">
        <w:t>denna</w:t>
      </w:r>
      <w:r w:rsidR="009F4772" w:rsidRPr="008A1DE5">
        <w:t xml:space="preserve"> kritik och att F</w:t>
      </w:r>
      <w:r w:rsidR="00C07EAB" w:rsidRPr="008A1DE5">
        <w:t xml:space="preserve">olkpartiet har tagit tydlig ställning mot statliga företag </w:t>
      </w:r>
      <w:r w:rsidRPr="008A1DE5">
        <w:t xml:space="preserve">anser vi att Vattenfall </w:t>
      </w:r>
      <w:r w:rsidR="00C07EAB" w:rsidRPr="008A1DE5">
        <w:t>ska</w:t>
      </w:r>
      <w:r w:rsidRPr="008A1DE5">
        <w:t xml:space="preserve"> säljas ut.</w:t>
      </w:r>
    </w:p>
    <w:p w:rsidR="00F7457E" w:rsidRPr="008A1DE5" w:rsidRDefault="00F7457E" w:rsidP="00F7457E">
      <w:pPr>
        <w:pStyle w:val="Rubrik2"/>
      </w:pPr>
      <w:bookmarkStart w:id="10" w:name="_Toc118353462"/>
      <w:r w:rsidRPr="008A1DE5">
        <w:t>Industrin tappar förtroendet</w:t>
      </w:r>
      <w:bookmarkEnd w:id="10"/>
    </w:p>
    <w:p w:rsidR="002411F8" w:rsidRPr="008A1DE5" w:rsidRDefault="002411F8" w:rsidP="00F7457E">
      <w:r w:rsidRPr="008A1DE5">
        <w:t>Den svenska basindustrin är starkt beroende av god tillgång till el till rimliga priser. Om de inte kan få detta i Sverige så tvingas de lägga tunga investe</w:t>
      </w:r>
      <w:r w:rsidRPr="008A1DE5">
        <w:t>r</w:t>
      </w:r>
      <w:r w:rsidRPr="008A1DE5">
        <w:t xml:space="preserve">ingar utomlands, och på sikt även flytta ut befintlig verksamhet. </w:t>
      </w:r>
      <w:r w:rsidR="00F7457E" w:rsidRPr="008A1DE5">
        <w:t>En rad ind</w:t>
      </w:r>
      <w:r w:rsidR="00F7457E" w:rsidRPr="008A1DE5">
        <w:t>u</w:t>
      </w:r>
      <w:r w:rsidR="00F7457E" w:rsidRPr="008A1DE5">
        <w:t xml:space="preserve">striföretag har </w:t>
      </w:r>
      <w:r w:rsidRPr="008A1DE5">
        <w:t xml:space="preserve">nu </w:t>
      </w:r>
      <w:r w:rsidR="00F7457E" w:rsidRPr="008A1DE5">
        <w:t>gått samman och startat ett eget kraftbolag, BasEL, och planerar att på egen hand importera el från utlandet</w:t>
      </w:r>
      <w:r w:rsidR="00E47198" w:rsidRPr="008A1DE5">
        <w:t xml:space="preserve"> (troligtvis från Ryssland)</w:t>
      </w:r>
      <w:r w:rsidR="00F7457E" w:rsidRPr="008A1DE5">
        <w:t xml:space="preserve">. Det kan inte tolkas annorlunda än </w:t>
      </w:r>
      <w:r w:rsidRPr="008A1DE5">
        <w:t>att</w:t>
      </w:r>
      <w:r w:rsidR="009F4772" w:rsidRPr="008A1DE5">
        <w:t xml:space="preserve"> den</w:t>
      </w:r>
      <w:r w:rsidRPr="008A1DE5">
        <w:t xml:space="preserve"> svenska basindustrin helt har tappat förtroendet för regeringens energipolitik. Regeringens politik leder oundvikl</w:t>
      </w:r>
      <w:r w:rsidRPr="008A1DE5">
        <w:t>i</w:t>
      </w:r>
      <w:r w:rsidRPr="008A1DE5">
        <w:t>gen till att elproduktionen i Sverige minskar, och för industrin återstår då bara två möjligheter, att importera el eller att flytta sin produktion utomlands.</w:t>
      </w:r>
    </w:p>
    <w:p w:rsidR="00BF6A7D" w:rsidRPr="008A1DE5" w:rsidRDefault="00BF6A7D" w:rsidP="00BF6A7D">
      <w:pPr>
        <w:pStyle w:val="Rubrik1"/>
      </w:pPr>
      <w:bookmarkStart w:id="11" w:name="_Toc118353463"/>
      <w:r w:rsidRPr="008A1DE5">
        <w:t>En liberal energipolitik</w:t>
      </w:r>
      <w:bookmarkEnd w:id="11"/>
    </w:p>
    <w:p w:rsidR="001C071C" w:rsidRPr="008A1DE5" w:rsidRDefault="001C071C" w:rsidP="00BF6A7D">
      <w:r w:rsidRPr="008A1DE5">
        <w:t>Vi liberaler anser att en rationell energipolitik bäst främjas genom fri energ</w:t>
      </w:r>
      <w:r w:rsidRPr="008A1DE5">
        <w:t>i</w:t>
      </w:r>
      <w:r w:rsidRPr="008A1DE5">
        <w:t xml:space="preserve">produktion. Staten </w:t>
      </w:r>
      <w:r w:rsidR="003D2B37" w:rsidRPr="008A1DE5">
        <w:t>ska</w:t>
      </w:r>
      <w:r w:rsidRPr="008A1DE5">
        <w:t xml:space="preserve"> uppställa krav beträffande hälsa, säkerhet och miljö och kontrollera att kraven uppfylls samt främja forskning och utveckling. Staten </w:t>
      </w:r>
      <w:r w:rsidR="003D2B37" w:rsidRPr="008A1DE5">
        <w:t>ska</w:t>
      </w:r>
      <w:r w:rsidRPr="008A1DE5">
        <w:t xml:space="preserve"> inte förbjuda någon specifik teknik för energiproduktion, om den uppfyller miljö- och säkerhetskrav. </w:t>
      </w:r>
    </w:p>
    <w:p w:rsidR="001C071C" w:rsidRPr="008A1DE5" w:rsidRDefault="001C071C" w:rsidP="001C071C">
      <w:pPr>
        <w:pStyle w:val="Normaltindrag"/>
      </w:pPr>
      <w:r w:rsidRPr="008A1DE5">
        <w:t xml:space="preserve">Den politiska styrningen av energiproduktionen måste förändras. Valet av energiproduktion </w:t>
      </w:r>
      <w:r w:rsidR="003D2B37" w:rsidRPr="008A1DE5">
        <w:t>ska</w:t>
      </w:r>
      <w:r w:rsidRPr="008A1DE5">
        <w:t xml:space="preserve"> inte träffas genom politiska beslut. Konsumentstyrning och marknadsekonomi </w:t>
      </w:r>
      <w:r w:rsidR="003D2B37" w:rsidRPr="008A1DE5">
        <w:t>ska</w:t>
      </w:r>
      <w:r w:rsidRPr="008A1DE5">
        <w:t xml:space="preserve"> råda inom de ramar miljökraven sätter. Det inn</w:t>
      </w:r>
      <w:r w:rsidRPr="008A1DE5">
        <w:t>e</w:t>
      </w:r>
      <w:r w:rsidRPr="008A1DE5">
        <w:t xml:space="preserve">bär att alla typer av produktionsanläggningar för energi </w:t>
      </w:r>
      <w:r w:rsidR="003D2B37" w:rsidRPr="008A1DE5">
        <w:t>ska</w:t>
      </w:r>
      <w:r w:rsidRPr="008A1DE5">
        <w:t xml:space="preserve"> tillåtas, förutsatt att de uppfyller generella krav på hälsa, miljö och säkerhet.</w:t>
      </w:r>
    </w:p>
    <w:p w:rsidR="001C071C" w:rsidRPr="008A1DE5" w:rsidRDefault="001C071C" w:rsidP="001C071C">
      <w:pPr>
        <w:pStyle w:val="Normaltindrag"/>
      </w:pPr>
      <w:r w:rsidRPr="008A1DE5">
        <w:t xml:space="preserve">Det svenska energisystemet bör successivt ställas om till att bli ekologiskt hållbart. Omställningen av energisystemet måste dock ske med hänsyn till Sveriges behov av tillväxt och ökad sysselsättning. Att ha konkurrenskraftiga villkor för basindustrin </w:t>
      </w:r>
      <w:r w:rsidR="003D2B37" w:rsidRPr="008A1DE5">
        <w:t>ska</w:t>
      </w:r>
      <w:r w:rsidRPr="008A1DE5">
        <w:t xml:space="preserve"> vara ett viktigt syfte med svensk energipolitik.</w:t>
      </w:r>
    </w:p>
    <w:p w:rsidR="005A0E4C" w:rsidRPr="008A1DE5" w:rsidRDefault="001C071C" w:rsidP="001C071C">
      <w:pPr>
        <w:pStyle w:val="Normaltindrag"/>
      </w:pPr>
      <w:r w:rsidRPr="008A1DE5">
        <w:t>Folkpartiet vänder sig mot synen att el i sig skulle vara något miljöfarligt och icke önskvärt. Det finns miljöfarliga sätt att producera el, t.ex. kolkraft, men insatser bör sättas in mot dessa och inte mot el i sig. Tvärt om kan en ökad användning av el leda till vinster för miljön, t.ex. genom att ersätta vä</w:t>
      </w:r>
      <w:r w:rsidRPr="008A1DE5">
        <w:t>g</w:t>
      </w:r>
      <w:r w:rsidRPr="008A1DE5">
        <w:t>trafik som drivs av fossila bränslen med eldrivna tåg. Folkpartiet anser inte att elskatt är att betrakta som en miljöskatt, och höjd elskatt bör inte ses som en del av någon grön skatteväxling. Detta bör ges regeringen till</w:t>
      </w:r>
      <w:r w:rsidR="009F4772" w:rsidRPr="008A1DE5">
        <w:t xml:space="preserve"> </w:t>
      </w:r>
      <w:r w:rsidRPr="008A1DE5">
        <w:t>känna.</w:t>
      </w:r>
      <w:r w:rsidR="005A0E4C" w:rsidRPr="008A1DE5">
        <w:t xml:space="preserve"> Vi ställer oss också skeptiska till det ensidiga fokus på att få bort elvärme från bostäder som tycks finnas. Det är långt ifrån säkert att det ger någon förbättring av miljön att ersätta elvärme med småskalig eldning av ved eller pellets, som ofta är alternativet.</w:t>
      </w:r>
    </w:p>
    <w:p w:rsidR="00BF6A7D" w:rsidRPr="008A1DE5" w:rsidRDefault="00BF6A7D" w:rsidP="00CC0540">
      <w:pPr>
        <w:pStyle w:val="Normaltindrag"/>
      </w:pPr>
      <w:r w:rsidRPr="008A1DE5">
        <w:t>Vi säger absolut nej till utbyggnad av de orörda älvarna samt de utbyggda älvarnas orörda delar. En ytterligare utbyggnad av vattenkraften riskerar fö</w:t>
      </w:r>
      <w:r w:rsidRPr="008A1DE5">
        <w:t>r</w:t>
      </w:r>
      <w:r w:rsidRPr="008A1DE5">
        <w:t>störa ovärderliga miljövärden för århundraden framöver och folks hem och kulturmark som används för djurhållning eller odling. Dessutom har de orö</w:t>
      </w:r>
      <w:r w:rsidRPr="008A1DE5">
        <w:t>r</w:t>
      </w:r>
      <w:r w:rsidRPr="008A1DE5">
        <w:t>da älvarna en stor betydelse för turistnäringen. Småskalig vattenkraft påverkar i de flesta fall miljön negativt, men önskemål om sådana projekt måste trots allt kunna prövas från fall till fall.</w:t>
      </w:r>
    </w:p>
    <w:p w:rsidR="00BF6A7D" w:rsidRPr="008A1DE5" w:rsidRDefault="00BF6A7D" w:rsidP="00CC0540">
      <w:pPr>
        <w:pStyle w:val="Normaltindrag"/>
      </w:pPr>
      <w:r w:rsidRPr="008A1DE5">
        <w:t xml:space="preserve">Vi säger även nej till storskalig introduktion av </w:t>
      </w:r>
      <w:r w:rsidR="0012189C" w:rsidRPr="008A1DE5">
        <w:t>natur</w:t>
      </w:r>
      <w:r w:rsidRPr="008A1DE5">
        <w:t xml:space="preserve">gas. </w:t>
      </w:r>
      <w:r w:rsidR="0012189C" w:rsidRPr="008A1DE5">
        <w:t>N</w:t>
      </w:r>
      <w:r w:rsidR="00F43C6E" w:rsidRPr="008A1DE5">
        <w:t xml:space="preserve">aturgas är ett fossilt bränsle som bidrar till växthuseffekten. </w:t>
      </w:r>
      <w:r w:rsidRPr="008A1DE5">
        <w:t xml:space="preserve">Där </w:t>
      </w:r>
      <w:r w:rsidR="00293047" w:rsidRPr="008A1DE5">
        <w:t>natur</w:t>
      </w:r>
      <w:r w:rsidRPr="008A1DE5">
        <w:t>gas redan finns idag, främst i Syd- och Västsverige, ska den dock användas efterso</w:t>
      </w:r>
      <w:r w:rsidR="009F4772" w:rsidRPr="008A1DE5">
        <w:t>m den trots allt är renare än t.</w:t>
      </w:r>
      <w:r w:rsidRPr="008A1DE5">
        <w:t>ex</w:t>
      </w:r>
      <w:r w:rsidR="009F4772" w:rsidRPr="008A1DE5">
        <w:t>.</w:t>
      </w:r>
      <w:r w:rsidRPr="008A1DE5">
        <w:t xml:space="preserve"> kol- och oljekondenskraftverk.</w:t>
      </w:r>
      <w:r w:rsidR="005A0E4C" w:rsidRPr="008A1DE5">
        <w:t xml:space="preserve"> Det är bra med naturgas om den ersätter kol eller olja, men vi måste akta oss för att bygga fast oss i en storskalig naturgasinfrastruktur som för lång tid framöver binder upp oss i ett beroende av ett fossilt bränsle.</w:t>
      </w:r>
    </w:p>
    <w:p w:rsidR="00F076C1" w:rsidRPr="008A1DE5" w:rsidRDefault="00F076C1" w:rsidP="00F076C1">
      <w:pPr>
        <w:pStyle w:val="Rubrik1"/>
      </w:pPr>
      <w:bookmarkStart w:id="12" w:name="_Toc52864930"/>
      <w:bookmarkStart w:id="13" w:name="_Toc84392550"/>
      <w:bookmarkStart w:id="14" w:name="_Toc118353464"/>
      <w:r w:rsidRPr="008A1DE5">
        <w:t>Fortsätt använda kärnkraften</w:t>
      </w:r>
      <w:bookmarkEnd w:id="12"/>
      <w:bookmarkEnd w:id="13"/>
      <w:bookmarkEnd w:id="14"/>
      <w:r w:rsidRPr="008A1DE5">
        <w:t xml:space="preserve"> </w:t>
      </w:r>
    </w:p>
    <w:p w:rsidR="00F076C1" w:rsidRPr="008A1DE5" w:rsidRDefault="00F076C1" w:rsidP="00F076C1">
      <w:r w:rsidRPr="008A1DE5">
        <w:t xml:space="preserve">Folkpartiet anser att kärnkraften bör utnyttjas under hela sin tekniska och ekonomiska livslängd. </w:t>
      </w:r>
      <w:r w:rsidR="00293047" w:rsidRPr="008A1DE5">
        <w:t xml:space="preserve">Tron att kärnkraften skulle vara ”slut” 2010 är helt fel. </w:t>
      </w:r>
      <w:r w:rsidRPr="008A1DE5">
        <w:rPr>
          <w:snapToGrid w:val="0"/>
        </w:rPr>
        <w:t>I princip går det att byta ut de flesta delar i ett kärnkraftverk under mycket lång tid. Idag bedömer branschen att ett kärnkraftverk har en ekonomisk liv</w:t>
      </w:r>
      <w:r w:rsidRPr="008A1DE5">
        <w:rPr>
          <w:snapToGrid w:val="0"/>
        </w:rPr>
        <w:t>s</w:t>
      </w:r>
      <w:r w:rsidRPr="008A1DE5">
        <w:rPr>
          <w:snapToGrid w:val="0"/>
        </w:rPr>
        <w:t xml:space="preserve">längd på ca 60 år. Sveriges äldsta reaktor (Oskarshamn 1) fyller </w:t>
      </w:r>
      <w:r w:rsidR="00293047" w:rsidRPr="008A1DE5">
        <w:rPr>
          <w:snapToGrid w:val="0"/>
        </w:rPr>
        <w:t>60 år först 2030</w:t>
      </w:r>
      <w:r w:rsidRPr="008A1DE5">
        <w:rPr>
          <w:snapToGrid w:val="0"/>
        </w:rPr>
        <w:t>. Dessutom förbättras våra kärnkraftverk kontinuerligt, säkerheten fö</w:t>
      </w:r>
      <w:r w:rsidRPr="008A1DE5">
        <w:rPr>
          <w:snapToGrid w:val="0"/>
        </w:rPr>
        <w:t>r</w:t>
      </w:r>
      <w:r w:rsidRPr="008A1DE5">
        <w:rPr>
          <w:snapToGrid w:val="0"/>
        </w:rPr>
        <w:t>bättras, effekten ökas och tillgängligheten förbättras.</w:t>
      </w:r>
    </w:p>
    <w:p w:rsidR="00F076C1" w:rsidRPr="008A1DE5" w:rsidRDefault="00F076C1" w:rsidP="00286BF4">
      <w:pPr>
        <w:pStyle w:val="Normaltindrag"/>
      </w:pPr>
      <w:r w:rsidRPr="008A1DE5">
        <w:t>Vi har därför sagt nej till en förtida avstängning av både den första och andra reaktorn i Barsebäck. Flera instanser har varnat för vad som kan hända om även den andra reaktorn stängs av. Energimyndigh</w:t>
      </w:r>
      <w:r w:rsidRPr="008A1DE5">
        <w:t>e</w:t>
      </w:r>
      <w:r w:rsidRPr="008A1DE5">
        <w:t xml:space="preserve">ten hävdar att det finns en risk för elbrist under torrår, speciellt då i Syd- och Mellansverige. </w:t>
      </w:r>
      <w:r w:rsidR="00075450" w:rsidRPr="008A1DE5">
        <w:t>Nu när Barsebäck 2 stängts av kommer ut</w:t>
      </w:r>
      <w:r w:rsidRPr="008A1DE5">
        <w:t>släppen av koldioxid</w:t>
      </w:r>
      <w:r w:rsidR="00286BF4" w:rsidRPr="008A1DE5">
        <w:t>, enligt Energ</w:t>
      </w:r>
      <w:r w:rsidR="00286BF4" w:rsidRPr="008A1DE5">
        <w:t>i</w:t>
      </w:r>
      <w:r w:rsidR="00286BF4" w:rsidRPr="008A1DE5">
        <w:t xml:space="preserve">myndigheten, </w:t>
      </w:r>
      <w:r w:rsidR="009F4772" w:rsidRPr="008A1DE5">
        <w:t xml:space="preserve">att </w:t>
      </w:r>
      <w:r w:rsidRPr="008A1DE5">
        <w:t xml:space="preserve">öka med </w:t>
      </w:r>
      <w:r w:rsidR="00286BF4" w:rsidRPr="008A1DE5">
        <w:t xml:space="preserve">4 </w:t>
      </w:r>
      <w:r w:rsidRPr="008A1DE5">
        <w:t>miljoner ton</w:t>
      </w:r>
      <w:r w:rsidR="00075450" w:rsidRPr="008A1DE5">
        <w:t>,</w:t>
      </w:r>
      <w:r w:rsidR="006B0FDA" w:rsidRPr="008A1DE5">
        <w:t xml:space="preserve"> vilket motsvarar </w:t>
      </w:r>
      <w:r w:rsidR="00B64447" w:rsidRPr="008A1DE5">
        <w:t>6</w:t>
      </w:r>
      <w:r w:rsidR="006B0FDA" w:rsidRPr="008A1DE5">
        <w:t xml:space="preserve"> </w:t>
      </w:r>
      <w:r w:rsidR="009F4772" w:rsidRPr="008A1DE5">
        <w:t>%</w:t>
      </w:r>
      <w:r w:rsidR="006B0FDA" w:rsidRPr="008A1DE5">
        <w:t xml:space="preserve"> av Sveriges </w:t>
      </w:r>
      <w:r w:rsidR="0034720A" w:rsidRPr="008A1DE5">
        <w:t xml:space="preserve">totala </w:t>
      </w:r>
      <w:r w:rsidR="006B0FDA" w:rsidRPr="008A1DE5">
        <w:t>utsläpp av växthusgaser</w:t>
      </w:r>
      <w:r w:rsidRPr="008A1DE5">
        <w:t xml:space="preserve">, huvudsakligen från el producerad </w:t>
      </w:r>
      <w:r w:rsidR="00CE2A57" w:rsidRPr="008A1DE5">
        <w:t xml:space="preserve">med kolkraft </w:t>
      </w:r>
      <w:r w:rsidRPr="008A1DE5">
        <w:t>i Tyskland och Danmark.</w:t>
      </w:r>
    </w:p>
    <w:p w:rsidR="00F076C1" w:rsidRPr="008A1DE5" w:rsidRDefault="00F076C1" w:rsidP="00F076C1">
      <w:pPr>
        <w:pStyle w:val="Normaltindrag"/>
      </w:pPr>
      <w:r w:rsidRPr="008A1DE5">
        <w:t>Folkpartiet anser att reaktorer ska stängas när en kompetent myndighet konstaterar att de inte längre uppfyller gällande säkerhets- eller miljökrav. Politikerna är inte bäst på att avgöra när en avstängning kan äga rum. Fol</w:t>
      </w:r>
      <w:r w:rsidRPr="008A1DE5">
        <w:t>k</w:t>
      </w:r>
      <w:r w:rsidRPr="008A1DE5">
        <w:t xml:space="preserve">partiet anser dessutom att </w:t>
      </w:r>
      <w:r w:rsidR="00CE2A57" w:rsidRPr="008A1DE5">
        <w:t xml:space="preserve">båda reaktorerna i </w:t>
      </w:r>
      <w:r w:rsidRPr="008A1DE5">
        <w:t>Barsebäck bör tas i bruk igen så snart det är mö</w:t>
      </w:r>
      <w:r w:rsidRPr="008A1DE5">
        <w:t>j</w:t>
      </w:r>
      <w:r w:rsidRPr="008A1DE5">
        <w:t>ligt.</w:t>
      </w:r>
      <w:r w:rsidR="00293047" w:rsidRPr="008A1DE5">
        <w:t xml:space="preserve"> Detta bör ges regeringen till</w:t>
      </w:r>
      <w:r w:rsidR="009F4772" w:rsidRPr="008A1DE5">
        <w:t xml:space="preserve"> </w:t>
      </w:r>
      <w:r w:rsidR="00293047" w:rsidRPr="008A1DE5">
        <w:t>känna.</w:t>
      </w:r>
    </w:p>
    <w:p w:rsidR="00F076C1" w:rsidRPr="008A1DE5" w:rsidRDefault="00F076C1" w:rsidP="00F076C1">
      <w:pPr>
        <w:pStyle w:val="Normaltindrag"/>
      </w:pPr>
      <w:r w:rsidRPr="008A1DE5">
        <w:t xml:space="preserve">Den energipolitik som regeringen driver innebär stora påfrestningar på samhället. Den </w:t>
      </w:r>
      <w:r w:rsidR="00CE2A57" w:rsidRPr="008A1DE5">
        <w:t xml:space="preserve">tidigare </w:t>
      </w:r>
      <w:r w:rsidRPr="008A1DE5">
        <w:t xml:space="preserve">till </w:t>
      </w:r>
      <w:r w:rsidR="00CE2A57" w:rsidRPr="008A1DE5">
        <w:t xml:space="preserve">hälften </w:t>
      </w:r>
      <w:r w:rsidRPr="008A1DE5">
        <w:t>genomförda avvecklingen av det väl fu</w:t>
      </w:r>
      <w:r w:rsidRPr="008A1DE5">
        <w:t>n</w:t>
      </w:r>
      <w:r w:rsidRPr="008A1DE5">
        <w:t>gerande kärnkraftverket i Barsebäck har bidragit till effek</w:t>
      </w:r>
      <w:r w:rsidRPr="008A1DE5">
        <w:t>t</w:t>
      </w:r>
      <w:r w:rsidRPr="008A1DE5">
        <w:t>problem under vintrarna och till en betydande osäkerhet inom industrin beträffande den fra</w:t>
      </w:r>
      <w:r w:rsidRPr="008A1DE5">
        <w:t>m</w:t>
      </w:r>
      <w:r w:rsidRPr="008A1DE5">
        <w:t xml:space="preserve">tida tillgången på el. När nu regeringen </w:t>
      </w:r>
      <w:r w:rsidR="00AC2B78" w:rsidRPr="008A1DE5">
        <w:t xml:space="preserve">stängt även </w:t>
      </w:r>
      <w:r w:rsidRPr="008A1DE5">
        <w:t>Barsebäck 2 tilltar denna osäkerhet. Investeringsviljan i svensk elintensiv industri hämmas, vi</w:t>
      </w:r>
      <w:r w:rsidRPr="008A1DE5">
        <w:t>l</w:t>
      </w:r>
      <w:r w:rsidRPr="008A1DE5">
        <w:t>ket drabbar tillväxten och i förlängningen även välfärden. Elpriset påverkar industrins investeringsvilja men är även en kännbar kostnad för många e</w:t>
      </w:r>
      <w:r w:rsidRPr="008A1DE5">
        <w:t>n</w:t>
      </w:r>
      <w:r w:rsidRPr="008A1DE5">
        <w:t>skilda elkunder. Det är inte rimligt att en avveckling av kärnkraften med fö</w:t>
      </w:r>
      <w:r w:rsidRPr="008A1DE5">
        <w:t>r</w:t>
      </w:r>
      <w:r w:rsidRPr="008A1DE5">
        <w:t>väntade elprishöjningar ytterligare ska få drabba redan hårt ansatta hushåll</w:t>
      </w:r>
      <w:r w:rsidRPr="008A1DE5">
        <w:t>s</w:t>
      </w:r>
      <w:r w:rsidRPr="008A1DE5">
        <w:t>kunder.</w:t>
      </w:r>
    </w:p>
    <w:p w:rsidR="00F076C1" w:rsidRPr="008A1DE5" w:rsidRDefault="00F076C1" w:rsidP="00F076C1">
      <w:pPr>
        <w:pStyle w:val="Normaltindrag"/>
      </w:pPr>
      <w:r w:rsidRPr="008A1DE5">
        <w:t xml:space="preserve">Satsningar på alternativ elproduktion har bedrivits under decennier, men resultaten måste betecknas som relativt svaga. Dessa alternativ kommer </w:t>
      </w:r>
      <w:r w:rsidR="00AC2B78" w:rsidRPr="008A1DE5">
        <w:t xml:space="preserve">under överskådlig framtid </w:t>
      </w:r>
      <w:r w:rsidR="00F41ECE" w:rsidRPr="008A1DE5">
        <w:t xml:space="preserve">inte </w:t>
      </w:r>
      <w:r w:rsidRPr="008A1DE5">
        <w:t>på långa vägar att kunna ersätta kärnkraften. Detta gäller särskilt mot ba</w:t>
      </w:r>
      <w:r w:rsidRPr="008A1DE5">
        <w:t>k</w:t>
      </w:r>
      <w:r w:rsidRPr="008A1DE5">
        <w:t>grund av att de hittillsvarande satsningarna inom ramen för energiomställningsprogrammet visat ett mycket magert resultat. Om kär</w:t>
      </w:r>
      <w:r w:rsidRPr="008A1DE5">
        <w:t>n</w:t>
      </w:r>
      <w:r w:rsidRPr="008A1DE5">
        <w:t xml:space="preserve">kraften avvecklas kommer bortfallet av el att </w:t>
      </w:r>
      <w:r w:rsidR="00AC2B78" w:rsidRPr="008A1DE5">
        <w:t xml:space="preserve">i huvudsak </w:t>
      </w:r>
      <w:r w:rsidRPr="008A1DE5">
        <w:t>kompenseras</w:t>
      </w:r>
      <w:r w:rsidR="009F4772" w:rsidRPr="008A1DE5">
        <w:t xml:space="preserve"> av</w:t>
      </w:r>
      <w:r w:rsidRPr="008A1DE5">
        <w:t xml:space="preserve"> elproduktion</w:t>
      </w:r>
      <w:r w:rsidR="00AC2B78" w:rsidRPr="008A1DE5">
        <w:t xml:space="preserve"> baserad på fossila bränslen</w:t>
      </w:r>
      <w:r w:rsidRPr="008A1DE5">
        <w:t>, både i</w:t>
      </w:r>
      <w:r w:rsidR="00F41ECE" w:rsidRPr="008A1DE5">
        <w:t>nom</w:t>
      </w:r>
      <w:r w:rsidRPr="008A1DE5">
        <w:t xml:space="preserve"> och utanför Sveriges gränser. Detta rimmar mycket illa med det svenska åtagandet enligt klima</w:t>
      </w:r>
      <w:r w:rsidRPr="008A1DE5">
        <w:t>t</w:t>
      </w:r>
      <w:r w:rsidRPr="008A1DE5">
        <w:t>konventionen</w:t>
      </w:r>
      <w:r w:rsidR="00F41ECE" w:rsidRPr="008A1DE5">
        <w:t xml:space="preserve"> och Kyotoprotokollet</w:t>
      </w:r>
      <w:r w:rsidRPr="008A1DE5">
        <w:t>. De regionala effekte</w:t>
      </w:r>
      <w:r w:rsidRPr="008A1DE5">
        <w:t>r</w:t>
      </w:r>
      <w:r w:rsidRPr="008A1DE5">
        <w:t xml:space="preserve">na på hälsa och miljö av andra utsläpp än växthusgaser </w:t>
      </w:r>
      <w:r w:rsidR="00F41ECE" w:rsidRPr="008A1DE5">
        <w:t xml:space="preserve">(svaveldioxid, kväveoxider, partiklar etc.) </w:t>
      </w:r>
      <w:r w:rsidRPr="008A1DE5">
        <w:t>kommer att bli påta</w:t>
      </w:r>
      <w:r w:rsidRPr="008A1DE5">
        <w:t>g</w:t>
      </w:r>
      <w:r w:rsidRPr="008A1DE5">
        <w:t>liga, inte minst i södra Sverige.</w:t>
      </w:r>
    </w:p>
    <w:p w:rsidR="00F076C1" w:rsidRPr="008A1DE5" w:rsidRDefault="00AC2B78" w:rsidP="00F076C1">
      <w:pPr>
        <w:pStyle w:val="Normaltindrag"/>
      </w:pPr>
      <w:r w:rsidRPr="008A1DE5">
        <w:t xml:space="preserve">Barsebäcks båda reaktorer har stängs med beslut enligt </w:t>
      </w:r>
      <w:r w:rsidR="009F4772" w:rsidRPr="008A1DE5">
        <w:t>l</w:t>
      </w:r>
      <w:r w:rsidRPr="008A1DE5">
        <w:t>ag</w:t>
      </w:r>
      <w:r w:rsidR="009F4772" w:rsidRPr="008A1DE5">
        <w:t>en</w:t>
      </w:r>
      <w:r w:rsidRPr="008A1DE5">
        <w:t xml:space="preserve"> (1997:1320) om kärnkraftens avveckling. </w:t>
      </w:r>
      <w:r w:rsidR="00F076C1" w:rsidRPr="008A1DE5">
        <w:t>Denna lag borde över huvud taget al</w:t>
      </w:r>
      <w:r w:rsidR="00F076C1" w:rsidRPr="008A1DE5">
        <w:t>d</w:t>
      </w:r>
      <w:r w:rsidR="00F076C1" w:rsidRPr="008A1DE5">
        <w:t>rig ha tillkommit och bör nu omedelbart avskaffas.</w:t>
      </w:r>
      <w:r w:rsidRPr="008A1DE5">
        <w:t xml:space="preserve"> Detta bör ges regeringen till känna.</w:t>
      </w:r>
    </w:p>
    <w:p w:rsidR="00F076C1" w:rsidRPr="008A1DE5" w:rsidRDefault="00F076C1" w:rsidP="005212D7">
      <w:pPr>
        <w:pStyle w:val="Rubrik2"/>
      </w:pPr>
      <w:bookmarkStart w:id="15" w:name="_Toc84392551"/>
      <w:bookmarkStart w:id="16" w:name="_Toc118353465"/>
      <w:r w:rsidRPr="008A1DE5">
        <w:t>Upphäv förbuden mot kärnkraft</w:t>
      </w:r>
      <w:bookmarkEnd w:id="15"/>
      <w:bookmarkEnd w:id="16"/>
    </w:p>
    <w:p w:rsidR="00EB4C4D" w:rsidRPr="008A1DE5" w:rsidRDefault="00EB4C4D" w:rsidP="00EB4C4D">
      <w:r w:rsidRPr="008A1DE5">
        <w:t>På grund av det växande hotet från utsläpp av växthusg</w:t>
      </w:r>
      <w:r w:rsidRPr="008A1DE5">
        <w:t>a</w:t>
      </w:r>
      <w:r w:rsidRPr="008A1DE5">
        <w:t xml:space="preserve">ser vill </w:t>
      </w:r>
      <w:r w:rsidR="009F4772" w:rsidRPr="008A1DE5">
        <w:t>F</w:t>
      </w:r>
      <w:r w:rsidRPr="008A1DE5">
        <w:t xml:space="preserve">olkpartiet inte utesluta en utbyggnad av kärnkraften, om riksdagens stränga krav på hälsa, </w:t>
      </w:r>
      <w:r w:rsidR="00F41ECE" w:rsidRPr="008A1DE5">
        <w:t xml:space="preserve">miljö och </w:t>
      </w:r>
      <w:r w:rsidRPr="008A1DE5">
        <w:t xml:space="preserve">säkerhet är uppfyllda. </w:t>
      </w:r>
      <w:r w:rsidR="006D7D9F" w:rsidRPr="008A1DE5">
        <w:t xml:space="preserve">Vi tror att Sverige behöver ett stort tillskott av elproduktion. </w:t>
      </w:r>
      <w:r w:rsidRPr="008A1DE5">
        <w:t>Disku</w:t>
      </w:r>
      <w:r w:rsidRPr="008A1DE5">
        <w:t>s</w:t>
      </w:r>
      <w:r w:rsidRPr="008A1DE5">
        <w:t>sioner om att bygga ut kärnkraft förs i många länder runt om i världen. I Fi</w:t>
      </w:r>
      <w:r w:rsidRPr="008A1DE5">
        <w:t>n</w:t>
      </w:r>
      <w:r w:rsidR="00F41ECE" w:rsidRPr="008A1DE5">
        <w:t>land har byggandet av en ny reaktor påbörjats</w:t>
      </w:r>
      <w:r w:rsidRPr="008A1DE5">
        <w:t>. Faktum är att det är fler länder runt om i världen som bygger nya kärnkraft</w:t>
      </w:r>
      <w:r w:rsidRPr="008A1DE5">
        <w:t>s</w:t>
      </w:r>
      <w:r w:rsidRPr="008A1DE5">
        <w:t>anläggningar än vad det är som stänger av.</w:t>
      </w:r>
    </w:p>
    <w:p w:rsidR="00F076C1" w:rsidRPr="008A1DE5" w:rsidRDefault="00F076C1" w:rsidP="00EB4C4D">
      <w:pPr>
        <w:pStyle w:val="Normaltindrag"/>
      </w:pPr>
      <w:r w:rsidRPr="008A1DE5">
        <w:t>Folkpartiet anser att de politiska hindren för en fortsatt och utvecklad a</w:t>
      </w:r>
      <w:r w:rsidRPr="008A1DE5">
        <w:t>n</w:t>
      </w:r>
      <w:r w:rsidRPr="008A1DE5">
        <w:t>vändning av kärnenergi måste tas bort. Vi anser inte att det finns några skäl att ha en bestämmelse (</w:t>
      </w:r>
      <w:smartTag w:uri="urn:schemas-microsoft-com:office:smarttags" w:element="metricconverter">
        <w:smartTagPr>
          <w:attr w:name="ProductID" w:val="5 a"/>
        </w:smartTagPr>
        <w:r w:rsidRPr="008A1DE5">
          <w:t>5 a</w:t>
        </w:r>
      </w:smartTag>
      <w:r w:rsidRPr="008A1DE5">
        <w:t xml:space="preserve"> § i kärntekniklagen) som förhindrar byggandet av kärnkraftsreaktorer i Sverige. Riksdagen bör därför besluta upphäva detta förbud.</w:t>
      </w:r>
    </w:p>
    <w:p w:rsidR="00F076C1" w:rsidRPr="008A1DE5" w:rsidRDefault="00F076C1" w:rsidP="00F076C1">
      <w:pPr>
        <w:pStyle w:val="Normaltindrag"/>
      </w:pPr>
      <w:r w:rsidRPr="008A1DE5">
        <w:t>Energibranschen gör bedömningen att, under förutsättning att EU:s kl</w:t>
      </w:r>
      <w:r w:rsidRPr="008A1DE5">
        <w:t>i</w:t>
      </w:r>
      <w:r w:rsidRPr="008A1DE5">
        <w:t xml:space="preserve">matpolitik fullföljs, det blir lönsamt att sälja el från </w:t>
      </w:r>
      <w:r w:rsidR="00EB4C4D" w:rsidRPr="008A1DE5">
        <w:t>nybyggd kärnkraft inom en 10</w:t>
      </w:r>
      <w:r w:rsidR="009F4772" w:rsidRPr="008A1DE5">
        <w:t>–</w:t>
      </w:r>
      <w:r w:rsidR="00EB4C4D" w:rsidRPr="008A1DE5">
        <w:t>20-</w:t>
      </w:r>
      <w:r w:rsidRPr="008A1DE5">
        <w:t>årsperiod. Nya tillkommande kärnreaktorer bör i så</w:t>
      </w:r>
      <w:r w:rsidR="00EB4C4D" w:rsidRPr="008A1DE5">
        <w:t xml:space="preserve"> </w:t>
      </w:r>
      <w:r w:rsidRPr="008A1DE5">
        <w:t>fall projekteras intill de befintliga reaktorer</w:t>
      </w:r>
      <w:r w:rsidR="00EB4C4D" w:rsidRPr="008A1DE5">
        <w:t>na</w:t>
      </w:r>
      <w:r w:rsidRPr="008A1DE5">
        <w:t xml:space="preserve"> i Fo</w:t>
      </w:r>
      <w:r w:rsidR="00EB4C4D" w:rsidRPr="008A1DE5">
        <w:t>rsmark, Oskarshamn och Ringhals, där det finns mark reserverad för fler reaktorer.</w:t>
      </w:r>
    </w:p>
    <w:p w:rsidR="00F076C1" w:rsidRPr="008A1DE5" w:rsidRDefault="00F076C1" w:rsidP="00F076C1">
      <w:pPr>
        <w:pStyle w:val="Normaltindrag"/>
      </w:pPr>
      <w:r w:rsidRPr="008A1DE5">
        <w:t>Det är dock väsentligt att påpeka att den typen av planekonomiskt tänka</w:t>
      </w:r>
      <w:r w:rsidRPr="008A1DE5">
        <w:t>n</w:t>
      </w:r>
      <w:r w:rsidRPr="008A1DE5">
        <w:t>de som styrde kärnkraftens utbyggnad under 1960- och 70-talen i Sverige var olyckligt. Det är inte</w:t>
      </w:r>
      <w:r w:rsidR="00F75A71" w:rsidRPr="008A1DE5">
        <w:t xml:space="preserve"> </w:t>
      </w:r>
      <w:r w:rsidRPr="008A1DE5">
        <w:t>riksdagen som ska bestämma i vilken ta</w:t>
      </w:r>
      <w:r w:rsidR="00F75A71" w:rsidRPr="008A1DE5">
        <w:t xml:space="preserve">kt nya reaktorer byggs, utan </w:t>
      </w:r>
      <w:r w:rsidR="00EC6B05" w:rsidRPr="008A1DE5">
        <w:t>elmarknaden</w:t>
      </w:r>
      <w:r w:rsidRPr="008A1DE5">
        <w:t xml:space="preserve"> själv. Statens uppgift är att utforma långsiktiga riktlinjer utifrån </w:t>
      </w:r>
      <w:r w:rsidR="00F41ECE" w:rsidRPr="008A1DE5">
        <w:t xml:space="preserve">hälso-, </w:t>
      </w:r>
      <w:r w:rsidRPr="008A1DE5">
        <w:t xml:space="preserve">miljö- och </w:t>
      </w:r>
      <w:r w:rsidR="00F75A71" w:rsidRPr="008A1DE5">
        <w:t>s</w:t>
      </w:r>
      <w:r w:rsidRPr="008A1DE5">
        <w:t>äkerhetskrav.</w:t>
      </w:r>
    </w:p>
    <w:p w:rsidR="00F076C1" w:rsidRPr="008A1DE5" w:rsidRDefault="00F076C1" w:rsidP="00F076C1">
      <w:pPr>
        <w:pStyle w:val="Rubrik2"/>
      </w:pPr>
      <w:bookmarkStart w:id="17" w:name="_Toc84392552"/>
      <w:bookmarkStart w:id="18" w:name="_Toc118353466"/>
      <w:r w:rsidRPr="008A1DE5">
        <w:t>Upphäv tankeförbudet</w:t>
      </w:r>
      <w:bookmarkEnd w:id="17"/>
      <w:bookmarkEnd w:id="18"/>
    </w:p>
    <w:p w:rsidR="00F076C1" w:rsidRPr="008A1DE5" w:rsidRDefault="00F076C1" w:rsidP="00F076C1">
      <w:r w:rsidRPr="008A1DE5">
        <w:t>År 1987 infördes en bestämmelse i kärntekniklagen (6 §) som stadgar att ingen får utarbeta konstruktionsritningar, beräkna kostnader, beställa utrus</w:t>
      </w:r>
      <w:r w:rsidRPr="008A1DE5">
        <w:t>t</w:t>
      </w:r>
      <w:r w:rsidRPr="008A1DE5">
        <w:t>ning eller vidta andra sådana förberedande åtgärder i syfte att inom landet uppföra en kärnkraftsreaktor. För brott mot bestämmelsen – som i dagligt tal kommit att få benämningen ”tankeförbudet” eller ”hjärntvättsparagrafen” – stadgas fängelse med en straffsats motsvarande den som gäller för vållande till annans död. Tankeförbudet har kritiserats från p</w:t>
      </w:r>
      <w:r w:rsidR="009F4772" w:rsidRPr="008A1DE5">
        <w:t>rincipiella utgångspunkter allt</w:t>
      </w:r>
      <w:r w:rsidRPr="008A1DE5">
        <w:t>sedan det tillkom. Förbudet har uppfattats som oförenligt med de principer om yttrande- och tankefrihet som bör ligga till grund för all lagstiftning</w:t>
      </w:r>
      <w:r w:rsidR="009F4772" w:rsidRPr="008A1DE5">
        <w:t>,</w:t>
      </w:r>
      <w:r w:rsidRPr="008A1DE5">
        <w:t xml:space="preserve"> och det har ansetts helt artfrämmande att använda en lagtext för att göra allmänna, politiska markeringar. </w:t>
      </w:r>
    </w:p>
    <w:p w:rsidR="00F076C1" w:rsidRPr="008A1DE5" w:rsidRDefault="00F076C1" w:rsidP="00F076C1">
      <w:pPr>
        <w:pStyle w:val="Normaltindrag"/>
      </w:pPr>
      <w:r w:rsidRPr="008A1DE5">
        <w:t>Tankeförbudet har en hämmande effekt på den akademiska friheten. Hö</w:t>
      </w:r>
      <w:r w:rsidRPr="008A1DE5">
        <w:t>s</w:t>
      </w:r>
      <w:r w:rsidRPr="008A1DE5">
        <w:t>ten 1995 undertecknade 102 svenska professorer och andra framstående for</w:t>
      </w:r>
      <w:r w:rsidRPr="008A1DE5">
        <w:t>s</w:t>
      </w:r>
      <w:r w:rsidRPr="008A1DE5">
        <w:t>kare från så gott som samtliga landets universitet och högskolor ett upprop till regeringen om avskaffande av tankeförbudet. Från forskarhåll har också hä</w:t>
      </w:r>
      <w:r w:rsidRPr="008A1DE5">
        <w:t>v</w:t>
      </w:r>
      <w:r w:rsidRPr="008A1DE5">
        <w:t>dats att bestämmelsen får skadliga effekter bl.a. genom att försvåra forskning kring hur man kan utvinna ytterligare energi ur kärnavfall, en forskning som med framgång pågår i bl.a. Förenta staterna. Den som skulle vilja visa hur ny kraftproduktion, baserad på kärnteknik, skulle kunna tillföras det svenska kraftsystemet kan inte göra detta utan att hotas av fängelse. Det kan t.o.m. ifrågasättas om det över</w:t>
      </w:r>
      <w:r w:rsidR="009F4772" w:rsidRPr="008A1DE5">
        <w:t xml:space="preserve"> </w:t>
      </w:r>
      <w:r w:rsidRPr="008A1DE5">
        <w:t>huvud</w:t>
      </w:r>
      <w:r w:rsidR="009F4772" w:rsidRPr="008A1DE5">
        <w:t xml:space="preserve"> </w:t>
      </w:r>
      <w:r w:rsidRPr="008A1DE5">
        <w:t xml:space="preserve">taget är möjligt att presentera genomarbetade och kostnadsberäknade alternativ till prövning i den energipolitiska debatten utan att begå lagbrott. </w:t>
      </w:r>
    </w:p>
    <w:p w:rsidR="00F076C1" w:rsidRPr="008A1DE5" w:rsidRDefault="00F076C1" w:rsidP="00F076C1">
      <w:pPr>
        <w:pStyle w:val="Normaltindrag"/>
      </w:pPr>
      <w:r w:rsidRPr="008A1DE5">
        <w:t>Förslag om slopande av tankeförbudet har behandlats av riksdagen vid ett flertal tillfällen. En bidragande orsak till att förslagen har avvisats torde vara att frågan har ansetts kopplad till den vidare energipolitiska frågeställningen om kärnkraftens framtid i vårt land. Något sådant samband föreligger eme</w:t>
      </w:r>
      <w:r w:rsidRPr="008A1DE5">
        <w:t>l</w:t>
      </w:r>
      <w:r w:rsidRPr="008A1DE5">
        <w:t xml:space="preserve">lertid inte, vilket bl.a. framgår av att t.o.m. </w:t>
      </w:r>
      <w:r w:rsidR="009F4772" w:rsidRPr="008A1DE5">
        <w:t>M</w:t>
      </w:r>
      <w:r w:rsidRPr="008A1DE5">
        <w:t>iljöpartiets företrädare i Energ</w:t>
      </w:r>
      <w:r w:rsidRPr="008A1DE5">
        <w:t>i</w:t>
      </w:r>
      <w:r w:rsidRPr="008A1DE5">
        <w:t>kommissionen instämde i att tankeförbudet utgör ”en inskränkning av me</w:t>
      </w:r>
      <w:r w:rsidRPr="008A1DE5">
        <w:t>d</w:t>
      </w:r>
      <w:r w:rsidRPr="008A1DE5">
        <w:t xml:space="preserve">borgerliga fri- och rättigheter som inte står i rimlig proportion till motiven”. </w:t>
      </w:r>
    </w:p>
    <w:p w:rsidR="00F076C1" w:rsidRPr="008A1DE5" w:rsidRDefault="00F076C1" w:rsidP="00F076C1">
      <w:pPr>
        <w:pStyle w:val="Normaltindrag"/>
      </w:pPr>
      <w:r w:rsidRPr="008A1DE5">
        <w:t xml:space="preserve">Att kritik mot tankeförbudet numera framförs oberoende av inställningen till kärnkraftens utnyttjande i Sverige borde möjliggöra </w:t>
      </w:r>
      <w:r w:rsidR="00F75A71" w:rsidRPr="008A1DE5">
        <w:t>en omprövning av tankeförbudet.</w:t>
      </w:r>
      <w:r w:rsidR="00F41ECE" w:rsidRPr="008A1DE5">
        <w:t xml:space="preserve"> Detta bör ges regeringen till</w:t>
      </w:r>
      <w:r w:rsidR="009F4772" w:rsidRPr="008A1DE5">
        <w:t xml:space="preserve"> </w:t>
      </w:r>
      <w:r w:rsidR="00F41ECE" w:rsidRPr="008A1DE5">
        <w:t>känna.</w:t>
      </w:r>
    </w:p>
    <w:p w:rsidR="00AD51ED" w:rsidRPr="008A1DE5" w:rsidRDefault="00AD51ED" w:rsidP="00AD51ED">
      <w:pPr>
        <w:pStyle w:val="Rubrik2"/>
      </w:pPr>
      <w:bookmarkStart w:id="19" w:name="_Toc118353467"/>
      <w:r w:rsidRPr="008A1DE5">
        <w:t>Skärp kärnkraftens försäkringsansvar</w:t>
      </w:r>
      <w:bookmarkEnd w:id="19"/>
    </w:p>
    <w:p w:rsidR="00AD51ED" w:rsidRPr="008A1DE5" w:rsidRDefault="00AD51ED" w:rsidP="00AD51ED">
      <w:r w:rsidRPr="008A1DE5">
        <w:t>Skadeståndsplikten för reaktorolyckor med kärnkraft regleras i Pariskonve</w:t>
      </w:r>
      <w:r w:rsidRPr="008A1DE5">
        <w:t>n</w:t>
      </w:r>
      <w:r w:rsidRPr="008A1DE5">
        <w:t>tionen, som i Sverige omsätts i atomansvarighetslagen. Ägaren till ett kär</w:t>
      </w:r>
      <w:r w:rsidRPr="008A1DE5">
        <w:t>n</w:t>
      </w:r>
      <w:r w:rsidRPr="008A1DE5">
        <w:t>kraftverk har hittills haft en begränsning av ersättningsbeloppet till 3,3 mi</w:t>
      </w:r>
      <w:r w:rsidRPr="008A1DE5">
        <w:t>l</w:t>
      </w:r>
      <w:r w:rsidRPr="008A1DE5">
        <w:t>jarder kronor per reaktor. Nyligen har Pariskonventionen ändrats och stadgar nu att miniminivån för ersättning är runt 6 miljarder kronor. Enligt vår m</w:t>
      </w:r>
      <w:r w:rsidRPr="008A1DE5">
        <w:t>e</w:t>
      </w:r>
      <w:r w:rsidRPr="008A1DE5">
        <w:t xml:space="preserve">ning </w:t>
      </w:r>
      <w:r w:rsidR="003D2B37" w:rsidRPr="008A1DE5">
        <w:t>ska</w:t>
      </w:r>
      <w:r w:rsidRPr="008A1DE5">
        <w:t xml:space="preserve"> atomansvarighetslagen anpassas till denna nya nivå i Pariskonve</w:t>
      </w:r>
      <w:r w:rsidRPr="008A1DE5">
        <w:t>n</w:t>
      </w:r>
      <w:r w:rsidRPr="008A1DE5">
        <w:t>tionen. Enligt atomansvarighetslagen gäller också att ägaren till ett kärnkraf</w:t>
      </w:r>
      <w:r w:rsidRPr="008A1DE5">
        <w:t>t</w:t>
      </w:r>
      <w:r w:rsidRPr="008A1DE5">
        <w:t xml:space="preserve">verk </w:t>
      </w:r>
      <w:r w:rsidR="003D2B37" w:rsidRPr="008A1DE5">
        <w:t>ska</w:t>
      </w:r>
      <w:r w:rsidRPr="008A1DE5">
        <w:t xml:space="preserve"> försäkra sig till motsvarande belopp. Detta bör ges regeringen till</w:t>
      </w:r>
      <w:r w:rsidR="009F4772" w:rsidRPr="008A1DE5">
        <w:t xml:space="preserve"> </w:t>
      </w:r>
      <w:r w:rsidRPr="008A1DE5">
        <w:t>känna.</w:t>
      </w:r>
    </w:p>
    <w:p w:rsidR="00AD51ED" w:rsidRPr="008A1DE5" w:rsidRDefault="00AD51ED" w:rsidP="00AD51ED">
      <w:pPr>
        <w:pStyle w:val="Rubrik2"/>
      </w:pPr>
      <w:bookmarkStart w:id="20" w:name="_Toc118353468"/>
      <w:r w:rsidRPr="008A1DE5">
        <w:t>Avskaffa effektskatten på kärnkraft</w:t>
      </w:r>
      <w:bookmarkEnd w:id="20"/>
    </w:p>
    <w:p w:rsidR="00F17C8B" w:rsidRPr="008A1DE5" w:rsidRDefault="00AD51ED" w:rsidP="00AD51ED">
      <w:r w:rsidRPr="008A1DE5">
        <w:t xml:space="preserve">Effektskatten på kärnkraft är världsunik och snedvrider konkurrensen mellan olika energislag och gynnar icke önskvärda energislag såsom fossila bränslen. </w:t>
      </w:r>
      <w:r w:rsidR="00F17C8B" w:rsidRPr="008A1DE5">
        <w:t>Denna skatt redovisas i budgetpropositionen som en s.k. skattesanktion, och regeringen beskriver den så här:</w:t>
      </w:r>
    </w:p>
    <w:p w:rsidR="00F17C8B" w:rsidRPr="008A1DE5" w:rsidRDefault="00F17C8B" w:rsidP="00F17C8B">
      <w:pPr>
        <w:pStyle w:val="Citat"/>
      </w:pPr>
      <w:r w:rsidRPr="008A1DE5">
        <w:t>Skatten kan likställas med en extraskatt som lagts på vissa företag och är därför att betrakta som en skattesanktion.</w:t>
      </w:r>
    </w:p>
    <w:p w:rsidR="00AD51ED" w:rsidRPr="008A1DE5" w:rsidRDefault="00F17C8B" w:rsidP="00FE548D">
      <w:r w:rsidRPr="008A1DE5">
        <w:t>Folkpartiet accepterar inte den här typen av godtyckliga</w:t>
      </w:r>
      <w:r w:rsidR="00DC148C" w:rsidRPr="008A1DE5">
        <w:t xml:space="preserve"> extraskatter på vissa företag. Vi säger definitivt nej till regeringens förslag </w:t>
      </w:r>
      <w:r w:rsidR="00FE548D" w:rsidRPr="008A1DE5">
        <w:t>till</w:t>
      </w:r>
      <w:r w:rsidR="00DC148C" w:rsidRPr="008A1DE5">
        <w:t xml:space="preserve"> höjning</w:t>
      </w:r>
      <w:r w:rsidR="00BB00A6" w:rsidRPr="008A1DE5">
        <w:t>.</w:t>
      </w:r>
      <w:r w:rsidR="00DC148C" w:rsidRPr="008A1DE5">
        <w:t xml:space="preserve"> </w:t>
      </w:r>
      <w:r w:rsidR="00BB00A6" w:rsidRPr="008A1DE5">
        <w:t>Vi v</w:t>
      </w:r>
      <w:r w:rsidR="00DC148C" w:rsidRPr="008A1DE5">
        <w:t>ill på et</w:t>
      </w:r>
      <w:r w:rsidR="00BB00A6" w:rsidRPr="008A1DE5">
        <w:t>t par års sikt fasa ut den helt.</w:t>
      </w:r>
      <w:r w:rsidR="00F41ECE" w:rsidRPr="008A1DE5">
        <w:t xml:space="preserve"> Detta bör ges regeringen till</w:t>
      </w:r>
      <w:r w:rsidR="00FE548D" w:rsidRPr="008A1DE5">
        <w:t xml:space="preserve"> </w:t>
      </w:r>
      <w:r w:rsidR="00F41ECE" w:rsidRPr="008A1DE5">
        <w:t>känna.</w:t>
      </w:r>
    </w:p>
    <w:p w:rsidR="00F076C1" w:rsidRPr="008A1DE5" w:rsidRDefault="00F076C1" w:rsidP="00F076C1">
      <w:pPr>
        <w:pStyle w:val="Rubrik1"/>
      </w:pPr>
      <w:bookmarkStart w:id="21" w:name="_Toc84392553"/>
      <w:bookmarkStart w:id="22" w:name="_Toc118353469"/>
      <w:r w:rsidRPr="008A1DE5">
        <w:t>Effektivare energiproduktion</w:t>
      </w:r>
      <w:bookmarkEnd w:id="21"/>
      <w:bookmarkEnd w:id="22"/>
    </w:p>
    <w:p w:rsidR="00F076C1" w:rsidRPr="008A1DE5" w:rsidRDefault="00F076C1" w:rsidP="00F076C1">
      <w:r w:rsidRPr="008A1DE5">
        <w:t xml:space="preserve">Det finns stora möjligheter att gå vidare med ytterligare effektiviseringar av energiproduktionen. Möjligheten att kombinera kraft- och värmeproduktion i </w:t>
      </w:r>
      <w:r w:rsidR="00EB4C4D" w:rsidRPr="008A1DE5">
        <w:t>kraftverk</w:t>
      </w:r>
      <w:r w:rsidR="000228E0" w:rsidRPr="008A1DE5">
        <w:t xml:space="preserve"> bör tas till</w:t>
      </w:r>
      <w:r w:rsidR="00FE548D" w:rsidRPr="008A1DE5">
        <w:t xml:space="preserve"> </w:t>
      </w:r>
      <w:r w:rsidR="000228E0" w:rsidRPr="008A1DE5">
        <w:t>vara.</w:t>
      </w:r>
    </w:p>
    <w:p w:rsidR="000228E0" w:rsidRPr="008A1DE5" w:rsidRDefault="000228E0" w:rsidP="000228E0">
      <w:pPr>
        <w:pStyle w:val="Normaltindrag"/>
      </w:pPr>
      <w:r w:rsidRPr="008A1DE5">
        <w:t>Konkurrensen på fjärrvärmemarknaden måste förbättras. Distributionen av hetvatten är ett naturligt monopol</w:t>
      </w:r>
      <w:r w:rsidR="00FE548D" w:rsidRPr="008A1DE5">
        <w:t>,</w:t>
      </w:r>
      <w:r w:rsidRPr="008A1DE5">
        <w:t xml:space="preserve"> vilket innebär en risk för monopolprissät</w:t>
      </w:r>
      <w:r w:rsidRPr="008A1DE5">
        <w:t>t</w:t>
      </w:r>
      <w:r w:rsidRPr="008A1DE5">
        <w:t>ning. En statlig utredning (SOU 2005:33) har nyligen presenterat förslag på detta område. Det är vår förhoppning att regeringen kommer med förslag om hur fjärrvärmemarknaden kan avmonopoliseras.  Vi menar att det är angeläget med omedelbara åtgärder för att stoppa den negativa utvecklingen. Exempel på åtgärder som kan vidtas utan ytterligare tidsutdräkt är skärpt pristillsyn, införande av ett system för s.k. benchmarkingkonkurrens, införande av utök</w:t>
      </w:r>
      <w:r w:rsidRPr="008A1DE5">
        <w:t>a</w:t>
      </w:r>
      <w:r w:rsidRPr="008A1DE5">
        <w:t>de möjligheter till tredjepartstillträde, inrättande av en instans för hantering av klagomål från konsumenter på priser och leveransvillkor samt förbättrade möjligheter att utnyttja spillvärme.</w:t>
      </w:r>
    </w:p>
    <w:p w:rsidR="00555C73" w:rsidRPr="008A1DE5" w:rsidRDefault="00555C73" w:rsidP="00F076C1">
      <w:pPr>
        <w:pStyle w:val="Normaltindrag"/>
      </w:pPr>
      <w:r w:rsidRPr="008A1DE5">
        <w:t>132 TWh kylvatten från kärnkraftverken släpps ut i havet till ingen nytta. I Sveriges första kommersiella kärnkraftverk i Ågesta, som var i drift 1964</w:t>
      </w:r>
      <w:r w:rsidR="00FE548D" w:rsidRPr="008A1DE5">
        <w:t>–</w:t>
      </w:r>
      <w:r w:rsidRPr="008A1DE5">
        <w:t xml:space="preserve">1974, </w:t>
      </w:r>
      <w:r w:rsidR="00FE548D" w:rsidRPr="008A1DE5">
        <w:t xml:space="preserve">tog man </w:t>
      </w:r>
      <w:r w:rsidRPr="008A1DE5">
        <w:t>vara på värmen och producerade både el och fjärrvärme. Mö</w:t>
      </w:r>
      <w:r w:rsidRPr="008A1DE5">
        <w:t>j</w:t>
      </w:r>
      <w:r w:rsidRPr="008A1DE5">
        <w:t>ligheterna att utnyttja värmen i kärnkraftverkens kylvatten, t.ex. för fjärrvä</w:t>
      </w:r>
      <w:r w:rsidRPr="008A1DE5">
        <w:t>r</w:t>
      </w:r>
      <w:r w:rsidRPr="008A1DE5">
        <w:t>me till närliggande städer, är därför stor</w:t>
      </w:r>
      <w:r w:rsidR="00FE548D" w:rsidRPr="008A1DE5">
        <w:t>a</w:t>
      </w:r>
      <w:r w:rsidRPr="008A1DE5">
        <w:t xml:space="preserve"> och bör utredas.</w:t>
      </w:r>
      <w:r w:rsidR="00F41ECE" w:rsidRPr="008A1DE5">
        <w:t xml:space="preserve"> Detta bör ges rege</w:t>
      </w:r>
      <w:r w:rsidR="00F41ECE" w:rsidRPr="008A1DE5">
        <w:t>r</w:t>
      </w:r>
      <w:r w:rsidR="00F41ECE" w:rsidRPr="008A1DE5">
        <w:t>ingen till</w:t>
      </w:r>
      <w:r w:rsidR="00FE548D" w:rsidRPr="008A1DE5">
        <w:t xml:space="preserve"> </w:t>
      </w:r>
      <w:r w:rsidR="00F41ECE" w:rsidRPr="008A1DE5">
        <w:t>känna.</w:t>
      </w:r>
    </w:p>
    <w:p w:rsidR="00F076C1" w:rsidRPr="008A1DE5" w:rsidRDefault="00F076C1" w:rsidP="00F076C1">
      <w:pPr>
        <w:pStyle w:val="Rubrik1"/>
      </w:pPr>
      <w:bookmarkStart w:id="23" w:name="_Toc84392555"/>
      <w:bookmarkStart w:id="24" w:name="_Toc118353470"/>
      <w:r w:rsidRPr="008A1DE5">
        <w:t>Energi utan subventioner</w:t>
      </w:r>
      <w:bookmarkEnd w:id="23"/>
      <w:bookmarkEnd w:id="24"/>
    </w:p>
    <w:p w:rsidR="0012189C" w:rsidRPr="008A1DE5" w:rsidRDefault="0012189C" w:rsidP="0012189C">
      <w:r w:rsidRPr="008A1DE5">
        <w:t>Inom de av politikerna fastställda ramarna förutsätter en fri energiproduktion att alla energislag klarar konkurrensen på marknaden utan subventioner. Att som idag stödja etablerad teknik är därför inte rimligt. Subventioner, energ</w:t>
      </w:r>
      <w:r w:rsidRPr="008A1DE5">
        <w:t>i</w:t>
      </w:r>
      <w:r w:rsidRPr="008A1DE5">
        <w:t>specifika skatter och bonussystem snedvrider konkurrensen, höjer priserna och försvårar därmed en rationell energiproduktion.</w:t>
      </w:r>
    </w:p>
    <w:p w:rsidR="005A0E4C" w:rsidRPr="008A1DE5" w:rsidRDefault="00A33877" w:rsidP="005A0E4C">
      <w:pPr>
        <w:pStyle w:val="Normaltindrag"/>
      </w:pPr>
      <w:r w:rsidRPr="008A1DE5">
        <w:t xml:space="preserve">För att undvika växthuseffekten är det </w:t>
      </w:r>
      <w:r w:rsidR="005A0E4C" w:rsidRPr="008A1DE5">
        <w:t xml:space="preserve">angeläget att minska utsläppen av fossil koldioxid från energisektorn, och det behövs ekonomiska styrmedel för att uppnå detta. Idag finns det dock ett lapptäcke med olika styrmedel som motiveras </w:t>
      </w:r>
      <w:r w:rsidRPr="008A1DE5">
        <w:t>med växthuseffekten. Det finns handel med utsläppsrätter, koldio</w:t>
      </w:r>
      <w:r w:rsidRPr="008A1DE5">
        <w:t>x</w:t>
      </w:r>
      <w:r w:rsidRPr="008A1DE5">
        <w:t>idskatt, elcertifikat och diverse direkta subventioner till främst vindkraft. Vi menar att ett sådant lapptäcke inte ger någon effektiv styrning, istället bör man sträva efter att ha färre, enklare och mer heltäckande system.</w:t>
      </w:r>
    </w:p>
    <w:p w:rsidR="00D5725B" w:rsidRPr="008A1DE5" w:rsidRDefault="00D5725B" w:rsidP="00D5725B">
      <w:pPr>
        <w:pStyle w:val="Rubrik2"/>
      </w:pPr>
      <w:bookmarkStart w:id="25" w:name="_Toc118353471"/>
      <w:r w:rsidRPr="008A1DE5">
        <w:t>Elcertifikat</w:t>
      </w:r>
      <w:bookmarkEnd w:id="25"/>
    </w:p>
    <w:p w:rsidR="00D5725B" w:rsidRPr="008A1DE5" w:rsidRDefault="00D5725B" w:rsidP="00D5725B">
      <w:r w:rsidRPr="008A1DE5">
        <w:t>Dagens elcertifikat</w:t>
      </w:r>
      <w:r w:rsidR="00FE548D" w:rsidRPr="008A1DE5">
        <w:t>s</w:t>
      </w:r>
      <w:r w:rsidRPr="008A1DE5">
        <w:t xml:space="preserve">system innebär en extra beskattning av </w:t>
      </w:r>
      <w:r w:rsidR="00FE548D" w:rsidRPr="008A1DE5">
        <w:t>bl.a.</w:t>
      </w:r>
      <w:r w:rsidRPr="008A1DE5">
        <w:t xml:space="preserve"> kärnkraft samtidigt som systemet subventionerar vindkraft och biobränsle. Sedan cert</w:t>
      </w:r>
      <w:r w:rsidRPr="008A1DE5">
        <w:t>i</w:t>
      </w:r>
      <w:r w:rsidRPr="008A1DE5">
        <w:t>fikaten infördes har reglerna ändrats ett antal gånger</w:t>
      </w:r>
      <w:r w:rsidR="00FE548D" w:rsidRPr="008A1DE5">
        <w:t>,</w:t>
      </w:r>
      <w:r w:rsidRPr="008A1DE5">
        <w:t xml:space="preserve"> och det skapar problem för såväl energiproducenter som konsumenter. Dessutom är systemet </w:t>
      </w:r>
      <w:r w:rsidR="00A33877" w:rsidRPr="008A1DE5">
        <w:t xml:space="preserve">feltänkt </w:t>
      </w:r>
      <w:r w:rsidRPr="008A1DE5">
        <w:t>eftersom bedömningen av vilka energikällor som berättigar till certifikat dels har ändrats över tiden</w:t>
      </w:r>
      <w:r w:rsidR="00FE548D" w:rsidRPr="008A1DE5">
        <w:t>,</w:t>
      </w:r>
      <w:r w:rsidRPr="008A1DE5">
        <w:t xml:space="preserve"> dels inte överensstämmer med energikällornas miljöe</w:t>
      </w:r>
      <w:r w:rsidRPr="008A1DE5">
        <w:t>f</w:t>
      </w:r>
      <w:r w:rsidRPr="008A1DE5">
        <w:t xml:space="preserve">fekter. </w:t>
      </w:r>
      <w:r w:rsidR="00A33877" w:rsidRPr="008A1DE5">
        <w:t>Det är t.ex. helt orimligt att torv gynnas, eftersom torv är att betrakta som ett fossilt bränsle. Elproducenter kan också råka ut för böter p</w:t>
      </w:r>
      <w:r w:rsidR="00FE548D" w:rsidRPr="008A1DE5">
        <w:t>å grund av</w:t>
      </w:r>
      <w:r w:rsidR="00A33877" w:rsidRPr="008A1DE5">
        <w:t xml:space="preserve"> ouppfyllda kvoter även om det inte finns någon ”korrekt” producerad el att köpa. </w:t>
      </w:r>
      <w:r w:rsidRPr="008A1DE5">
        <w:t xml:space="preserve">Inte </w:t>
      </w:r>
      <w:r w:rsidR="00A33877" w:rsidRPr="008A1DE5">
        <w:t xml:space="preserve">ens </w:t>
      </w:r>
      <w:r w:rsidRPr="008A1DE5">
        <w:t>de aktörer som gynnas av elcertifikaten, t.ex. vinkraftsprod</w:t>
      </w:r>
      <w:r w:rsidRPr="008A1DE5">
        <w:t>u</w:t>
      </w:r>
      <w:r w:rsidRPr="008A1DE5">
        <w:t>center, är nöjda med hur systemet fungerar. Därför bör elcertifikat</w:t>
      </w:r>
      <w:r w:rsidR="00FE548D" w:rsidRPr="008A1DE5">
        <w:t>s</w:t>
      </w:r>
      <w:r w:rsidRPr="008A1DE5">
        <w:t>systemet avvecklas. Detta bör ges regeringen till</w:t>
      </w:r>
      <w:r w:rsidR="00FE548D" w:rsidRPr="008A1DE5">
        <w:t xml:space="preserve"> </w:t>
      </w:r>
      <w:r w:rsidRPr="008A1DE5">
        <w:t>känna.</w:t>
      </w:r>
    </w:p>
    <w:p w:rsidR="00F076C1" w:rsidRPr="008A1DE5" w:rsidRDefault="00F076C1" w:rsidP="00F076C1">
      <w:pPr>
        <w:pStyle w:val="Rubrik1"/>
      </w:pPr>
      <w:bookmarkStart w:id="26" w:name="_Toc84392556"/>
      <w:bookmarkStart w:id="27" w:name="_Toc118353472"/>
      <w:r w:rsidRPr="008A1DE5">
        <w:t>Ny lovande energiteknik</w:t>
      </w:r>
      <w:bookmarkEnd w:id="26"/>
      <w:bookmarkEnd w:id="27"/>
    </w:p>
    <w:p w:rsidR="00F076C1" w:rsidRPr="008A1DE5" w:rsidRDefault="00F076C1" w:rsidP="00F076C1">
      <w:r w:rsidRPr="008A1DE5">
        <w:t xml:space="preserve">Vi vill </w:t>
      </w:r>
      <w:r w:rsidR="0069151D" w:rsidRPr="008A1DE5">
        <w:t xml:space="preserve">uppmärksamma </w:t>
      </w:r>
      <w:r w:rsidRPr="008A1DE5">
        <w:t>den kvalificerade kärntekniska forskning som bedrivs internationellt. Ett exempel på detta är forskningen kring acceleratordriven transmutation. Denna teknik öppnar för möjligheten att reducera de långliv</w:t>
      </w:r>
      <w:r w:rsidRPr="008A1DE5">
        <w:t>a</w:t>
      </w:r>
      <w:r w:rsidRPr="008A1DE5">
        <w:t xml:space="preserve">de ämnena i kärnavfallet kraftigt och öka den mängd energi som kan utvinnas ur bränsleråvaran. </w:t>
      </w:r>
    </w:p>
    <w:p w:rsidR="00F076C1" w:rsidRPr="008A1DE5" w:rsidRDefault="00F076C1" w:rsidP="00F076C1">
      <w:pPr>
        <w:pStyle w:val="Normaltindrag"/>
      </w:pPr>
      <w:r w:rsidRPr="008A1DE5">
        <w:t>Mycket FoU-arbete återstår innan dessa nya kärntekniker är möjliga att tillämpa. Det är dock viktigt att se långsiktigt på dessa frågor, inte minst med hänsyn till kommande generationers behov av kostnadseffektiva, säkra och miljövänliga energikällor och tillförlitliga metoder för hanteringen av det kärnavfall vi kommer att lämna efter oss.</w:t>
      </w:r>
    </w:p>
    <w:p w:rsidR="00F076C1" w:rsidRPr="008A1DE5" w:rsidRDefault="00F076C1" w:rsidP="00F076C1">
      <w:pPr>
        <w:pStyle w:val="Rubrik1"/>
      </w:pPr>
      <w:bookmarkStart w:id="28" w:name="_Toc84392557"/>
      <w:bookmarkStart w:id="29" w:name="_Toc118353473"/>
      <w:r w:rsidRPr="008A1DE5">
        <w:t>Förny</w:t>
      </w:r>
      <w:r w:rsidR="005212D7" w:rsidRPr="008A1DE5">
        <w:t>else</w:t>
      </w:r>
      <w:r w:rsidRPr="008A1DE5">
        <w:t>bara alternativ</w:t>
      </w:r>
      <w:bookmarkEnd w:id="28"/>
      <w:bookmarkEnd w:id="29"/>
    </w:p>
    <w:p w:rsidR="005212D7" w:rsidRPr="008A1DE5" w:rsidRDefault="005212D7" w:rsidP="005212D7">
      <w:r w:rsidRPr="008A1DE5">
        <w:t>Liberalism är utvecklingsoptimism. Vi ser i den tekniska utvecklingen mö</w:t>
      </w:r>
      <w:r w:rsidRPr="008A1DE5">
        <w:t>j</w:t>
      </w:r>
      <w:r w:rsidRPr="008A1DE5">
        <w:t>ligheter att lösa flera av dagens och morgondagens utsläppsproblem. Genom att stimulera och styra utvecklingen kan vi ersätta slösaktig och smutsig pr</w:t>
      </w:r>
      <w:r w:rsidRPr="008A1DE5">
        <w:t>o</w:t>
      </w:r>
      <w:r w:rsidRPr="008A1DE5">
        <w:t>duktion med resurssnålare och renare. Även om förväntningarna på förnye</w:t>
      </w:r>
      <w:r w:rsidRPr="008A1DE5">
        <w:t>l</w:t>
      </w:r>
      <w:r w:rsidRPr="008A1DE5">
        <w:t>sebara alternativ varit för hög</w:t>
      </w:r>
      <w:r w:rsidR="00FE548D" w:rsidRPr="008A1DE5">
        <w:t>a</w:t>
      </w:r>
      <w:r w:rsidRPr="008A1DE5">
        <w:t xml:space="preserve"> måste vi våga satsa långsiktigt. Vi vet att </w:t>
      </w:r>
      <w:r w:rsidR="00FE548D" w:rsidRPr="008A1DE5">
        <w:t xml:space="preserve">många utsläppsproblem kan lösas </w:t>
      </w:r>
      <w:r w:rsidRPr="008A1DE5">
        <w:t>genom stimulans av den tekniska utvec</w:t>
      </w:r>
      <w:r w:rsidRPr="008A1DE5">
        <w:t>k</w:t>
      </w:r>
      <w:r w:rsidRPr="008A1DE5">
        <w:t xml:space="preserve">lingen och snabbare spridning </w:t>
      </w:r>
      <w:r w:rsidR="00FE548D" w:rsidRPr="008A1DE5">
        <w:t xml:space="preserve">av </w:t>
      </w:r>
      <w:r w:rsidRPr="008A1DE5">
        <w:t>ny teknik. Vi måste våga satsa på ny fors</w:t>
      </w:r>
      <w:r w:rsidRPr="008A1DE5">
        <w:t>k</w:t>
      </w:r>
      <w:r w:rsidRPr="008A1DE5">
        <w:t>ning och ta kostnaden initialt för att åstadkomma en hållbar utveckling. E</w:t>
      </w:r>
      <w:r w:rsidRPr="008A1DE5">
        <w:t>x</w:t>
      </w:r>
      <w:r w:rsidRPr="008A1DE5">
        <w:t>empelvis bör Sverige satsa på forskning kring solceller och användning av vätgas som energibärare.</w:t>
      </w:r>
    </w:p>
    <w:p w:rsidR="00F076C1" w:rsidRPr="008A1DE5" w:rsidRDefault="00F076C1" w:rsidP="00F076C1">
      <w:pPr>
        <w:pStyle w:val="Normaltindrag"/>
      </w:pPr>
      <w:r w:rsidRPr="008A1DE5">
        <w:t>Vi vill dock varna för att ha för högt ställda för</w:t>
      </w:r>
      <w:r w:rsidR="00FE548D" w:rsidRPr="008A1DE5">
        <w:t>väntningar. 1980- och 1990-talen</w:t>
      </w:r>
      <w:r w:rsidRPr="008A1DE5">
        <w:t>s energipolitik har i mångt och mycket baserats på orealistiska förväntningar på förny</w:t>
      </w:r>
      <w:r w:rsidR="005212D7" w:rsidRPr="008A1DE5">
        <w:t>else</w:t>
      </w:r>
      <w:r w:rsidRPr="008A1DE5">
        <w:t>bara alternativ, vilket har lett till onödiga kostnader och större klimatpåverkan än nödvändigt.</w:t>
      </w:r>
      <w:r w:rsidR="005212D7" w:rsidRPr="008A1DE5">
        <w:t xml:space="preserve"> </w:t>
      </w:r>
      <w:r w:rsidRPr="008A1DE5">
        <w:t>Just nu talas det mycket om hav</w:t>
      </w:r>
      <w:r w:rsidRPr="008A1DE5">
        <w:t>s</w:t>
      </w:r>
      <w:r w:rsidRPr="008A1DE5">
        <w:t>baserad vindkraft som ett lovande alternativ. Det är dock svårare än man kan tro</w:t>
      </w:r>
      <w:r w:rsidR="00FE548D" w:rsidRPr="008A1DE5">
        <w:t xml:space="preserve"> att</w:t>
      </w:r>
      <w:r w:rsidRPr="008A1DE5">
        <w:t xml:space="preserve"> ordna överföringen in till elnätet, vilket kan leda till ganska stora kos</w:t>
      </w:r>
      <w:r w:rsidRPr="008A1DE5">
        <w:t>t</w:t>
      </w:r>
      <w:r w:rsidRPr="008A1DE5">
        <w:t>nader.</w:t>
      </w:r>
    </w:p>
    <w:p w:rsidR="00F076C1" w:rsidRPr="008A1DE5" w:rsidRDefault="005212D7" w:rsidP="00F076C1">
      <w:pPr>
        <w:pStyle w:val="Normaltindrag"/>
      </w:pPr>
      <w:r w:rsidRPr="008A1DE5">
        <w:t>En ökad användning av förnyelsebara alternativ ska alltid i första hand a</w:t>
      </w:r>
      <w:r w:rsidRPr="008A1DE5">
        <w:t>n</w:t>
      </w:r>
      <w:r w:rsidRPr="008A1DE5">
        <w:t>vändas för att minska användningen av fossila bränslen i Sverige och våra grannländer,</w:t>
      </w:r>
      <w:r w:rsidR="00F076C1" w:rsidRPr="008A1DE5">
        <w:t xml:space="preserve"> inte tas som intäkt för att avveckla kärnkraften.</w:t>
      </w:r>
    </w:p>
    <w:p w:rsidR="00F076C1" w:rsidRPr="008A1DE5" w:rsidRDefault="00F076C1" w:rsidP="00F076C1">
      <w:pPr>
        <w:pStyle w:val="Rubrik1"/>
      </w:pPr>
      <w:bookmarkStart w:id="30" w:name="_Toc84392559"/>
      <w:bookmarkStart w:id="31" w:name="_Toc118353474"/>
      <w:r w:rsidRPr="008A1DE5">
        <w:t>Redovisa de faktiska utsläppen</w:t>
      </w:r>
      <w:bookmarkEnd w:id="30"/>
      <w:bookmarkEnd w:id="31"/>
    </w:p>
    <w:p w:rsidR="00F076C1" w:rsidRPr="008A1DE5" w:rsidRDefault="00F076C1" w:rsidP="00F076C1">
      <w:r w:rsidRPr="008A1DE5">
        <w:t xml:space="preserve">Koldioxidutsläpp som genereras vid elproduktion i utländska kraftverk </w:t>
      </w:r>
      <w:r w:rsidR="0069151D" w:rsidRPr="008A1DE5">
        <w:t xml:space="preserve">när elen exporteras till Sverige </w:t>
      </w:r>
      <w:r w:rsidRPr="008A1DE5">
        <w:t xml:space="preserve">kommer inte med i den </w:t>
      </w:r>
      <w:r w:rsidR="00FE548D" w:rsidRPr="008A1DE5">
        <w:t>s</w:t>
      </w:r>
      <w:r w:rsidR="0069151D" w:rsidRPr="008A1DE5">
        <w:t xml:space="preserve">venska </w:t>
      </w:r>
      <w:r w:rsidRPr="008A1DE5">
        <w:t>statistiken</w:t>
      </w:r>
      <w:r w:rsidR="0069151D" w:rsidRPr="008A1DE5">
        <w:t xml:space="preserve"> över utsläpp, </w:t>
      </w:r>
      <w:r w:rsidRPr="008A1DE5">
        <w:t>eftersom vi inte räknar koldioxidutsläpp på importerad el. Utsläppen av koldioxid ifrån Danmark och Tyskland kommer, enligt Energimyndigh</w:t>
      </w:r>
      <w:r w:rsidRPr="008A1DE5">
        <w:t>e</w:t>
      </w:r>
      <w:r w:rsidRPr="008A1DE5">
        <w:t xml:space="preserve">ten, att öka med </w:t>
      </w:r>
      <w:r w:rsidR="00B64447" w:rsidRPr="008A1DE5">
        <w:t>4 mi</w:t>
      </w:r>
      <w:r w:rsidR="0034720A" w:rsidRPr="008A1DE5">
        <w:t xml:space="preserve">ljoner ton, vilket motsvarar </w:t>
      </w:r>
      <w:r w:rsidR="00B64447" w:rsidRPr="008A1DE5">
        <w:t xml:space="preserve">6 </w:t>
      </w:r>
      <w:r w:rsidR="00FE548D" w:rsidRPr="008A1DE5">
        <w:t>%</w:t>
      </w:r>
      <w:r w:rsidR="00B64447" w:rsidRPr="008A1DE5">
        <w:t xml:space="preserve"> av Sveriges </w:t>
      </w:r>
      <w:r w:rsidR="0034720A" w:rsidRPr="008A1DE5">
        <w:t>totala u</w:t>
      </w:r>
      <w:r w:rsidR="0034720A" w:rsidRPr="008A1DE5">
        <w:t>t</w:t>
      </w:r>
      <w:r w:rsidR="0034720A" w:rsidRPr="008A1DE5">
        <w:t>släpp av växthusgaser</w:t>
      </w:r>
      <w:r w:rsidR="00B64447" w:rsidRPr="008A1DE5">
        <w:t xml:space="preserve">, </w:t>
      </w:r>
      <w:r w:rsidR="00F75A71" w:rsidRPr="008A1DE5">
        <w:t>nu när Barsebäck 2 stängts</w:t>
      </w:r>
      <w:r w:rsidRPr="008A1DE5">
        <w:t xml:space="preserve"> av. </w:t>
      </w:r>
      <w:r w:rsidR="00B64447" w:rsidRPr="008A1DE5">
        <w:t>R</w:t>
      </w:r>
      <w:r w:rsidRPr="008A1DE5">
        <w:t xml:space="preserve">egeringen bör ändra sina beräkningsmetoder så att även dessa utsläpp blir synliga i </w:t>
      </w:r>
      <w:r w:rsidR="0069151D" w:rsidRPr="008A1DE5">
        <w:t xml:space="preserve">den svenska </w:t>
      </w:r>
      <w:r w:rsidRPr="008A1DE5">
        <w:t>statistiken.</w:t>
      </w:r>
    </w:p>
    <w:p w:rsidR="00320DD9" w:rsidRPr="008A1DE5" w:rsidRDefault="00F076C1" w:rsidP="00B52872">
      <w:pPr>
        <w:pStyle w:val="Rubrik1"/>
      </w:pPr>
      <w:bookmarkStart w:id="32" w:name="_Toc84392560"/>
      <w:bookmarkStart w:id="33" w:name="_Toc118353475"/>
      <w:r w:rsidRPr="008A1DE5">
        <w:t>Skapa konkurrens på hela elmarknaden</w:t>
      </w:r>
      <w:bookmarkEnd w:id="32"/>
      <w:bookmarkEnd w:id="33"/>
    </w:p>
    <w:p w:rsidR="00320DD9" w:rsidRPr="008A1DE5" w:rsidRDefault="004C6660" w:rsidP="00320DD9">
      <w:r w:rsidRPr="008A1DE5">
        <w:t>Folkpartiet är i grunden positiv</w:t>
      </w:r>
      <w:r w:rsidR="00FE548D" w:rsidRPr="008A1DE5">
        <w:t>t</w:t>
      </w:r>
      <w:r w:rsidRPr="008A1DE5">
        <w:t xml:space="preserve"> till avregleringen av elmarknaden som skett under senare år, det är bra att det nu finns alternativ för den enskilda kons</w:t>
      </w:r>
      <w:r w:rsidRPr="008A1DE5">
        <w:t>u</w:t>
      </w:r>
      <w:r w:rsidRPr="008A1DE5">
        <w:t xml:space="preserve">menten när det gäller val av elleverantör. </w:t>
      </w:r>
      <w:r w:rsidR="00320DD9" w:rsidRPr="008A1DE5">
        <w:t xml:space="preserve">Den svenska elmarknaden lider </w:t>
      </w:r>
      <w:r w:rsidRPr="008A1DE5">
        <w:t xml:space="preserve">dock </w:t>
      </w:r>
      <w:r w:rsidR="00320DD9" w:rsidRPr="008A1DE5">
        <w:t>av flera problem som hämmar konkurrensen och driver upp priserna.</w:t>
      </w:r>
    </w:p>
    <w:p w:rsidR="004C6660" w:rsidRPr="008A1DE5" w:rsidRDefault="004C6660" w:rsidP="004C6660">
      <w:pPr>
        <w:pStyle w:val="Rubrik2"/>
      </w:pPr>
      <w:bookmarkStart w:id="34" w:name="_Toc118353476"/>
      <w:r w:rsidRPr="008A1DE5">
        <w:t>Elproduktion</w:t>
      </w:r>
      <w:bookmarkEnd w:id="34"/>
    </w:p>
    <w:p w:rsidR="007C484D" w:rsidRPr="008A1DE5" w:rsidRDefault="007C484D" w:rsidP="00C8174B">
      <w:r w:rsidRPr="008A1DE5">
        <w:t xml:space="preserve">Idag </w:t>
      </w:r>
      <w:r w:rsidR="004C6660" w:rsidRPr="008A1DE5">
        <w:t>råder i praktiken oligopol på elproduktion i Sverige, de tre stora aktöre</w:t>
      </w:r>
      <w:r w:rsidR="004C6660" w:rsidRPr="008A1DE5">
        <w:t>r</w:t>
      </w:r>
      <w:r w:rsidR="004C6660" w:rsidRPr="008A1DE5">
        <w:t>na Vattenfall, Sydkraft och Fortum har tillsammans drygt 85 % av markn</w:t>
      </w:r>
      <w:r w:rsidR="004C6660" w:rsidRPr="008A1DE5">
        <w:t>a</w:t>
      </w:r>
      <w:r w:rsidR="004C6660" w:rsidRPr="008A1DE5">
        <w:t xml:space="preserve">den. </w:t>
      </w:r>
      <w:r w:rsidRPr="008A1DE5">
        <w:t>Så har det inte alltid varit, en rad uppköp och sammanslagningar ägde rum under perioden 1996</w:t>
      </w:r>
      <w:r w:rsidR="00FE548D" w:rsidRPr="008A1DE5">
        <w:t>–</w:t>
      </w:r>
      <w:r w:rsidRPr="008A1DE5">
        <w:t>2003. Det är beklagligt att konkurrensmyndigh</w:t>
      </w:r>
      <w:r w:rsidRPr="008A1DE5">
        <w:t>e</w:t>
      </w:r>
      <w:r w:rsidRPr="008A1DE5">
        <w:t>terna accepterade detta. I framtiden måste konkurrensmyndigheterna vara tuffare i sin granskning av elproduktionsmarknaden. Detta bör ges regeringen till</w:t>
      </w:r>
      <w:r w:rsidR="00FE548D" w:rsidRPr="008A1DE5">
        <w:t xml:space="preserve"> </w:t>
      </w:r>
      <w:r w:rsidRPr="008A1DE5">
        <w:t>känna.</w:t>
      </w:r>
    </w:p>
    <w:p w:rsidR="00DE5461" w:rsidRPr="008A1DE5" w:rsidRDefault="00DE5461" w:rsidP="00860155">
      <w:pPr>
        <w:pStyle w:val="Normaltindrag"/>
      </w:pPr>
      <w:r w:rsidRPr="008A1DE5">
        <w:t xml:space="preserve">Vi har en gemensam nordisk elmarknad där elen handlas på elbörsen Nordpool. I praktiken </w:t>
      </w:r>
      <w:r w:rsidR="00860155" w:rsidRPr="008A1DE5">
        <w:t>fungerar dock den gemensamma marknaden dåligt p</w:t>
      </w:r>
      <w:r w:rsidR="00FE548D" w:rsidRPr="008A1DE5">
        <w:t>å grund av</w:t>
      </w:r>
      <w:r w:rsidR="00860155" w:rsidRPr="008A1DE5">
        <w:t xml:space="preserve"> bristfällig överföringskapacitet mellan länderna, ofta är marknaden uppdelad i olika prisområden. En bättre integrerad nordisk marknad skulle gynna konkurrensen då de tre stora bolagens dominans skulle bli mindre på den större marknaden. Därför bör utbyggnaden av överföringskapaciteten prioriteras. Detta bör ges regeringen till</w:t>
      </w:r>
      <w:r w:rsidR="00D51CC6" w:rsidRPr="008A1DE5">
        <w:t xml:space="preserve"> </w:t>
      </w:r>
      <w:r w:rsidR="00860155" w:rsidRPr="008A1DE5">
        <w:t>känna.</w:t>
      </w:r>
    </w:p>
    <w:p w:rsidR="00C8174B" w:rsidRPr="008A1DE5" w:rsidRDefault="00C8174B" w:rsidP="00860155">
      <w:pPr>
        <w:pStyle w:val="Normaltindrag"/>
      </w:pPr>
      <w:r w:rsidRPr="008A1DE5">
        <w:t xml:space="preserve">På grund av olika regleringar är det svårt att bygga nya </w:t>
      </w:r>
      <w:r w:rsidR="0043326A" w:rsidRPr="008A1DE5">
        <w:t xml:space="preserve">större kraftverk i Sverige idag, detta bidrar till att begränsa konkurrensen. Det måste givetvis ställas hårda krav på </w:t>
      </w:r>
      <w:r w:rsidR="0069151D" w:rsidRPr="008A1DE5">
        <w:t xml:space="preserve">hälsa, </w:t>
      </w:r>
      <w:r w:rsidR="0043326A" w:rsidRPr="008A1DE5">
        <w:t>miljö</w:t>
      </w:r>
      <w:r w:rsidR="0069151D" w:rsidRPr="008A1DE5">
        <w:t xml:space="preserve"> och</w:t>
      </w:r>
      <w:r w:rsidR="0043326A" w:rsidRPr="008A1DE5">
        <w:t xml:space="preserve"> säkerhet</w:t>
      </w:r>
      <w:r w:rsidR="00D51CC6" w:rsidRPr="008A1DE5">
        <w:t>,</w:t>
      </w:r>
      <w:r w:rsidR="0043326A" w:rsidRPr="008A1DE5">
        <w:t xml:space="preserve"> men ändå vara möj</w:t>
      </w:r>
      <w:r w:rsidR="00330227" w:rsidRPr="008A1DE5">
        <w:t>ligt att bygga nya kraftverk.</w:t>
      </w:r>
    </w:p>
    <w:p w:rsidR="00320DD9" w:rsidRPr="008A1DE5" w:rsidRDefault="007C484D" w:rsidP="007C484D">
      <w:pPr>
        <w:pStyle w:val="Rubrik2"/>
      </w:pPr>
      <w:bookmarkStart w:id="35" w:name="_Toc118353477"/>
      <w:r w:rsidRPr="008A1DE5">
        <w:t>Elnät</w:t>
      </w:r>
      <w:r w:rsidR="00DE5461" w:rsidRPr="008A1DE5">
        <w:t xml:space="preserve"> och elhandel</w:t>
      </w:r>
      <w:bookmarkEnd w:id="35"/>
    </w:p>
    <w:p w:rsidR="007C484D" w:rsidRPr="008A1DE5" w:rsidRDefault="004D4F7C" w:rsidP="004D4F7C">
      <w:r w:rsidRPr="008A1DE5">
        <w:t xml:space="preserve">För elnät råder monopol genom områdeskoncession. Problemet här är att det i många fall är samma </w:t>
      </w:r>
      <w:r w:rsidR="00847059" w:rsidRPr="008A1DE5">
        <w:t>koncern</w:t>
      </w:r>
      <w:r w:rsidRPr="008A1DE5">
        <w:t xml:space="preserve"> som </w:t>
      </w:r>
      <w:r w:rsidR="0059604A" w:rsidRPr="008A1DE5">
        <w:t xml:space="preserve">producerar el, äger elnät och bedriver elhandel. Att samma </w:t>
      </w:r>
      <w:r w:rsidR="00847059" w:rsidRPr="008A1DE5">
        <w:t>koncern</w:t>
      </w:r>
      <w:r w:rsidR="0059604A" w:rsidRPr="008A1DE5">
        <w:t xml:space="preserve"> sysslar med både konkurrensutsatt</w:t>
      </w:r>
      <w:r w:rsidR="00D51CC6" w:rsidRPr="008A1DE5">
        <w:t xml:space="preserve"> verksamhet</w:t>
      </w:r>
      <w:r w:rsidR="0059604A" w:rsidRPr="008A1DE5">
        <w:t xml:space="preserve"> och monopolverksamhet </w:t>
      </w:r>
      <w:r w:rsidR="00A33877" w:rsidRPr="008A1DE5">
        <w:t>riskerar att leda</w:t>
      </w:r>
      <w:r w:rsidR="0059604A" w:rsidRPr="008A1DE5">
        <w:t xml:space="preserve"> till en osund korssubventionering som leder till utslagning av de elhandelsbolag som inte också äger elnät, det har man tydligt sett de senaste åren. Dessutom har elnätbolagen haft möjlighet att gynna ”sitt eget” elhandelsbolag genom att </w:t>
      </w:r>
      <w:r w:rsidR="00A76AA5" w:rsidRPr="008A1DE5">
        <w:t>förhala processen</w:t>
      </w:r>
      <w:r w:rsidR="0059604A" w:rsidRPr="008A1DE5">
        <w:t xml:space="preserve"> när kunderna vill byta</w:t>
      </w:r>
      <w:r w:rsidR="00860155" w:rsidRPr="008A1DE5">
        <w:t xml:space="preserve"> till annan leverantör</w:t>
      </w:r>
      <w:r w:rsidR="0059604A" w:rsidRPr="008A1DE5">
        <w:t>. Nu skärps ellagens krav på åtskillnad mellan elnät och produktion/handel, vilket är bra.</w:t>
      </w:r>
    </w:p>
    <w:p w:rsidR="00F076C1" w:rsidRPr="008A1DE5" w:rsidRDefault="009F706F" w:rsidP="00A76AA5">
      <w:pPr>
        <w:pStyle w:val="Normaltindrag"/>
      </w:pPr>
      <w:r w:rsidRPr="008A1DE5">
        <w:t>I</w:t>
      </w:r>
      <w:r w:rsidR="00F076C1" w:rsidRPr="008A1DE5">
        <w:t xml:space="preserve"> december 2004</w:t>
      </w:r>
      <w:r w:rsidR="00A76AA5" w:rsidRPr="008A1DE5">
        <w:t xml:space="preserve"> presenterade</w:t>
      </w:r>
      <w:r w:rsidRPr="008A1DE5">
        <w:t xml:space="preserve">s </w:t>
      </w:r>
      <w:r w:rsidR="00A76AA5" w:rsidRPr="008A1DE5">
        <w:t>”El- och naturgasmarknaderna</w:t>
      </w:r>
      <w:r w:rsidR="00EC6B05" w:rsidRPr="008A1DE5">
        <w:t xml:space="preserve"> – Energ</w:t>
      </w:r>
      <w:r w:rsidR="00EC6B05" w:rsidRPr="008A1DE5">
        <w:t>i</w:t>
      </w:r>
      <w:r w:rsidR="00EC6B05" w:rsidRPr="008A1DE5">
        <w:t>marknader i utveckling</w:t>
      </w:r>
      <w:r w:rsidR="00A76AA5" w:rsidRPr="008A1DE5">
        <w:t>” (SOU 2004:129). Utredningen föreslår att ett centralt anläggningsregister inrättas, vilket bl.a. skulle underlätta elleverantörsbyte. Detta förslag bör genomföras. Detta bör ges regeringen till</w:t>
      </w:r>
      <w:r w:rsidR="00D51CC6" w:rsidRPr="008A1DE5">
        <w:t xml:space="preserve"> </w:t>
      </w:r>
      <w:r w:rsidR="00A76AA5" w:rsidRPr="008A1DE5">
        <w:t>känna.</w:t>
      </w:r>
    </w:p>
    <w:p w:rsidR="0043326A" w:rsidRPr="008A1DE5" w:rsidRDefault="0043326A" w:rsidP="00A76AA5">
      <w:pPr>
        <w:pStyle w:val="Normaltindrag"/>
      </w:pPr>
      <w:r w:rsidRPr="008A1DE5">
        <w:t>Idag är många elkunder missnöjda med svårbegripliga elräkningar. Begri</w:t>
      </w:r>
      <w:r w:rsidRPr="008A1DE5">
        <w:t>p</w:t>
      </w:r>
      <w:r w:rsidRPr="008A1DE5">
        <w:t xml:space="preserve">liga elräkningar till hushållen är avgörande för att priskonkurrensen </w:t>
      </w:r>
      <w:r w:rsidR="003D2B37" w:rsidRPr="008A1DE5">
        <w:t>ska</w:t>
      </w:r>
      <w:r w:rsidRPr="008A1DE5">
        <w:t xml:space="preserve"> fu</w:t>
      </w:r>
      <w:r w:rsidRPr="008A1DE5">
        <w:t>n</w:t>
      </w:r>
      <w:r w:rsidRPr="008A1DE5">
        <w:t xml:space="preserve">gera och för att stimulera till energihushållning. </w:t>
      </w:r>
      <w:r w:rsidR="006D21B8" w:rsidRPr="008A1DE5">
        <w:t xml:space="preserve">Vi har tidigare föreslagit att det införs sanktioner mot elbolag som skickar ut obegripliga elräkningar. </w:t>
      </w:r>
      <w:r w:rsidRPr="008A1DE5">
        <w:t>Regeringen bör agera för att se till att elräkningarna blir begripligare.</w:t>
      </w:r>
    </w:p>
    <w:p w:rsidR="006D21B8" w:rsidRPr="008A1DE5" w:rsidRDefault="006D21B8" w:rsidP="006D21B8">
      <w:pPr>
        <w:pStyle w:val="Rubrik2"/>
      </w:pPr>
      <w:bookmarkStart w:id="36" w:name="_Toc118353478"/>
      <w:r w:rsidRPr="008A1DE5">
        <w:t>Konkurrensövervakning</w:t>
      </w:r>
      <w:bookmarkEnd w:id="36"/>
    </w:p>
    <w:p w:rsidR="006D21B8" w:rsidRPr="008A1DE5" w:rsidRDefault="006D21B8" w:rsidP="006D21B8">
      <w:r w:rsidRPr="008A1DE5">
        <w:t>Konkurrensövervakningen på elmarknaden har fungerat dåligt det senaste decenniet, och vi föreslår därför att den uppgiften flyttas från Energimyndi</w:t>
      </w:r>
      <w:r w:rsidRPr="008A1DE5">
        <w:t>g</w:t>
      </w:r>
      <w:r w:rsidRPr="008A1DE5">
        <w:t>heten till Konkurrensverket. Detta bör ges regeringen till</w:t>
      </w:r>
      <w:r w:rsidR="00D51CC6" w:rsidRPr="008A1DE5">
        <w:t xml:space="preserve"> </w:t>
      </w:r>
      <w:r w:rsidRPr="008A1DE5">
        <w:t>känna.</w:t>
      </w:r>
    </w:p>
    <w:p w:rsidR="004441CD" w:rsidRPr="008A1DE5" w:rsidRDefault="004441CD" w:rsidP="004441CD">
      <w:pPr>
        <w:pStyle w:val="Rubrik1"/>
      </w:pPr>
      <w:bookmarkStart w:id="37" w:name="_Toc84392561"/>
      <w:bookmarkStart w:id="38" w:name="_Toc84392554"/>
      <w:bookmarkStart w:id="39" w:name="_Toc118353479"/>
      <w:r w:rsidRPr="008A1DE5">
        <w:t>Det sårbara samhället</w:t>
      </w:r>
      <w:bookmarkEnd w:id="38"/>
      <w:bookmarkEnd w:id="39"/>
    </w:p>
    <w:p w:rsidR="004441CD" w:rsidRPr="008A1DE5" w:rsidRDefault="004441CD" w:rsidP="004441CD">
      <w:r w:rsidRPr="008A1DE5">
        <w:t>Vi lever i ett</w:t>
      </w:r>
      <w:r w:rsidR="00330227" w:rsidRPr="008A1DE5">
        <w:t xml:space="preserve"> modernt och tekni</w:t>
      </w:r>
      <w:r w:rsidRPr="008A1DE5">
        <w:t>k</w:t>
      </w:r>
      <w:r w:rsidR="00330227" w:rsidRPr="008A1DE5">
        <w:t>beroende samhälle</w:t>
      </w:r>
      <w:r w:rsidRPr="008A1DE5">
        <w:t>. Det ger oss många förd</w:t>
      </w:r>
      <w:r w:rsidRPr="008A1DE5">
        <w:t>e</w:t>
      </w:r>
      <w:r w:rsidRPr="008A1DE5">
        <w:t>lar, men det gör oss också extra sårbara för avbrott i elförsörjningen. För ett par år sedan slogs stora delar av USA:s östkust och hela strömförsörjningen i Italien ut p</w:t>
      </w:r>
      <w:r w:rsidR="00D51CC6" w:rsidRPr="008A1DE5">
        <w:t>å grund av</w:t>
      </w:r>
      <w:r w:rsidRPr="008A1DE5">
        <w:t xml:space="preserve"> tekniska fel. Representanter för den svenska kraftind</w:t>
      </w:r>
      <w:r w:rsidRPr="008A1DE5">
        <w:t>u</w:t>
      </w:r>
      <w:r w:rsidRPr="008A1DE5">
        <w:t>strin har försäkrat att detta inte kan hända i Sverige, men för två år sedan lamslogs också stora delar av södra Sverige och Mellansverige samt delar av Danmark av ett liknande strömavbrott. I år orsakade stormen Gudrun omfa</w:t>
      </w:r>
      <w:r w:rsidRPr="008A1DE5">
        <w:t>t</w:t>
      </w:r>
      <w:r w:rsidRPr="008A1DE5">
        <w:t>tande och långvariga strömavbrott i södra Sverige.</w:t>
      </w:r>
    </w:p>
    <w:p w:rsidR="004441CD" w:rsidRPr="008A1DE5" w:rsidRDefault="004441CD" w:rsidP="004441CD">
      <w:pPr>
        <w:pStyle w:val="Normaltindrag"/>
      </w:pPr>
      <w:r w:rsidRPr="008A1DE5">
        <w:t>I princip allt som var elberoende slogs ut: hissar, tåg, telefoner, ljus, vä</w:t>
      </w:r>
      <w:r w:rsidRPr="008A1DE5">
        <w:t>r</w:t>
      </w:r>
      <w:r w:rsidRPr="008A1DE5">
        <w:t>me, vatten, tunnelbanan, datorer m.m. Särskilt utsatta var delar av sjuk- och åldringsvården. Det visade sig efteråt att den reservkraft (främst diesel och gasturbiner) som fanns inte var tillräcklig, inte fungerade eller helt enkelt inte kopplades in p</w:t>
      </w:r>
      <w:r w:rsidR="00D51CC6" w:rsidRPr="008A1DE5">
        <w:t>å grund av</w:t>
      </w:r>
      <w:r w:rsidRPr="008A1DE5">
        <w:t xml:space="preserve"> oklara rutiner. I takt med att vi förfinar och låter d</w:t>
      </w:r>
      <w:r w:rsidR="00D51CC6" w:rsidRPr="008A1DE5">
        <w:t>e tekniska lösningarna bli allt</w:t>
      </w:r>
      <w:r w:rsidRPr="008A1DE5">
        <w:t>mer komplicerade ökar också behovet av reserv- och backupsystem. Om riskerna inte tas på större allvar riskerar ett större strömavbrott</w:t>
      </w:r>
      <w:r w:rsidR="00D51CC6" w:rsidRPr="008A1DE5">
        <w:t xml:space="preserve"> att</w:t>
      </w:r>
      <w:r w:rsidRPr="008A1DE5">
        <w:t xml:space="preserve"> leda till stora samhälleliga kostnader, som skulle kunna un</w:t>
      </w:r>
      <w:r w:rsidRPr="008A1DE5">
        <w:t>d</w:t>
      </w:r>
      <w:r w:rsidRPr="008A1DE5">
        <w:t>vikas med små resurser.</w:t>
      </w:r>
    </w:p>
    <w:p w:rsidR="00016474" w:rsidRPr="008A1DE5" w:rsidRDefault="00016474" w:rsidP="00016474">
      <w:pPr>
        <w:pStyle w:val="Normaltindrag"/>
      </w:pPr>
      <w:r w:rsidRPr="008A1DE5">
        <w:t>Det måste finnas starka ekonomiska incitament för nätbolagen att öka l</w:t>
      </w:r>
      <w:r w:rsidRPr="008A1DE5">
        <w:t>e</w:t>
      </w:r>
      <w:r w:rsidRPr="008A1DE5">
        <w:t>veranssäkerheten i elnätet. Därför behöver skadestånden till dem som drabbas av elavbrott höjas och kontrollen av nätbolagen ökas. Detta bör ges regerin</w:t>
      </w:r>
      <w:r w:rsidRPr="008A1DE5">
        <w:t>g</w:t>
      </w:r>
      <w:r w:rsidRPr="008A1DE5">
        <w:t>en till</w:t>
      </w:r>
      <w:r w:rsidR="00D51CC6" w:rsidRPr="008A1DE5">
        <w:t xml:space="preserve"> </w:t>
      </w:r>
      <w:r w:rsidRPr="008A1DE5">
        <w:t>känna.</w:t>
      </w:r>
    </w:p>
    <w:p w:rsidR="004441CD" w:rsidRPr="008A1DE5" w:rsidRDefault="004441CD" w:rsidP="004441CD">
      <w:pPr>
        <w:pStyle w:val="Normaltindrag"/>
      </w:pPr>
      <w:r w:rsidRPr="008A1DE5">
        <w:t>Den nya myndigheten Krisberedskapsmyndigheten (KBM) har tagit in uppgifter ifrån alla kommuner främst vad gäller förmågan till reservkraft inom äldrevården. Det är bra men uppgiften borde utvidgas till att omfatta hela kommunens reservkraftskapacitet. Detta bör ges regeringen till</w:t>
      </w:r>
      <w:r w:rsidR="00D51CC6" w:rsidRPr="008A1DE5">
        <w:t xml:space="preserve"> </w:t>
      </w:r>
      <w:r w:rsidRPr="008A1DE5">
        <w:t>känna.</w:t>
      </w:r>
    </w:p>
    <w:p w:rsidR="00F076C1" w:rsidRPr="008A1DE5" w:rsidRDefault="00F076C1" w:rsidP="00F076C1">
      <w:pPr>
        <w:pStyle w:val="Rubrik1"/>
      </w:pPr>
      <w:bookmarkStart w:id="40" w:name="_Toc118353480"/>
      <w:r w:rsidRPr="008A1DE5">
        <w:t>Strålningsrisker från kraftledningar</w:t>
      </w:r>
      <w:bookmarkEnd w:id="37"/>
      <w:bookmarkEnd w:id="40"/>
      <w:r w:rsidRPr="008A1DE5">
        <w:t xml:space="preserve"> </w:t>
      </w:r>
    </w:p>
    <w:p w:rsidR="00F076C1" w:rsidRPr="008A1DE5" w:rsidRDefault="00F076C1" w:rsidP="00F076C1">
      <w:r w:rsidRPr="008A1DE5">
        <w:t>Många kommuner vill av estetiska skäl eller med hänsyn till strålningsrisken gräva ned kraftledningar som i dag finns ovan jord. Forskningsresultaten avseende magnetfält och strålningsrisker är inte entydiga, men samhället borde ändå prioritera nedgrävning av kraftledningar i tätbebyggt område där barn vistas.</w:t>
      </w:r>
    </w:p>
    <w:p w:rsidR="00F076C1" w:rsidRPr="008A1DE5" w:rsidRDefault="00F076C1" w:rsidP="00F076C1">
      <w:pPr>
        <w:pStyle w:val="Normaltindrag"/>
      </w:pPr>
      <w:r w:rsidRPr="008A1DE5">
        <w:t>Eftersom ett samband mellan kraftledningars magnetfält och bl.a. leukemi inte kan uteslutas har Arbetarskyddsstyrelsen, Boverket, Elsäkerhetsverket, Socialstyrelsen och Statens strålskyddsinstitut i samråd utarbetat en s.k. fö</w:t>
      </w:r>
      <w:r w:rsidRPr="008A1DE5">
        <w:t>r</w:t>
      </w:r>
      <w:r w:rsidRPr="008A1DE5">
        <w:t>siktighetsprincip.</w:t>
      </w:r>
    </w:p>
    <w:p w:rsidR="00F076C1" w:rsidRPr="008A1DE5" w:rsidRDefault="00F076C1" w:rsidP="00F076C1">
      <w:pPr>
        <w:pStyle w:val="Normaltindrag"/>
      </w:pPr>
      <w:r w:rsidRPr="008A1DE5">
        <w:t>Försiktighetsprincipen innebär att om åtgärder som generellt minskar e</w:t>
      </w:r>
      <w:r w:rsidRPr="008A1DE5">
        <w:t>x</w:t>
      </w:r>
      <w:r w:rsidRPr="008A1DE5">
        <w:t>poneringen kan vidtas till rimliga kostnader och konsekvenser i övrigt bör det eftersträvas att reducera fält som avviker starkt från vad som kan anses no</w:t>
      </w:r>
      <w:r w:rsidRPr="008A1DE5">
        <w:t>r</w:t>
      </w:r>
      <w:r w:rsidRPr="008A1DE5">
        <w:t xml:space="preserve">malt i den aktuella miljön. När det gäller nya elanläggningar och byggnader bör målet redan vid planeringen vara att utforma och placera dessa så att exponeringen begränsas. Det övergripande syftet med försiktighetsprincipen är att på sikt reducera exponeringen för magnetfält för att minska risken att människor skadas. </w:t>
      </w:r>
    </w:p>
    <w:p w:rsidR="00F076C1" w:rsidRPr="008A1DE5" w:rsidRDefault="00F076C1" w:rsidP="00F076C1">
      <w:pPr>
        <w:pStyle w:val="Normaltindrag"/>
      </w:pPr>
      <w:r w:rsidRPr="008A1DE5">
        <w:t>Mot bakgrund av att det i dag finns bostadsområden, skolor och daghem som ligger nära kraftledningar och där barn dagligen vistas under längre tid, bör farhågorna om strålningsrisker tas på stort allvar. Elsäkerhetsverket fick våren 2001 i uppdrag av regeringen att utreda frågan om strålningsrisker. Det är viktigt att denna utredning nu ger resultat.</w:t>
      </w:r>
    </w:p>
    <w:p w:rsidR="00F076C1" w:rsidRPr="008A1DE5" w:rsidRDefault="00F076C1" w:rsidP="00F076C1">
      <w:pPr>
        <w:pStyle w:val="Rubrik1"/>
      </w:pPr>
      <w:bookmarkStart w:id="41" w:name="_Toc84392562"/>
      <w:bookmarkStart w:id="42" w:name="_Toc118353481"/>
      <w:r w:rsidRPr="008A1DE5">
        <w:t>Energisparande måste löna sig</w:t>
      </w:r>
      <w:bookmarkEnd w:id="41"/>
      <w:bookmarkEnd w:id="42"/>
    </w:p>
    <w:p w:rsidR="00F076C1" w:rsidRPr="008A1DE5" w:rsidRDefault="00F076C1" w:rsidP="00F076C1">
      <w:r w:rsidRPr="008A1DE5">
        <w:t>Det energipolitiska omställningsprogrammet har visat magert resultat. Vi anser att de satsningar som nu görs på information och åtgärder för att spara energi i hushållen är vällovliga. Det är emellertid enligt vår uppfattning ine</w:t>
      </w:r>
      <w:r w:rsidRPr="008A1DE5">
        <w:t>f</w:t>
      </w:r>
      <w:r w:rsidRPr="008A1DE5">
        <w:t>fektivt och opedagogiskt att kombinera sådana satsningar med ett fastighet</w:t>
      </w:r>
      <w:r w:rsidRPr="008A1DE5">
        <w:t>s</w:t>
      </w:r>
      <w:r w:rsidRPr="008A1DE5">
        <w:t xml:space="preserve">skattesystem som effektivt håller tillbaka fastighetsägares goda vilja att göra investeringar i olika energieffektiviseringslösningar. </w:t>
      </w:r>
      <w:r w:rsidR="001C071C" w:rsidRPr="008A1DE5">
        <w:t>Det är inte rimligt att personer som satsar på energibesparingar straffas genom ökad fastighetsskatt.</w:t>
      </w:r>
    </w:p>
    <w:p w:rsidR="00F076C1" w:rsidRPr="008A1DE5" w:rsidRDefault="00F076C1" w:rsidP="00F076C1">
      <w:pPr>
        <w:pStyle w:val="Normaltindrag"/>
      </w:pPr>
      <w:r w:rsidRPr="008A1DE5">
        <w:t>I detta sammanhang bör också nämnas att det är av vitalt intresse att ta till sig den kunskap som finns inom området byggteknik för att bygga mer ene</w:t>
      </w:r>
      <w:r w:rsidRPr="008A1DE5">
        <w:t>r</w:t>
      </w:r>
      <w:r w:rsidRPr="008A1DE5">
        <w:t xml:space="preserve">gisnåla hus. I en studie som gjorts på Chalmers tekniska högskola slås fast att vi inte bygger mer energisnåla hus nu än vad vi gjorde </w:t>
      </w:r>
      <w:r w:rsidR="003D2B37" w:rsidRPr="008A1DE5">
        <w:t>för 40 år sedan</w:t>
      </w:r>
      <w:r w:rsidRPr="008A1DE5">
        <w:t>. Snar</w:t>
      </w:r>
      <w:r w:rsidRPr="008A1DE5">
        <w:t>a</w:t>
      </w:r>
      <w:r w:rsidRPr="008A1DE5">
        <w:t>re tycks utvecklingen gå åt andra hållet, trots de stora framsteg som görs inom både byggmaterial och byggteknik. Kanske beror det på för dåliga ekonomi</w:t>
      </w:r>
      <w:r w:rsidRPr="008A1DE5">
        <w:t>s</w:t>
      </w:r>
      <w:r w:rsidRPr="008A1DE5">
        <w:t xml:space="preserve">ka incitament eller byggkrav från samhällets sida? </w:t>
      </w:r>
    </w:p>
    <w:p w:rsidR="00F076C1" w:rsidRPr="008A1DE5" w:rsidRDefault="00F076C1" w:rsidP="00F076C1">
      <w:pPr>
        <w:pStyle w:val="Normaltindrag"/>
      </w:pPr>
      <w:r w:rsidRPr="008A1DE5">
        <w:t>I ett nyligen avslutat byggprojekt i Lindås strax utanför Göteborg har man lyckats bygga energisnåla hus till i stort sett samma kostnad som för ett va</w:t>
      </w:r>
      <w:r w:rsidRPr="008A1DE5">
        <w:t>n</w:t>
      </w:r>
      <w:r w:rsidRPr="008A1DE5">
        <w:t>ligt bygge. Värmen i inomhusluften tas tillvara för såväl värmande av vatten som av huset i övrigt. Detta och andra liknande projekt måste få uppmuntran och kunna spridas till fler entreprenörer. Att få ned värmekostnaderna i ett hus till noll kronor sparar otroliga mängder energi. Detta innebär besparingar för en familj på flera tusen kronor i månaden. Även andra energisparande åtgärder som t.ex. bergvärme bör uppmuntras.</w:t>
      </w:r>
    </w:p>
    <w:p w:rsidR="00380620" w:rsidRPr="008A1DE5" w:rsidRDefault="00E3550D" w:rsidP="006770B8">
      <w:pPr>
        <w:pStyle w:val="Normaltindrag"/>
      </w:pPr>
      <w:r w:rsidRPr="008A1DE5">
        <w:t>Vi ställer oss dock skeptiska till det ensidiga fokus på att få bort elvärme som tycks finnas. Det är långt ifrån säkert att det ger någon förbättring av miljön att ersätta elvärme med småskalig eldning av ved eller pellets, som ofta är alternativet. Småskalig vedeldning kan vara både ineffektivt och häls</w:t>
      </w:r>
      <w:r w:rsidRPr="008A1DE5">
        <w:t>o</w:t>
      </w:r>
      <w:r w:rsidRPr="008A1DE5">
        <w:t xml:space="preserve">farligt om det görs på fel sätt. </w:t>
      </w:r>
      <w:r w:rsidR="006770B8" w:rsidRPr="008A1DE5">
        <w:t>Vedeldning ger utsläpp av hälsofarliga ämnen som polycykliska aromatiska kolväten (PAH), lättflyktiga organiska ämnen (VOC) och partiklar (PM</w:t>
      </w:r>
      <w:r w:rsidR="006770B8" w:rsidRPr="008A1DE5">
        <w:rPr>
          <w:szCs w:val="24"/>
          <w:vertAlign w:val="subscript"/>
        </w:rPr>
        <w:t>10</w:t>
      </w:r>
      <w:r w:rsidR="006770B8" w:rsidRPr="008A1DE5">
        <w:t xml:space="preserve">). Småskalig vedledning i tätorter kan vara en hälsofara, och orsakar ett antal förtida dödsfall varje år i Sverige. </w:t>
      </w:r>
      <w:r w:rsidRPr="008A1DE5">
        <w:t>Fokus måste ligga på att minska miljö- och hälsopåverkan, inte på att minska elanvän</w:t>
      </w:r>
      <w:r w:rsidRPr="008A1DE5">
        <w:t>d</w:t>
      </w:r>
      <w:r w:rsidRPr="008A1DE5">
        <w:t>ningen.</w:t>
      </w:r>
      <w:r w:rsidR="001C071C" w:rsidRPr="008A1DE5">
        <w:t xml:space="preserve"> </w:t>
      </w:r>
      <w:r w:rsidR="00380620" w:rsidRPr="008A1DE5">
        <w:t>Vi motsätter oss regeringens förslag till investeringsstöd för konvert</w:t>
      </w:r>
      <w:r w:rsidR="00380620" w:rsidRPr="008A1DE5">
        <w:t>e</w:t>
      </w:r>
      <w:r w:rsidR="00380620" w:rsidRPr="008A1DE5">
        <w:t>ring från direktverkande elvärme.</w:t>
      </w:r>
    </w:p>
    <w:p w:rsidR="009C7535" w:rsidRPr="008A1DE5" w:rsidRDefault="009C7535" w:rsidP="00AD51ED">
      <w:pPr>
        <w:pStyle w:val="Normaltindrag"/>
      </w:pPr>
      <w:r w:rsidRPr="008A1DE5">
        <w:t>Regeringens idé om ett investeringsstöd för konvertering av oljeuppvär</w:t>
      </w:r>
      <w:r w:rsidRPr="008A1DE5">
        <w:t>m</w:t>
      </w:r>
      <w:r w:rsidRPr="008A1DE5">
        <w:t xml:space="preserve">ning är </w:t>
      </w:r>
      <w:r w:rsidR="00254DF2" w:rsidRPr="008A1DE5">
        <w:t xml:space="preserve">däremot </w:t>
      </w:r>
      <w:r w:rsidRPr="008A1DE5">
        <w:t xml:space="preserve">intressant, </w:t>
      </w:r>
      <w:r w:rsidR="00254DF2" w:rsidRPr="008A1DE5">
        <w:t>för att komma till</w:t>
      </w:r>
      <w:r w:rsidR="00D51CC6" w:rsidRPr="008A1DE5">
        <w:t xml:space="preserve"> </w:t>
      </w:r>
      <w:r w:rsidR="00254DF2" w:rsidRPr="008A1DE5">
        <w:t>rätta med växthuseffekten är det viktigt att vi minska</w:t>
      </w:r>
      <w:r w:rsidR="00D51CC6" w:rsidRPr="008A1DE5">
        <w:t>r</w:t>
      </w:r>
      <w:r w:rsidR="00254DF2" w:rsidRPr="008A1DE5">
        <w:t xml:space="preserve"> användningen av fossila bränslen.</w:t>
      </w:r>
    </w:p>
    <w:p w:rsidR="005C1BDE" w:rsidRPr="008A1DE5" w:rsidRDefault="005C1BDE" w:rsidP="005C1BDE">
      <w:pPr>
        <w:pStyle w:val="Rubrik1"/>
      </w:pPr>
      <w:bookmarkStart w:id="43" w:name="_Toc114653708"/>
      <w:bookmarkStart w:id="44" w:name="_Toc118353482"/>
      <w:r w:rsidRPr="008A1DE5">
        <w:t>Skatter på energiområdet</w:t>
      </w:r>
      <w:bookmarkEnd w:id="44"/>
    </w:p>
    <w:p w:rsidR="005C1BDE" w:rsidRPr="008A1DE5" w:rsidRDefault="005C1BDE" w:rsidP="005C1BDE">
      <w:r w:rsidRPr="008A1DE5">
        <w:t>I utgiftsområde 21 finns det anmärkningsvärt mycket s.k. skatteutgifter, totalt över 9 miljarder (att jämföra med de reguljära utgifterna på 1,7 miljarder).</w:t>
      </w:r>
    </w:p>
    <w:p w:rsidR="002D4F6D" w:rsidRPr="008A1DE5" w:rsidRDefault="005C1BDE" w:rsidP="002D4F6D">
      <w:pPr>
        <w:pStyle w:val="Normaltindrag"/>
      </w:pPr>
      <w:r w:rsidRPr="008A1DE5">
        <w:t xml:space="preserve">Folkpartiet motsätter sig </w:t>
      </w:r>
      <w:r w:rsidR="00D51CC6" w:rsidRPr="008A1DE5">
        <w:t>att torv är befriad</w:t>
      </w:r>
      <w:r w:rsidR="00F17C8B" w:rsidRPr="008A1DE5">
        <w:t xml:space="preserve"> från koldioxidskatt. Vi menar att torv är att betrakta som ett fossilt bränsle då det inte återbildas inom rimlig tid, d</w:t>
      </w:r>
      <w:r w:rsidR="00CE5AEE" w:rsidRPr="008A1DE5">
        <w:t>ärför bör koldioxidskatt tas ut på torv.</w:t>
      </w:r>
      <w:r w:rsidR="000861AF" w:rsidRPr="008A1DE5">
        <w:t xml:space="preserve"> Vi ser heller ingen anledning till att</w:t>
      </w:r>
      <w:r w:rsidR="00D51CC6" w:rsidRPr="008A1DE5">
        <w:t xml:space="preserve"> torv ska vara befriad</w:t>
      </w:r>
      <w:r w:rsidR="000861AF" w:rsidRPr="008A1DE5">
        <w:t xml:space="preserve"> från energiskatt.</w:t>
      </w:r>
    </w:p>
    <w:p w:rsidR="002D4F6D" w:rsidRPr="008A1DE5" w:rsidRDefault="00266CD8" w:rsidP="002D4F6D">
      <w:pPr>
        <w:pStyle w:val="Normaltindrag"/>
      </w:pPr>
      <w:r w:rsidRPr="008A1DE5">
        <w:t>Folkpartiet anser att v</w:t>
      </w:r>
      <w:r w:rsidR="00CE5AEE" w:rsidRPr="008A1DE5">
        <w:t xml:space="preserve">i bör sträva efter att all verksamhet som bidrar till växthuseffekten träffas av ekonomiska styrmedel, och </w:t>
      </w:r>
      <w:r w:rsidRPr="008A1DE5">
        <w:t>vill därför avskaffa undantagen från koldioxidskatt</w:t>
      </w:r>
      <w:r w:rsidR="00CE5AEE" w:rsidRPr="008A1DE5">
        <w:t xml:space="preserve">. </w:t>
      </w:r>
      <w:r w:rsidRPr="008A1DE5">
        <w:t xml:space="preserve">Vi motsätter oss alltså </w:t>
      </w:r>
      <w:r w:rsidR="0053696F" w:rsidRPr="008A1DE5">
        <w:t xml:space="preserve">i princip </w:t>
      </w:r>
      <w:r w:rsidR="00D51CC6" w:rsidRPr="008A1DE5">
        <w:t>att elprodu</w:t>
      </w:r>
      <w:r w:rsidR="00D51CC6" w:rsidRPr="008A1DE5">
        <w:t>k</w:t>
      </w:r>
      <w:r w:rsidR="00D51CC6" w:rsidRPr="008A1DE5">
        <w:t>tion är befriad</w:t>
      </w:r>
      <w:r w:rsidRPr="008A1DE5">
        <w:t xml:space="preserve"> från koldioxidskatt, samt </w:t>
      </w:r>
      <w:r w:rsidR="00CE5AEE" w:rsidRPr="008A1DE5">
        <w:t>nedsättning av koldioxidskatten på kraftvärme och på fjärrvärmeleveranser till industrin.</w:t>
      </w:r>
      <w:r w:rsidR="00AF73A7" w:rsidRPr="008A1DE5">
        <w:t xml:space="preserve"> </w:t>
      </w:r>
      <w:r w:rsidR="0053696F" w:rsidRPr="008A1DE5">
        <w:t xml:space="preserve">Vi menar att man måste sträva efter ett enkelt, överskådligt och långsiktigt hållbart energiskattesystem utan mängder med undantag. </w:t>
      </w:r>
      <w:r w:rsidR="00AF73A7" w:rsidRPr="008A1DE5">
        <w:t xml:space="preserve">På grund av regeringens skadliga politik riskerar dock ett snabbt avskaffande av dessa undantag att drabba industrin orimligt hårt. Därför </w:t>
      </w:r>
      <w:r w:rsidR="0053696F" w:rsidRPr="008A1DE5">
        <w:t>låter vi undantagen kvarstå tillsvidare, men vi har för avsikt att fasa ut dem på sikt i takt med att vår energipolitik får genomslag. Vi vill inte straffa industrin för att regeringen har en dålig energipolitik.</w:t>
      </w:r>
    </w:p>
    <w:p w:rsidR="00090200" w:rsidRPr="008A1DE5" w:rsidRDefault="00D8738E" w:rsidP="002D4F6D">
      <w:pPr>
        <w:pStyle w:val="Normaltindrag"/>
      </w:pPr>
      <w:r w:rsidRPr="008A1DE5">
        <w:t>Effektskatten på kärnkraft är världsunik och snedvrider konkurrensen me</w:t>
      </w:r>
      <w:r w:rsidRPr="008A1DE5">
        <w:t>l</w:t>
      </w:r>
      <w:r w:rsidRPr="008A1DE5">
        <w:t>lan olika energislag och gynnar icke önskvärda energislag såsom fossila bränslen. Denna skatt redovisas i budgetpropositionen som en s.k. skattesan</w:t>
      </w:r>
      <w:r w:rsidRPr="008A1DE5">
        <w:t>k</w:t>
      </w:r>
      <w:r w:rsidRPr="008A1DE5">
        <w:t>tion, och regeringen beskriver den så här: ”</w:t>
      </w:r>
      <w:r w:rsidRPr="008A1DE5">
        <w:rPr>
          <w:i/>
        </w:rPr>
        <w:t>Skatten kan likställas med en e</w:t>
      </w:r>
      <w:r w:rsidRPr="008A1DE5">
        <w:rPr>
          <w:i/>
        </w:rPr>
        <w:t>x</w:t>
      </w:r>
      <w:r w:rsidRPr="008A1DE5">
        <w:rPr>
          <w:i/>
        </w:rPr>
        <w:t>traskatt som lagts på vissa företag och är därför att betrakta som en skatt</w:t>
      </w:r>
      <w:r w:rsidRPr="008A1DE5">
        <w:rPr>
          <w:i/>
        </w:rPr>
        <w:t>e</w:t>
      </w:r>
      <w:r w:rsidRPr="008A1DE5">
        <w:rPr>
          <w:i/>
        </w:rPr>
        <w:t>sanktion.</w:t>
      </w:r>
      <w:r w:rsidRPr="008A1DE5">
        <w:t>” Folkpartiet accepterar inte den här typen av omotiverade extraska</w:t>
      </w:r>
      <w:r w:rsidRPr="008A1DE5">
        <w:t>t</w:t>
      </w:r>
      <w:r w:rsidRPr="008A1DE5">
        <w:t>ter på vissa företag. Vi säger definitivt nej till regeringens förslag på höjning. Vi vill på sikt fasa ut den helt</w:t>
      </w:r>
      <w:r w:rsidR="00D51CC6" w:rsidRPr="008A1DE5">
        <w:t>.</w:t>
      </w:r>
    </w:p>
    <w:p w:rsidR="008F3912" w:rsidRPr="008A1DE5" w:rsidRDefault="008F3912" w:rsidP="00E204CD">
      <w:pPr>
        <w:pStyle w:val="Normaltindrag"/>
        <w:spacing w:before="125"/>
        <w:ind w:firstLine="0"/>
        <w:rPr>
          <w:b/>
        </w:rPr>
      </w:pPr>
      <w:r w:rsidRPr="008A1DE5">
        <w:rPr>
          <w:b/>
        </w:rPr>
        <w:t>Skatteutgifter Utgiftsområde 21</w:t>
      </w:r>
    </w:p>
    <w:tbl>
      <w:tblPr>
        <w:tblStyle w:val="Tabellrutnt1"/>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414"/>
        <w:gridCol w:w="1180"/>
        <w:gridCol w:w="1180"/>
        <w:gridCol w:w="1180"/>
      </w:tblGrid>
      <w:tr w:rsidR="00BB00A6" w:rsidRPr="008A1DE5">
        <w:tc>
          <w:tcPr>
            <w:tcW w:w="2495" w:type="dxa"/>
            <w:tcBorders>
              <w:top w:val="single" w:sz="4" w:space="0" w:color="auto"/>
              <w:bottom w:val="single" w:sz="4" w:space="0" w:color="auto"/>
            </w:tcBorders>
          </w:tcPr>
          <w:p w:rsidR="00BB00A6" w:rsidRPr="008A1DE5" w:rsidRDefault="00BB00A6" w:rsidP="008F3912">
            <w:pPr>
              <w:pStyle w:val="KantRubrikS5V"/>
              <w:widowControl/>
              <w:tabs>
                <w:tab w:val="clear" w:pos="1814"/>
                <w:tab w:val="clear" w:pos="1899"/>
              </w:tabs>
              <w:suppressAutoHyphens w:val="0"/>
              <w:spacing w:before="60" w:line="200" w:lineRule="exact"/>
              <w:rPr>
                <w:b/>
                <w:noProof w:val="0"/>
                <w:spacing w:val="0"/>
                <w:szCs w:val="16"/>
                <w:lang w:val="sv-SE"/>
              </w:rPr>
            </w:pPr>
            <w:r w:rsidRPr="008A1DE5">
              <w:rPr>
                <w:b/>
                <w:noProof w:val="0"/>
                <w:spacing w:val="0"/>
                <w:szCs w:val="16"/>
                <w:lang w:val="sv-SE"/>
              </w:rPr>
              <w:t>Skatteutgift (miljoner</w:t>
            </w:r>
            <w:r w:rsidR="00512D8E" w:rsidRPr="008A1DE5">
              <w:rPr>
                <w:b/>
                <w:noProof w:val="0"/>
                <w:spacing w:val="0"/>
                <w:szCs w:val="16"/>
                <w:lang w:val="sv-SE"/>
              </w:rPr>
              <w:br/>
            </w:r>
            <w:r w:rsidRPr="008A1DE5">
              <w:rPr>
                <w:b/>
                <w:noProof w:val="0"/>
                <w:spacing w:val="0"/>
                <w:szCs w:val="16"/>
                <w:lang w:val="sv-SE"/>
              </w:rPr>
              <w:t>kr</w:t>
            </w:r>
            <w:r w:rsidRPr="008A1DE5">
              <w:rPr>
                <w:b/>
                <w:noProof w:val="0"/>
                <w:spacing w:val="0"/>
                <w:szCs w:val="16"/>
                <w:lang w:val="sv-SE"/>
              </w:rPr>
              <w:t>o</w:t>
            </w:r>
            <w:r w:rsidRPr="008A1DE5">
              <w:rPr>
                <w:b/>
                <w:noProof w:val="0"/>
                <w:spacing w:val="0"/>
                <w:szCs w:val="16"/>
                <w:lang w:val="sv-SE"/>
              </w:rPr>
              <w:t>nor)</w:t>
            </w:r>
          </w:p>
        </w:tc>
        <w:tc>
          <w:tcPr>
            <w:tcW w:w="1215" w:type="dxa"/>
            <w:tcBorders>
              <w:top w:val="single" w:sz="4" w:space="0" w:color="auto"/>
              <w:bottom w:val="single" w:sz="4" w:space="0" w:color="auto"/>
            </w:tcBorders>
          </w:tcPr>
          <w:p w:rsidR="00BB00A6" w:rsidRPr="008A1DE5" w:rsidRDefault="00BB00A6" w:rsidP="00E204CD">
            <w:pPr>
              <w:spacing w:before="60" w:line="200" w:lineRule="exact"/>
              <w:rPr>
                <w:b/>
                <w:sz w:val="16"/>
                <w:szCs w:val="16"/>
              </w:rPr>
            </w:pPr>
            <w:r w:rsidRPr="008A1DE5">
              <w:rPr>
                <w:b/>
                <w:sz w:val="16"/>
                <w:szCs w:val="16"/>
              </w:rPr>
              <w:t>Förändrin</w:t>
            </w:r>
            <w:r w:rsidRPr="008A1DE5">
              <w:rPr>
                <w:b/>
                <w:sz w:val="16"/>
                <w:szCs w:val="16"/>
              </w:rPr>
              <w:t>g</w:t>
            </w:r>
            <w:r w:rsidRPr="008A1DE5">
              <w:rPr>
                <w:b/>
                <w:sz w:val="16"/>
                <w:szCs w:val="16"/>
              </w:rPr>
              <w:t>ar 2006</w:t>
            </w:r>
          </w:p>
        </w:tc>
        <w:tc>
          <w:tcPr>
            <w:tcW w:w="1215" w:type="dxa"/>
            <w:tcBorders>
              <w:top w:val="single" w:sz="4" w:space="0" w:color="auto"/>
              <w:bottom w:val="single" w:sz="4" w:space="0" w:color="auto"/>
            </w:tcBorders>
          </w:tcPr>
          <w:p w:rsidR="00BB00A6" w:rsidRPr="008A1DE5" w:rsidRDefault="00BB00A6" w:rsidP="00E204CD">
            <w:pPr>
              <w:spacing w:before="60" w:line="200" w:lineRule="exact"/>
              <w:rPr>
                <w:b/>
                <w:sz w:val="16"/>
                <w:szCs w:val="16"/>
              </w:rPr>
            </w:pPr>
            <w:r w:rsidRPr="008A1DE5">
              <w:rPr>
                <w:b/>
                <w:sz w:val="16"/>
                <w:szCs w:val="16"/>
              </w:rPr>
              <w:t>Förän</w:t>
            </w:r>
            <w:r w:rsidRPr="008A1DE5">
              <w:rPr>
                <w:b/>
                <w:sz w:val="16"/>
                <w:szCs w:val="16"/>
              </w:rPr>
              <w:t>d</w:t>
            </w:r>
            <w:r w:rsidRPr="008A1DE5">
              <w:rPr>
                <w:b/>
                <w:sz w:val="16"/>
                <w:szCs w:val="16"/>
              </w:rPr>
              <w:t>ringar 2007</w:t>
            </w:r>
          </w:p>
        </w:tc>
        <w:tc>
          <w:tcPr>
            <w:tcW w:w="1215" w:type="dxa"/>
            <w:tcBorders>
              <w:top w:val="single" w:sz="4" w:space="0" w:color="auto"/>
              <w:bottom w:val="single" w:sz="4" w:space="0" w:color="auto"/>
            </w:tcBorders>
          </w:tcPr>
          <w:p w:rsidR="00BB00A6" w:rsidRPr="008A1DE5" w:rsidRDefault="00BB00A6" w:rsidP="00E204CD">
            <w:pPr>
              <w:spacing w:before="60" w:line="200" w:lineRule="exact"/>
              <w:rPr>
                <w:b/>
                <w:sz w:val="16"/>
                <w:szCs w:val="16"/>
              </w:rPr>
            </w:pPr>
            <w:r w:rsidRPr="008A1DE5">
              <w:rPr>
                <w:b/>
                <w:sz w:val="16"/>
                <w:szCs w:val="16"/>
              </w:rPr>
              <w:t>Förän</w:t>
            </w:r>
            <w:r w:rsidRPr="008A1DE5">
              <w:rPr>
                <w:b/>
                <w:sz w:val="16"/>
                <w:szCs w:val="16"/>
              </w:rPr>
              <w:t>d</w:t>
            </w:r>
            <w:r w:rsidRPr="008A1DE5">
              <w:rPr>
                <w:b/>
                <w:sz w:val="16"/>
                <w:szCs w:val="16"/>
              </w:rPr>
              <w:t>ringar 2008</w:t>
            </w:r>
          </w:p>
        </w:tc>
      </w:tr>
      <w:tr w:rsidR="00BB00A6" w:rsidRPr="008A1DE5">
        <w:tc>
          <w:tcPr>
            <w:tcW w:w="2495" w:type="dxa"/>
            <w:tcBorders>
              <w:top w:val="single" w:sz="4" w:space="0" w:color="auto"/>
            </w:tcBorders>
            <w:vAlign w:val="bottom"/>
          </w:tcPr>
          <w:p w:rsidR="00BB00A6" w:rsidRPr="008A1DE5" w:rsidRDefault="00BB00A6" w:rsidP="008F3912">
            <w:pPr>
              <w:spacing w:before="60" w:line="200" w:lineRule="exact"/>
              <w:jc w:val="left"/>
              <w:rPr>
                <w:sz w:val="16"/>
                <w:szCs w:val="16"/>
              </w:rPr>
            </w:pPr>
            <w:r w:rsidRPr="008A1DE5">
              <w:rPr>
                <w:sz w:val="16"/>
                <w:szCs w:val="16"/>
              </w:rPr>
              <w:t>Slopad energiskattebefrie</w:t>
            </w:r>
            <w:r w:rsidRPr="008A1DE5">
              <w:rPr>
                <w:sz w:val="16"/>
                <w:szCs w:val="16"/>
              </w:rPr>
              <w:t>l</w:t>
            </w:r>
            <w:r w:rsidRPr="008A1DE5">
              <w:rPr>
                <w:sz w:val="16"/>
                <w:szCs w:val="16"/>
              </w:rPr>
              <w:t>se för torv</w:t>
            </w:r>
          </w:p>
        </w:tc>
        <w:tc>
          <w:tcPr>
            <w:tcW w:w="1215" w:type="dxa"/>
            <w:tcBorders>
              <w:top w:val="single" w:sz="4" w:space="0" w:color="auto"/>
            </w:tcBorders>
            <w:vAlign w:val="bottom"/>
          </w:tcPr>
          <w:p w:rsidR="00BB00A6" w:rsidRPr="008A1DE5" w:rsidRDefault="00BB00A6" w:rsidP="008F3912">
            <w:pPr>
              <w:spacing w:before="60" w:line="200" w:lineRule="exact"/>
              <w:ind w:right="285"/>
              <w:jc w:val="right"/>
              <w:rPr>
                <w:sz w:val="16"/>
                <w:szCs w:val="16"/>
              </w:rPr>
            </w:pPr>
            <w:r w:rsidRPr="008A1DE5">
              <w:rPr>
                <w:sz w:val="16"/>
                <w:szCs w:val="16"/>
              </w:rPr>
              <w:t>240</w:t>
            </w:r>
          </w:p>
        </w:tc>
        <w:tc>
          <w:tcPr>
            <w:tcW w:w="1215" w:type="dxa"/>
            <w:tcBorders>
              <w:top w:val="single" w:sz="4" w:space="0" w:color="auto"/>
            </w:tcBorders>
            <w:vAlign w:val="bottom"/>
          </w:tcPr>
          <w:p w:rsidR="00BB00A6" w:rsidRPr="008A1DE5" w:rsidRDefault="00BB00A6" w:rsidP="008F3912">
            <w:pPr>
              <w:spacing w:before="60" w:line="200" w:lineRule="exact"/>
              <w:ind w:right="298"/>
              <w:jc w:val="right"/>
              <w:rPr>
                <w:sz w:val="16"/>
                <w:szCs w:val="16"/>
              </w:rPr>
            </w:pPr>
            <w:r w:rsidRPr="008A1DE5">
              <w:rPr>
                <w:sz w:val="16"/>
                <w:szCs w:val="16"/>
              </w:rPr>
              <w:t>24</w:t>
            </w:r>
            <w:r w:rsidR="00B61955" w:rsidRPr="008A1DE5">
              <w:rPr>
                <w:sz w:val="16"/>
                <w:szCs w:val="16"/>
              </w:rPr>
              <w:t>0</w:t>
            </w:r>
          </w:p>
        </w:tc>
        <w:tc>
          <w:tcPr>
            <w:tcW w:w="1215" w:type="dxa"/>
            <w:tcBorders>
              <w:top w:val="single" w:sz="4" w:space="0" w:color="auto"/>
            </w:tcBorders>
            <w:vAlign w:val="bottom"/>
          </w:tcPr>
          <w:p w:rsidR="00BB00A6" w:rsidRPr="008A1DE5" w:rsidRDefault="008F3912" w:rsidP="008F3912">
            <w:pPr>
              <w:spacing w:before="60" w:line="200" w:lineRule="exact"/>
              <w:ind w:right="307"/>
              <w:jc w:val="right"/>
              <w:rPr>
                <w:sz w:val="16"/>
                <w:szCs w:val="16"/>
              </w:rPr>
            </w:pPr>
            <w:r w:rsidRPr="008A1DE5">
              <w:rPr>
                <w:sz w:val="16"/>
                <w:szCs w:val="16"/>
              </w:rPr>
              <w:t xml:space="preserve">   </w:t>
            </w:r>
            <w:r w:rsidR="00B61955" w:rsidRPr="008A1DE5">
              <w:rPr>
                <w:sz w:val="16"/>
                <w:szCs w:val="16"/>
              </w:rPr>
              <w:t>2</w:t>
            </w:r>
            <w:r w:rsidR="00BB00A6" w:rsidRPr="008A1DE5">
              <w:rPr>
                <w:sz w:val="16"/>
                <w:szCs w:val="16"/>
              </w:rPr>
              <w:t>4</w:t>
            </w:r>
            <w:r w:rsidR="00B61955" w:rsidRPr="008A1DE5">
              <w:rPr>
                <w:sz w:val="16"/>
                <w:szCs w:val="16"/>
              </w:rPr>
              <w:t>0</w:t>
            </w:r>
          </w:p>
        </w:tc>
      </w:tr>
      <w:tr w:rsidR="00BB00A6" w:rsidRPr="008A1DE5">
        <w:tc>
          <w:tcPr>
            <w:tcW w:w="2495" w:type="dxa"/>
            <w:vAlign w:val="bottom"/>
          </w:tcPr>
          <w:p w:rsidR="00BB00A6" w:rsidRPr="008A1DE5" w:rsidRDefault="00BB00A6" w:rsidP="008F3912">
            <w:pPr>
              <w:spacing w:before="60" w:line="200" w:lineRule="exact"/>
              <w:jc w:val="left"/>
              <w:rPr>
                <w:sz w:val="16"/>
                <w:szCs w:val="16"/>
              </w:rPr>
            </w:pPr>
            <w:r w:rsidRPr="008A1DE5">
              <w:rPr>
                <w:sz w:val="16"/>
                <w:szCs w:val="16"/>
              </w:rPr>
              <w:t>Slopad koldioxidskattebefrie</w:t>
            </w:r>
            <w:r w:rsidRPr="008A1DE5">
              <w:rPr>
                <w:sz w:val="16"/>
                <w:szCs w:val="16"/>
              </w:rPr>
              <w:t>l</w:t>
            </w:r>
            <w:r w:rsidRPr="008A1DE5">
              <w:rPr>
                <w:sz w:val="16"/>
                <w:szCs w:val="16"/>
              </w:rPr>
              <w:t>se för torv</w:t>
            </w:r>
          </w:p>
        </w:tc>
        <w:tc>
          <w:tcPr>
            <w:tcW w:w="1215" w:type="dxa"/>
            <w:vAlign w:val="bottom"/>
          </w:tcPr>
          <w:p w:rsidR="00BB00A6" w:rsidRPr="008A1DE5" w:rsidRDefault="00BB00A6" w:rsidP="008F3912">
            <w:pPr>
              <w:spacing w:before="60" w:line="200" w:lineRule="exact"/>
              <w:ind w:right="285"/>
              <w:jc w:val="right"/>
              <w:rPr>
                <w:sz w:val="16"/>
                <w:szCs w:val="16"/>
              </w:rPr>
            </w:pPr>
            <w:r w:rsidRPr="008A1DE5">
              <w:rPr>
                <w:sz w:val="16"/>
                <w:szCs w:val="16"/>
              </w:rPr>
              <w:t>1</w:t>
            </w:r>
            <w:r w:rsidR="00D51CC6" w:rsidRPr="008A1DE5">
              <w:rPr>
                <w:sz w:val="16"/>
                <w:szCs w:val="16"/>
              </w:rPr>
              <w:t> </w:t>
            </w:r>
            <w:r w:rsidRPr="008A1DE5">
              <w:rPr>
                <w:sz w:val="16"/>
                <w:szCs w:val="16"/>
              </w:rPr>
              <w:t>560</w:t>
            </w:r>
          </w:p>
        </w:tc>
        <w:tc>
          <w:tcPr>
            <w:tcW w:w="1215" w:type="dxa"/>
            <w:vAlign w:val="bottom"/>
          </w:tcPr>
          <w:p w:rsidR="00BB00A6" w:rsidRPr="008A1DE5" w:rsidRDefault="00BB00A6" w:rsidP="008F3912">
            <w:pPr>
              <w:spacing w:before="60" w:line="200" w:lineRule="exact"/>
              <w:ind w:right="298"/>
              <w:jc w:val="right"/>
              <w:rPr>
                <w:sz w:val="16"/>
                <w:szCs w:val="16"/>
              </w:rPr>
            </w:pPr>
            <w:r w:rsidRPr="008A1DE5">
              <w:rPr>
                <w:sz w:val="16"/>
                <w:szCs w:val="16"/>
              </w:rPr>
              <w:t>1</w:t>
            </w:r>
            <w:r w:rsidR="00D51CC6" w:rsidRPr="008A1DE5">
              <w:rPr>
                <w:sz w:val="16"/>
                <w:szCs w:val="16"/>
              </w:rPr>
              <w:t> </w:t>
            </w:r>
            <w:r w:rsidRPr="008A1DE5">
              <w:rPr>
                <w:sz w:val="16"/>
                <w:szCs w:val="16"/>
              </w:rPr>
              <w:t>560</w:t>
            </w:r>
          </w:p>
        </w:tc>
        <w:tc>
          <w:tcPr>
            <w:tcW w:w="1215" w:type="dxa"/>
            <w:vAlign w:val="bottom"/>
          </w:tcPr>
          <w:p w:rsidR="00BB00A6" w:rsidRPr="008A1DE5" w:rsidRDefault="00BB00A6" w:rsidP="008F3912">
            <w:pPr>
              <w:spacing w:before="60" w:line="200" w:lineRule="exact"/>
              <w:ind w:right="307"/>
              <w:jc w:val="right"/>
              <w:rPr>
                <w:sz w:val="16"/>
                <w:szCs w:val="16"/>
              </w:rPr>
            </w:pPr>
            <w:r w:rsidRPr="008A1DE5">
              <w:rPr>
                <w:sz w:val="16"/>
                <w:szCs w:val="16"/>
              </w:rPr>
              <w:t>1</w:t>
            </w:r>
            <w:r w:rsidR="00D51CC6" w:rsidRPr="008A1DE5">
              <w:rPr>
                <w:sz w:val="16"/>
                <w:szCs w:val="16"/>
              </w:rPr>
              <w:t> </w:t>
            </w:r>
            <w:r w:rsidRPr="008A1DE5">
              <w:rPr>
                <w:sz w:val="16"/>
                <w:szCs w:val="16"/>
              </w:rPr>
              <w:t>560</w:t>
            </w:r>
          </w:p>
        </w:tc>
      </w:tr>
      <w:tr w:rsidR="00BB00A6" w:rsidRPr="008A1DE5">
        <w:tc>
          <w:tcPr>
            <w:tcW w:w="2495" w:type="dxa"/>
            <w:vAlign w:val="bottom"/>
          </w:tcPr>
          <w:p w:rsidR="00BB00A6" w:rsidRPr="008A1DE5" w:rsidRDefault="00BB00A6" w:rsidP="008F3912">
            <w:pPr>
              <w:spacing w:before="60" w:line="200" w:lineRule="exact"/>
              <w:jc w:val="left"/>
              <w:rPr>
                <w:sz w:val="16"/>
                <w:szCs w:val="16"/>
              </w:rPr>
            </w:pPr>
            <w:r w:rsidRPr="008A1DE5">
              <w:rPr>
                <w:sz w:val="16"/>
                <w:szCs w:val="16"/>
              </w:rPr>
              <w:t>Ej höjd skatt på termisk effekt i kärnkraftrea</w:t>
            </w:r>
            <w:r w:rsidRPr="008A1DE5">
              <w:rPr>
                <w:sz w:val="16"/>
                <w:szCs w:val="16"/>
              </w:rPr>
              <w:t>k</w:t>
            </w:r>
            <w:r w:rsidRPr="008A1DE5">
              <w:rPr>
                <w:sz w:val="16"/>
                <w:szCs w:val="16"/>
              </w:rPr>
              <w:t>torer</w:t>
            </w:r>
          </w:p>
        </w:tc>
        <w:tc>
          <w:tcPr>
            <w:tcW w:w="1215" w:type="dxa"/>
            <w:vAlign w:val="bottom"/>
          </w:tcPr>
          <w:p w:rsidR="00BB00A6" w:rsidRPr="008A1DE5" w:rsidRDefault="00D51CC6" w:rsidP="008F3912">
            <w:pPr>
              <w:spacing w:before="60" w:line="200" w:lineRule="exact"/>
              <w:ind w:right="285"/>
              <w:jc w:val="right"/>
              <w:rPr>
                <w:sz w:val="16"/>
                <w:szCs w:val="16"/>
              </w:rPr>
            </w:pPr>
            <w:r w:rsidRPr="008A1DE5">
              <w:rPr>
                <w:sz w:val="16"/>
                <w:szCs w:val="16"/>
              </w:rPr>
              <w:t>–</w:t>
            </w:r>
            <w:r w:rsidR="00BB00A6" w:rsidRPr="008A1DE5">
              <w:rPr>
                <w:sz w:val="16"/>
                <w:szCs w:val="16"/>
              </w:rPr>
              <w:t>1</w:t>
            </w:r>
            <w:r w:rsidRPr="008A1DE5">
              <w:rPr>
                <w:sz w:val="16"/>
                <w:szCs w:val="16"/>
              </w:rPr>
              <w:t> </w:t>
            </w:r>
            <w:r w:rsidR="00BB00A6" w:rsidRPr="008A1DE5">
              <w:rPr>
                <w:sz w:val="16"/>
                <w:szCs w:val="16"/>
              </w:rPr>
              <w:t>000</w:t>
            </w:r>
          </w:p>
        </w:tc>
        <w:tc>
          <w:tcPr>
            <w:tcW w:w="1215" w:type="dxa"/>
            <w:vAlign w:val="bottom"/>
          </w:tcPr>
          <w:p w:rsidR="00BB00A6" w:rsidRPr="008A1DE5" w:rsidRDefault="00D51CC6" w:rsidP="008F3912">
            <w:pPr>
              <w:spacing w:before="60" w:line="200" w:lineRule="exact"/>
              <w:ind w:right="298"/>
              <w:jc w:val="right"/>
              <w:rPr>
                <w:sz w:val="16"/>
                <w:szCs w:val="16"/>
              </w:rPr>
            </w:pPr>
            <w:r w:rsidRPr="008A1DE5">
              <w:rPr>
                <w:sz w:val="16"/>
                <w:szCs w:val="16"/>
              </w:rPr>
              <w:t>–</w:t>
            </w:r>
            <w:r w:rsidR="00BB00A6" w:rsidRPr="008A1DE5">
              <w:rPr>
                <w:sz w:val="16"/>
                <w:szCs w:val="16"/>
              </w:rPr>
              <w:t>1</w:t>
            </w:r>
            <w:r w:rsidRPr="008A1DE5">
              <w:rPr>
                <w:sz w:val="16"/>
                <w:szCs w:val="16"/>
              </w:rPr>
              <w:t> </w:t>
            </w:r>
            <w:r w:rsidR="00BB00A6" w:rsidRPr="008A1DE5">
              <w:rPr>
                <w:sz w:val="16"/>
                <w:szCs w:val="16"/>
              </w:rPr>
              <w:t>000</w:t>
            </w:r>
          </w:p>
        </w:tc>
        <w:tc>
          <w:tcPr>
            <w:tcW w:w="1215" w:type="dxa"/>
            <w:vAlign w:val="bottom"/>
          </w:tcPr>
          <w:p w:rsidR="00BB00A6" w:rsidRPr="008A1DE5" w:rsidRDefault="00D51CC6" w:rsidP="008F3912">
            <w:pPr>
              <w:spacing w:before="60" w:line="200" w:lineRule="exact"/>
              <w:ind w:right="307"/>
              <w:jc w:val="right"/>
              <w:rPr>
                <w:sz w:val="16"/>
                <w:szCs w:val="16"/>
              </w:rPr>
            </w:pPr>
            <w:r w:rsidRPr="008A1DE5">
              <w:rPr>
                <w:sz w:val="16"/>
                <w:szCs w:val="16"/>
              </w:rPr>
              <w:t>–</w:t>
            </w:r>
            <w:r w:rsidR="00BB00A6" w:rsidRPr="008A1DE5">
              <w:rPr>
                <w:sz w:val="16"/>
                <w:szCs w:val="16"/>
              </w:rPr>
              <w:t>1</w:t>
            </w:r>
            <w:r w:rsidRPr="008A1DE5">
              <w:rPr>
                <w:sz w:val="16"/>
                <w:szCs w:val="16"/>
              </w:rPr>
              <w:t> </w:t>
            </w:r>
            <w:r w:rsidR="00BB00A6" w:rsidRPr="008A1DE5">
              <w:rPr>
                <w:sz w:val="16"/>
                <w:szCs w:val="16"/>
              </w:rPr>
              <w:t>000</w:t>
            </w:r>
          </w:p>
        </w:tc>
      </w:tr>
      <w:tr w:rsidR="00BB00A6" w:rsidRPr="008A1DE5">
        <w:tc>
          <w:tcPr>
            <w:tcW w:w="2495" w:type="dxa"/>
            <w:tcBorders>
              <w:bottom w:val="single" w:sz="4" w:space="0" w:color="auto"/>
            </w:tcBorders>
            <w:vAlign w:val="bottom"/>
          </w:tcPr>
          <w:p w:rsidR="00BB00A6" w:rsidRPr="008A1DE5" w:rsidRDefault="00BB00A6" w:rsidP="008F3912">
            <w:pPr>
              <w:spacing w:before="60" w:line="200" w:lineRule="exact"/>
              <w:jc w:val="left"/>
              <w:rPr>
                <w:b/>
                <w:sz w:val="16"/>
                <w:szCs w:val="16"/>
              </w:rPr>
            </w:pPr>
            <w:r w:rsidRPr="008A1DE5">
              <w:rPr>
                <w:b/>
                <w:sz w:val="16"/>
                <w:szCs w:val="16"/>
              </w:rPr>
              <w:t>Total</w:t>
            </w:r>
            <w:r w:rsidR="0053696F" w:rsidRPr="008A1DE5">
              <w:rPr>
                <w:b/>
                <w:sz w:val="16"/>
                <w:szCs w:val="16"/>
              </w:rPr>
              <w:t>t</w:t>
            </w:r>
          </w:p>
        </w:tc>
        <w:tc>
          <w:tcPr>
            <w:tcW w:w="1215" w:type="dxa"/>
            <w:tcBorders>
              <w:bottom w:val="single" w:sz="4" w:space="0" w:color="auto"/>
            </w:tcBorders>
            <w:vAlign w:val="bottom"/>
          </w:tcPr>
          <w:p w:rsidR="00BB00A6" w:rsidRPr="008A1DE5" w:rsidRDefault="008F3912" w:rsidP="008F3912">
            <w:pPr>
              <w:spacing w:before="60" w:line="200" w:lineRule="exact"/>
              <w:ind w:right="285"/>
              <w:jc w:val="right"/>
              <w:rPr>
                <w:b/>
                <w:sz w:val="16"/>
                <w:szCs w:val="16"/>
              </w:rPr>
            </w:pPr>
            <w:r w:rsidRPr="008A1DE5">
              <w:rPr>
                <w:b/>
                <w:sz w:val="16"/>
                <w:szCs w:val="16"/>
              </w:rPr>
              <w:t xml:space="preserve">    </w:t>
            </w:r>
            <w:r w:rsidR="00B6203C" w:rsidRPr="008A1DE5">
              <w:rPr>
                <w:b/>
                <w:sz w:val="16"/>
                <w:szCs w:val="16"/>
              </w:rPr>
              <w:t>8</w:t>
            </w:r>
            <w:r w:rsidR="001D1897" w:rsidRPr="008A1DE5">
              <w:rPr>
                <w:b/>
                <w:sz w:val="16"/>
                <w:szCs w:val="16"/>
              </w:rPr>
              <w:t>0</w:t>
            </w:r>
            <w:r w:rsidR="00B6203C" w:rsidRPr="008A1DE5">
              <w:rPr>
                <w:b/>
                <w:sz w:val="16"/>
                <w:szCs w:val="16"/>
              </w:rPr>
              <w:t>0</w:t>
            </w:r>
          </w:p>
        </w:tc>
        <w:tc>
          <w:tcPr>
            <w:tcW w:w="1215" w:type="dxa"/>
            <w:tcBorders>
              <w:bottom w:val="single" w:sz="4" w:space="0" w:color="auto"/>
            </w:tcBorders>
            <w:vAlign w:val="bottom"/>
          </w:tcPr>
          <w:p w:rsidR="00BB00A6" w:rsidRPr="008A1DE5" w:rsidRDefault="008F3912" w:rsidP="008F3912">
            <w:pPr>
              <w:spacing w:before="60" w:line="200" w:lineRule="exact"/>
              <w:ind w:right="298"/>
              <w:jc w:val="right"/>
              <w:rPr>
                <w:b/>
                <w:sz w:val="16"/>
                <w:szCs w:val="16"/>
              </w:rPr>
            </w:pPr>
            <w:r w:rsidRPr="008A1DE5">
              <w:rPr>
                <w:b/>
                <w:sz w:val="16"/>
                <w:szCs w:val="16"/>
              </w:rPr>
              <w:t xml:space="preserve">   </w:t>
            </w:r>
            <w:r w:rsidR="00B6203C" w:rsidRPr="008A1DE5">
              <w:rPr>
                <w:b/>
                <w:sz w:val="16"/>
                <w:szCs w:val="16"/>
              </w:rPr>
              <w:t>8</w:t>
            </w:r>
            <w:r w:rsidR="001D1897" w:rsidRPr="008A1DE5">
              <w:rPr>
                <w:b/>
                <w:sz w:val="16"/>
                <w:szCs w:val="16"/>
              </w:rPr>
              <w:t>0</w:t>
            </w:r>
            <w:r w:rsidR="00B6203C" w:rsidRPr="008A1DE5">
              <w:rPr>
                <w:b/>
                <w:sz w:val="16"/>
                <w:szCs w:val="16"/>
              </w:rPr>
              <w:t>0</w:t>
            </w:r>
          </w:p>
        </w:tc>
        <w:tc>
          <w:tcPr>
            <w:tcW w:w="1215" w:type="dxa"/>
            <w:tcBorders>
              <w:bottom w:val="single" w:sz="4" w:space="0" w:color="auto"/>
            </w:tcBorders>
            <w:vAlign w:val="bottom"/>
          </w:tcPr>
          <w:p w:rsidR="00BB00A6" w:rsidRPr="008A1DE5" w:rsidRDefault="008F3912" w:rsidP="008F3912">
            <w:pPr>
              <w:spacing w:before="60" w:line="200" w:lineRule="exact"/>
              <w:ind w:right="307"/>
              <w:jc w:val="right"/>
              <w:rPr>
                <w:b/>
                <w:sz w:val="16"/>
                <w:szCs w:val="16"/>
              </w:rPr>
            </w:pPr>
            <w:r w:rsidRPr="008A1DE5">
              <w:rPr>
                <w:b/>
                <w:sz w:val="16"/>
                <w:szCs w:val="16"/>
              </w:rPr>
              <w:t xml:space="preserve">    </w:t>
            </w:r>
            <w:r w:rsidR="00B6203C" w:rsidRPr="008A1DE5">
              <w:rPr>
                <w:b/>
                <w:sz w:val="16"/>
                <w:szCs w:val="16"/>
              </w:rPr>
              <w:t>8</w:t>
            </w:r>
            <w:r w:rsidR="001D1897" w:rsidRPr="008A1DE5">
              <w:rPr>
                <w:b/>
                <w:sz w:val="16"/>
                <w:szCs w:val="16"/>
              </w:rPr>
              <w:t>0</w:t>
            </w:r>
            <w:r w:rsidR="00B6203C" w:rsidRPr="008A1DE5">
              <w:rPr>
                <w:b/>
                <w:sz w:val="16"/>
                <w:szCs w:val="16"/>
              </w:rPr>
              <w:t>0</w:t>
            </w:r>
          </w:p>
        </w:tc>
      </w:tr>
    </w:tbl>
    <w:p w:rsidR="005C1BDE" w:rsidRPr="008A1DE5" w:rsidRDefault="00F17C8B" w:rsidP="005C1BDE">
      <w:pPr>
        <w:pStyle w:val="Rubrik1"/>
      </w:pPr>
      <w:bookmarkStart w:id="45" w:name="_Toc118353483"/>
      <w:r w:rsidRPr="008A1DE5">
        <w:t>A</w:t>
      </w:r>
      <w:r w:rsidR="005C1BDE" w:rsidRPr="008A1DE5">
        <w:t>nslagsfrågor</w:t>
      </w:r>
      <w:bookmarkEnd w:id="43"/>
      <w:r w:rsidR="005C1BDE" w:rsidRPr="008A1DE5">
        <w:t xml:space="preserve"> utgiftsområde 21</w:t>
      </w:r>
      <w:bookmarkEnd w:id="45"/>
    </w:p>
    <w:p w:rsidR="00F17C8B" w:rsidRPr="008A1DE5" w:rsidRDefault="00B65B1C" w:rsidP="00F17C8B">
      <w:r w:rsidRPr="008A1DE5">
        <w:t>V</w:t>
      </w:r>
      <w:r w:rsidR="00796DE6" w:rsidRPr="008A1DE5">
        <w:t>i vill avskaffa elcertifikat</w:t>
      </w:r>
      <w:r w:rsidR="00D51CC6" w:rsidRPr="008A1DE5">
        <w:t>s</w:t>
      </w:r>
      <w:r w:rsidR="00796DE6" w:rsidRPr="008A1DE5">
        <w:t>systemet</w:t>
      </w:r>
      <w:r w:rsidRPr="008A1DE5">
        <w:t>, KLIMP</w:t>
      </w:r>
      <w:r w:rsidR="00796DE6" w:rsidRPr="008A1DE5">
        <w:t xml:space="preserve"> och en del annat som </w:t>
      </w:r>
      <w:r w:rsidR="006D21B8" w:rsidRPr="008A1DE5">
        <w:t>Statens energimyndighet</w:t>
      </w:r>
      <w:r w:rsidR="00796DE6" w:rsidRPr="008A1DE5">
        <w:t xml:space="preserve"> hanterar</w:t>
      </w:r>
      <w:r w:rsidRPr="008A1DE5">
        <w:t>. Dessutom borde myndigheten kunna effektivisera sin förvaltning. Därför</w:t>
      </w:r>
      <w:r w:rsidR="00796DE6" w:rsidRPr="008A1DE5">
        <w:t xml:space="preserve"> sänker vi </w:t>
      </w:r>
      <w:r w:rsidR="00796DE6" w:rsidRPr="008A1DE5">
        <w:rPr>
          <w:i/>
        </w:rPr>
        <w:t>35:1 Statens energimyndighet: Förvaltning</w:t>
      </w:r>
      <w:r w:rsidR="00796DE6" w:rsidRPr="008A1DE5">
        <w:rPr>
          <w:i/>
        </w:rPr>
        <w:t>s</w:t>
      </w:r>
      <w:r w:rsidR="00796DE6" w:rsidRPr="008A1DE5">
        <w:rPr>
          <w:i/>
        </w:rPr>
        <w:t>kostnader</w:t>
      </w:r>
      <w:r w:rsidR="00796DE6" w:rsidRPr="008A1DE5">
        <w:t xml:space="preserve"> med </w:t>
      </w:r>
      <w:r w:rsidR="00055176" w:rsidRPr="008A1DE5">
        <w:t>25 miljoner</w:t>
      </w:r>
      <w:r w:rsidR="00796DE6" w:rsidRPr="008A1DE5">
        <w:t>.</w:t>
      </w:r>
    </w:p>
    <w:p w:rsidR="00F17C8B" w:rsidRPr="008A1DE5" w:rsidRDefault="00F17C8B" w:rsidP="00F17C8B">
      <w:pPr>
        <w:pStyle w:val="Normaltindrag"/>
      </w:pPr>
      <w:r w:rsidRPr="008A1DE5">
        <w:t xml:space="preserve">Folkpartiet motsätter sig </w:t>
      </w:r>
      <w:r w:rsidR="00D51CC6" w:rsidRPr="008A1DE5">
        <w:t>det särskilda investeringsstödet</w:t>
      </w:r>
      <w:r w:rsidRPr="008A1DE5">
        <w:t xml:space="preserve"> för konvertering av direktverkande elvärme i bostadshus, varför vi inte räknar med ökningen av anslaget 35:2 för detta ändamål. Folkpartiet vill fasa ut anslaget </w:t>
      </w:r>
      <w:r w:rsidRPr="008A1DE5">
        <w:rPr>
          <w:i/>
        </w:rPr>
        <w:t>35:2 I</w:t>
      </w:r>
      <w:r w:rsidRPr="008A1DE5">
        <w:rPr>
          <w:i/>
        </w:rPr>
        <w:t>n</w:t>
      </w:r>
      <w:r w:rsidRPr="008A1DE5">
        <w:rPr>
          <w:i/>
        </w:rPr>
        <w:t xml:space="preserve">satser för effektivare energianvändning </w:t>
      </w:r>
      <w:r w:rsidRPr="008A1DE5">
        <w:t>snabbare än regeringen genom att inte bevilja några nya bidrag från och med 1 januari 2006.</w:t>
      </w:r>
    </w:p>
    <w:p w:rsidR="00F17C8B" w:rsidRPr="008A1DE5" w:rsidRDefault="00F17C8B" w:rsidP="00F17C8B">
      <w:pPr>
        <w:pStyle w:val="Normaltindrag"/>
      </w:pPr>
      <w:r w:rsidRPr="008A1DE5">
        <w:t>Folkpartiet vill fasa ut anslaget</w:t>
      </w:r>
      <w:r w:rsidRPr="008A1DE5">
        <w:rPr>
          <w:i/>
        </w:rPr>
        <w:t xml:space="preserve"> 35:3 Teknikupphandling och marknadsi</w:t>
      </w:r>
      <w:r w:rsidRPr="008A1DE5">
        <w:rPr>
          <w:i/>
        </w:rPr>
        <w:t>n</w:t>
      </w:r>
      <w:r w:rsidRPr="008A1DE5">
        <w:rPr>
          <w:i/>
        </w:rPr>
        <w:t>troduktion</w:t>
      </w:r>
      <w:r w:rsidRPr="008A1DE5">
        <w:t xml:space="preserve"> snabbare än regeringen genom att inte bevilja några nya bidrag från och med 1 januari 2006.</w:t>
      </w:r>
    </w:p>
    <w:p w:rsidR="00F17C8B" w:rsidRPr="008A1DE5" w:rsidRDefault="00F17C8B" w:rsidP="00F17C8B">
      <w:pPr>
        <w:pStyle w:val="Normaltindrag"/>
      </w:pPr>
      <w:r w:rsidRPr="008A1DE5">
        <w:t xml:space="preserve">Eftersom vi motsätter oss subventioner av energiproduktion så vill vi fasa ut anslaget </w:t>
      </w:r>
      <w:r w:rsidRPr="008A1DE5">
        <w:rPr>
          <w:i/>
        </w:rPr>
        <w:t>35:4 Stöd till introduktion av vindkraft</w:t>
      </w:r>
      <w:r w:rsidRPr="008A1DE5">
        <w:t xml:space="preserve"> genom att inte bevilja nå</w:t>
      </w:r>
      <w:r w:rsidRPr="008A1DE5">
        <w:t>g</w:t>
      </w:r>
      <w:r w:rsidRPr="008A1DE5">
        <w:t>ra nya bidrag från och med 1 januari 2006.</w:t>
      </w:r>
    </w:p>
    <w:p w:rsidR="00F17C8B" w:rsidRPr="008A1DE5" w:rsidRDefault="00F17C8B" w:rsidP="00F17C8B">
      <w:pPr>
        <w:pStyle w:val="Normaltindrag"/>
      </w:pPr>
      <w:r w:rsidRPr="008A1DE5">
        <w:t>Folkpartiet vill avskaffa elcertifikat</w:t>
      </w:r>
      <w:r w:rsidR="00D51CC6" w:rsidRPr="008A1DE5">
        <w:t>s</w:t>
      </w:r>
      <w:r w:rsidRPr="008A1DE5">
        <w:t xml:space="preserve">systemet, därför behövs inte anslaget </w:t>
      </w:r>
      <w:r w:rsidRPr="008A1DE5">
        <w:rPr>
          <w:i/>
        </w:rPr>
        <w:t>35:7</w:t>
      </w:r>
      <w:r w:rsidRPr="008A1DE5">
        <w:t xml:space="preserve"> </w:t>
      </w:r>
      <w:r w:rsidRPr="008A1DE5">
        <w:rPr>
          <w:i/>
        </w:rPr>
        <w:t>Statlig prisgaranti elcertifikat</w:t>
      </w:r>
      <w:r w:rsidRPr="008A1DE5">
        <w:t>.</w:t>
      </w:r>
    </w:p>
    <w:p w:rsidR="005C1BDE" w:rsidRPr="008A1DE5" w:rsidRDefault="00F17C8B" w:rsidP="00512D8E">
      <w:pPr>
        <w:pStyle w:val="Normaltindrag"/>
        <w:spacing w:after="60"/>
      </w:pPr>
      <w:r w:rsidRPr="008A1DE5">
        <w:t>Eftersom Folkpartiet vill återstarta Barsebäcks båda reaktorer beräknas inte fortsatta kostnader för avställningen från och med 2007, vi räknar med att det tar cirka ett år att återstarta en reaktor.</w:t>
      </w:r>
    </w:p>
    <w:p w:rsidR="00A9495B" w:rsidRPr="008A1DE5" w:rsidRDefault="00A9495B" w:rsidP="00A9495B">
      <w:pPr>
        <w:pStyle w:val="Normaltindrag"/>
        <w:ind w:firstLine="0"/>
        <w:rPr>
          <w:b/>
        </w:rPr>
      </w:pPr>
      <w:r w:rsidRPr="008A1DE5">
        <w:rPr>
          <w:b/>
        </w:rPr>
        <w:t>Utgiftsområde 21 Energi 2006</w:t>
      </w:r>
    </w:p>
    <w:tbl>
      <w:tblPr>
        <w:tblStyle w:val="Tabellrutnt1"/>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634"/>
        <w:gridCol w:w="2697"/>
        <w:gridCol w:w="1318"/>
        <w:gridCol w:w="1305"/>
      </w:tblGrid>
      <w:tr w:rsidR="00F17C8B" w:rsidRPr="008A1DE5">
        <w:tc>
          <w:tcPr>
            <w:tcW w:w="648" w:type="dxa"/>
            <w:tcBorders>
              <w:top w:val="single" w:sz="4" w:space="0" w:color="auto"/>
              <w:bottom w:val="single" w:sz="4" w:space="0" w:color="auto"/>
            </w:tcBorders>
          </w:tcPr>
          <w:p w:rsidR="00F17C8B" w:rsidRPr="008A1DE5" w:rsidRDefault="00F17C8B" w:rsidP="00A9495B">
            <w:pPr>
              <w:pStyle w:val="KantRubrikS5V"/>
              <w:widowControl/>
              <w:tabs>
                <w:tab w:val="clear" w:pos="1814"/>
                <w:tab w:val="clear" w:pos="1899"/>
              </w:tabs>
              <w:suppressAutoHyphens w:val="0"/>
              <w:spacing w:line="200" w:lineRule="exact"/>
              <w:rPr>
                <w:b/>
                <w:noProof w:val="0"/>
                <w:spacing w:val="0"/>
                <w:szCs w:val="16"/>
                <w:lang w:val="sv-SE"/>
              </w:rPr>
            </w:pPr>
          </w:p>
        </w:tc>
        <w:tc>
          <w:tcPr>
            <w:tcW w:w="2785" w:type="dxa"/>
            <w:tcBorders>
              <w:top w:val="single" w:sz="4" w:space="0" w:color="auto"/>
              <w:bottom w:val="single" w:sz="4" w:space="0" w:color="auto"/>
            </w:tcBorders>
          </w:tcPr>
          <w:p w:rsidR="00F17C8B" w:rsidRPr="008A1DE5" w:rsidRDefault="00F17C8B" w:rsidP="00E204CD">
            <w:pPr>
              <w:pStyle w:val="KantRubrikS5V"/>
              <w:widowControl/>
              <w:tabs>
                <w:tab w:val="clear" w:pos="1814"/>
                <w:tab w:val="clear" w:pos="1899"/>
              </w:tabs>
              <w:suppressAutoHyphens w:val="0"/>
              <w:spacing w:before="125" w:line="200" w:lineRule="exact"/>
              <w:rPr>
                <w:b/>
                <w:noProof w:val="0"/>
                <w:spacing w:val="0"/>
                <w:szCs w:val="16"/>
                <w:lang w:val="sv-SE"/>
              </w:rPr>
            </w:pPr>
            <w:r w:rsidRPr="008A1DE5">
              <w:rPr>
                <w:b/>
                <w:noProof w:val="0"/>
                <w:spacing w:val="0"/>
                <w:szCs w:val="16"/>
                <w:lang w:val="sv-SE"/>
              </w:rPr>
              <w:t>Anslag (miljoner kronor)</w:t>
            </w:r>
          </w:p>
        </w:tc>
        <w:tc>
          <w:tcPr>
            <w:tcW w:w="1357" w:type="dxa"/>
            <w:tcBorders>
              <w:top w:val="single" w:sz="4" w:space="0" w:color="auto"/>
              <w:bottom w:val="single" w:sz="4" w:space="0" w:color="auto"/>
            </w:tcBorders>
          </w:tcPr>
          <w:p w:rsidR="00F17C8B" w:rsidRPr="008A1DE5" w:rsidRDefault="00F17C8B" w:rsidP="00A9495B">
            <w:pPr>
              <w:spacing w:before="0" w:line="200" w:lineRule="exact"/>
              <w:rPr>
                <w:b/>
                <w:sz w:val="16"/>
                <w:szCs w:val="16"/>
              </w:rPr>
            </w:pPr>
            <w:r w:rsidRPr="008A1DE5">
              <w:rPr>
                <w:b/>
                <w:sz w:val="16"/>
                <w:szCs w:val="16"/>
              </w:rPr>
              <w:t>Regerin</w:t>
            </w:r>
            <w:r w:rsidRPr="008A1DE5">
              <w:rPr>
                <w:b/>
                <w:sz w:val="16"/>
                <w:szCs w:val="16"/>
              </w:rPr>
              <w:t>g</w:t>
            </w:r>
            <w:r w:rsidRPr="008A1DE5">
              <w:rPr>
                <w:b/>
                <w:sz w:val="16"/>
                <w:szCs w:val="16"/>
              </w:rPr>
              <w:t>ens förslag 2006</w:t>
            </w:r>
          </w:p>
        </w:tc>
        <w:tc>
          <w:tcPr>
            <w:tcW w:w="1343" w:type="dxa"/>
            <w:tcBorders>
              <w:top w:val="single" w:sz="4" w:space="0" w:color="auto"/>
              <w:bottom w:val="single" w:sz="4" w:space="0" w:color="auto"/>
            </w:tcBorders>
          </w:tcPr>
          <w:p w:rsidR="00F17C8B" w:rsidRPr="008A1DE5" w:rsidRDefault="00F17C8B" w:rsidP="00A9495B">
            <w:pPr>
              <w:spacing w:before="0" w:line="200" w:lineRule="exact"/>
              <w:rPr>
                <w:b/>
                <w:sz w:val="16"/>
                <w:szCs w:val="16"/>
              </w:rPr>
            </w:pPr>
            <w:r w:rsidRPr="008A1DE5">
              <w:rPr>
                <w:b/>
                <w:sz w:val="16"/>
                <w:szCs w:val="16"/>
              </w:rPr>
              <w:t>Förän</w:t>
            </w:r>
            <w:r w:rsidRPr="008A1DE5">
              <w:rPr>
                <w:b/>
                <w:sz w:val="16"/>
                <w:szCs w:val="16"/>
              </w:rPr>
              <w:t>d</w:t>
            </w:r>
            <w:r w:rsidRPr="008A1DE5">
              <w:rPr>
                <w:b/>
                <w:sz w:val="16"/>
                <w:szCs w:val="16"/>
              </w:rPr>
              <w:t>ringar 2006</w:t>
            </w:r>
          </w:p>
        </w:tc>
      </w:tr>
      <w:tr w:rsidR="00F17C8B" w:rsidRPr="008A1DE5">
        <w:tc>
          <w:tcPr>
            <w:tcW w:w="648" w:type="dxa"/>
            <w:tcBorders>
              <w:top w:val="single" w:sz="4" w:space="0" w:color="auto"/>
            </w:tcBorders>
          </w:tcPr>
          <w:p w:rsidR="00F17C8B" w:rsidRPr="008A1DE5" w:rsidRDefault="00F17C8B" w:rsidP="00A9495B">
            <w:pPr>
              <w:spacing w:before="0" w:line="200" w:lineRule="exact"/>
              <w:rPr>
                <w:sz w:val="16"/>
                <w:szCs w:val="16"/>
              </w:rPr>
            </w:pPr>
            <w:r w:rsidRPr="008A1DE5">
              <w:rPr>
                <w:sz w:val="16"/>
                <w:szCs w:val="16"/>
              </w:rPr>
              <w:t>35:1</w:t>
            </w:r>
          </w:p>
        </w:tc>
        <w:tc>
          <w:tcPr>
            <w:tcW w:w="2785" w:type="dxa"/>
            <w:tcBorders>
              <w:top w:val="single" w:sz="4" w:space="0" w:color="auto"/>
            </w:tcBorders>
            <w:vAlign w:val="bottom"/>
          </w:tcPr>
          <w:p w:rsidR="00F17C8B" w:rsidRPr="008A1DE5" w:rsidRDefault="00F17C8B" w:rsidP="00E204CD">
            <w:pPr>
              <w:spacing w:before="0" w:line="200" w:lineRule="exact"/>
              <w:jc w:val="left"/>
              <w:rPr>
                <w:sz w:val="16"/>
                <w:szCs w:val="16"/>
              </w:rPr>
            </w:pPr>
            <w:r w:rsidRPr="008A1DE5">
              <w:rPr>
                <w:sz w:val="16"/>
                <w:szCs w:val="16"/>
              </w:rPr>
              <w:t>Statens energimyndighet</w:t>
            </w:r>
          </w:p>
        </w:tc>
        <w:tc>
          <w:tcPr>
            <w:tcW w:w="1357" w:type="dxa"/>
            <w:tcBorders>
              <w:top w:val="single" w:sz="4" w:space="0" w:color="auto"/>
            </w:tcBorders>
            <w:vAlign w:val="bottom"/>
          </w:tcPr>
          <w:p w:rsidR="00F17C8B" w:rsidRPr="008A1DE5" w:rsidRDefault="00F17C8B" w:rsidP="004852C2">
            <w:pPr>
              <w:tabs>
                <w:tab w:val="decimal" w:pos="567"/>
              </w:tabs>
              <w:spacing w:before="0" w:line="200" w:lineRule="exact"/>
              <w:jc w:val="left"/>
              <w:rPr>
                <w:sz w:val="16"/>
                <w:szCs w:val="16"/>
              </w:rPr>
            </w:pPr>
            <w:r w:rsidRPr="008A1DE5">
              <w:rPr>
                <w:sz w:val="16"/>
                <w:szCs w:val="16"/>
              </w:rPr>
              <w:t>193,8</w:t>
            </w:r>
          </w:p>
        </w:tc>
        <w:tc>
          <w:tcPr>
            <w:tcW w:w="1343" w:type="dxa"/>
            <w:tcBorders>
              <w:top w:val="single" w:sz="4" w:space="0" w:color="auto"/>
            </w:tcBorders>
            <w:vAlign w:val="bottom"/>
          </w:tcPr>
          <w:p w:rsidR="00F17C8B" w:rsidRPr="008A1DE5" w:rsidRDefault="00D51CC6" w:rsidP="004852C2">
            <w:pPr>
              <w:tabs>
                <w:tab w:val="decimal" w:pos="670"/>
              </w:tabs>
              <w:spacing w:before="0" w:line="200" w:lineRule="exact"/>
              <w:ind w:right="299"/>
              <w:jc w:val="left"/>
              <w:rPr>
                <w:sz w:val="16"/>
                <w:szCs w:val="16"/>
              </w:rPr>
            </w:pPr>
            <w:r w:rsidRPr="008A1DE5">
              <w:rPr>
                <w:sz w:val="16"/>
                <w:szCs w:val="16"/>
              </w:rPr>
              <w:t>–</w:t>
            </w:r>
            <w:r w:rsidR="00055176" w:rsidRPr="008A1DE5">
              <w:rPr>
                <w:sz w:val="16"/>
                <w:szCs w:val="16"/>
              </w:rPr>
              <w:t>25</w:t>
            </w:r>
          </w:p>
        </w:tc>
      </w:tr>
      <w:tr w:rsidR="00F17C8B" w:rsidRPr="008A1DE5">
        <w:tc>
          <w:tcPr>
            <w:tcW w:w="648" w:type="dxa"/>
          </w:tcPr>
          <w:p w:rsidR="00F17C8B" w:rsidRPr="008A1DE5" w:rsidRDefault="00F17C8B" w:rsidP="00A9495B">
            <w:pPr>
              <w:spacing w:before="0" w:line="200" w:lineRule="exact"/>
              <w:rPr>
                <w:sz w:val="16"/>
                <w:szCs w:val="16"/>
              </w:rPr>
            </w:pPr>
            <w:r w:rsidRPr="008A1DE5">
              <w:rPr>
                <w:sz w:val="16"/>
                <w:szCs w:val="16"/>
              </w:rPr>
              <w:t>35:2</w:t>
            </w:r>
          </w:p>
        </w:tc>
        <w:tc>
          <w:tcPr>
            <w:tcW w:w="2785" w:type="dxa"/>
            <w:vAlign w:val="bottom"/>
          </w:tcPr>
          <w:p w:rsidR="00F17C8B" w:rsidRPr="008A1DE5" w:rsidRDefault="00F17C8B" w:rsidP="00E204CD">
            <w:pPr>
              <w:spacing w:before="0" w:line="200" w:lineRule="exact"/>
              <w:jc w:val="left"/>
              <w:rPr>
                <w:sz w:val="16"/>
                <w:szCs w:val="16"/>
              </w:rPr>
            </w:pPr>
            <w:r w:rsidRPr="008A1DE5">
              <w:rPr>
                <w:sz w:val="16"/>
                <w:szCs w:val="16"/>
              </w:rPr>
              <w:t>Insatser för effektivare energianvän</w:t>
            </w:r>
            <w:r w:rsidRPr="008A1DE5">
              <w:rPr>
                <w:sz w:val="16"/>
                <w:szCs w:val="16"/>
              </w:rPr>
              <w:t>d</w:t>
            </w:r>
            <w:r w:rsidRPr="008A1DE5">
              <w:rPr>
                <w:sz w:val="16"/>
                <w:szCs w:val="16"/>
              </w:rPr>
              <w:t>ning</w:t>
            </w:r>
          </w:p>
        </w:tc>
        <w:tc>
          <w:tcPr>
            <w:tcW w:w="1357" w:type="dxa"/>
            <w:vAlign w:val="bottom"/>
          </w:tcPr>
          <w:p w:rsidR="00F17C8B" w:rsidRPr="008A1DE5" w:rsidRDefault="00F17C8B" w:rsidP="004852C2">
            <w:pPr>
              <w:tabs>
                <w:tab w:val="decimal" w:pos="567"/>
              </w:tabs>
              <w:spacing w:before="0" w:line="200" w:lineRule="exact"/>
              <w:jc w:val="left"/>
              <w:rPr>
                <w:sz w:val="16"/>
                <w:szCs w:val="16"/>
              </w:rPr>
            </w:pPr>
            <w:r w:rsidRPr="008A1DE5">
              <w:rPr>
                <w:sz w:val="16"/>
                <w:szCs w:val="16"/>
              </w:rPr>
              <w:t>168</w:t>
            </w:r>
          </w:p>
        </w:tc>
        <w:tc>
          <w:tcPr>
            <w:tcW w:w="1343" w:type="dxa"/>
            <w:vAlign w:val="bottom"/>
          </w:tcPr>
          <w:p w:rsidR="00F17C8B" w:rsidRPr="008A1DE5" w:rsidRDefault="00D51CC6" w:rsidP="004852C2">
            <w:pPr>
              <w:tabs>
                <w:tab w:val="decimal" w:pos="670"/>
              </w:tabs>
              <w:spacing w:before="0" w:line="200" w:lineRule="exact"/>
              <w:ind w:right="299"/>
              <w:jc w:val="left"/>
              <w:rPr>
                <w:sz w:val="16"/>
                <w:szCs w:val="16"/>
              </w:rPr>
            </w:pPr>
            <w:r w:rsidRPr="008A1DE5">
              <w:rPr>
                <w:sz w:val="16"/>
                <w:szCs w:val="16"/>
              </w:rPr>
              <w:t>–</w:t>
            </w:r>
            <w:r w:rsidR="00F17C8B" w:rsidRPr="008A1DE5">
              <w:rPr>
                <w:sz w:val="16"/>
                <w:szCs w:val="16"/>
              </w:rPr>
              <w:t>12</w:t>
            </w:r>
          </w:p>
        </w:tc>
      </w:tr>
      <w:tr w:rsidR="00F17C8B" w:rsidRPr="008A1DE5">
        <w:tc>
          <w:tcPr>
            <w:tcW w:w="648" w:type="dxa"/>
          </w:tcPr>
          <w:p w:rsidR="00F17C8B" w:rsidRPr="008A1DE5" w:rsidRDefault="00F17C8B" w:rsidP="00A9495B">
            <w:pPr>
              <w:spacing w:before="0" w:line="200" w:lineRule="exact"/>
              <w:rPr>
                <w:sz w:val="16"/>
                <w:szCs w:val="16"/>
              </w:rPr>
            </w:pPr>
            <w:r w:rsidRPr="008A1DE5">
              <w:rPr>
                <w:sz w:val="16"/>
                <w:szCs w:val="16"/>
              </w:rPr>
              <w:t>35:3</w:t>
            </w:r>
          </w:p>
        </w:tc>
        <w:tc>
          <w:tcPr>
            <w:tcW w:w="2785" w:type="dxa"/>
            <w:vAlign w:val="bottom"/>
          </w:tcPr>
          <w:p w:rsidR="00F17C8B" w:rsidRPr="008A1DE5" w:rsidRDefault="00F17C8B" w:rsidP="00E204CD">
            <w:pPr>
              <w:spacing w:before="0" w:line="200" w:lineRule="exact"/>
              <w:jc w:val="left"/>
              <w:rPr>
                <w:sz w:val="16"/>
                <w:szCs w:val="16"/>
              </w:rPr>
            </w:pPr>
            <w:r w:rsidRPr="008A1DE5">
              <w:rPr>
                <w:sz w:val="16"/>
                <w:szCs w:val="16"/>
              </w:rPr>
              <w:t>Teknikupphandling och marknadsi</w:t>
            </w:r>
            <w:r w:rsidRPr="008A1DE5">
              <w:rPr>
                <w:sz w:val="16"/>
                <w:szCs w:val="16"/>
              </w:rPr>
              <w:t>n</w:t>
            </w:r>
            <w:r w:rsidRPr="008A1DE5">
              <w:rPr>
                <w:sz w:val="16"/>
                <w:szCs w:val="16"/>
              </w:rPr>
              <w:t>troduktion</w:t>
            </w:r>
          </w:p>
        </w:tc>
        <w:tc>
          <w:tcPr>
            <w:tcW w:w="1357" w:type="dxa"/>
            <w:vAlign w:val="bottom"/>
          </w:tcPr>
          <w:p w:rsidR="00F17C8B" w:rsidRPr="008A1DE5" w:rsidRDefault="00F17C8B" w:rsidP="004852C2">
            <w:pPr>
              <w:tabs>
                <w:tab w:val="decimal" w:pos="567"/>
              </w:tabs>
              <w:spacing w:before="0" w:line="200" w:lineRule="exact"/>
              <w:jc w:val="left"/>
              <w:rPr>
                <w:sz w:val="16"/>
                <w:szCs w:val="16"/>
              </w:rPr>
            </w:pPr>
            <w:r w:rsidRPr="008A1DE5">
              <w:rPr>
                <w:sz w:val="16"/>
                <w:szCs w:val="16"/>
              </w:rPr>
              <w:t>65</w:t>
            </w:r>
          </w:p>
        </w:tc>
        <w:tc>
          <w:tcPr>
            <w:tcW w:w="1343" w:type="dxa"/>
            <w:vAlign w:val="bottom"/>
          </w:tcPr>
          <w:p w:rsidR="00F17C8B" w:rsidRPr="008A1DE5" w:rsidRDefault="00D51CC6" w:rsidP="004852C2">
            <w:pPr>
              <w:tabs>
                <w:tab w:val="decimal" w:pos="670"/>
              </w:tabs>
              <w:spacing w:before="0" w:line="200" w:lineRule="exact"/>
              <w:ind w:right="299"/>
              <w:jc w:val="left"/>
              <w:rPr>
                <w:sz w:val="16"/>
                <w:szCs w:val="16"/>
              </w:rPr>
            </w:pPr>
            <w:r w:rsidRPr="008A1DE5">
              <w:rPr>
                <w:sz w:val="16"/>
                <w:szCs w:val="16"/>
              </w:rPr>
              <w:t>–</w:t>
            </w:r>
            <w:r w:rsidR="00F17C8B" w:rsidRPr="008A1DE5">
              <w:rPr>
                <w:sz w:val="16"/>
                <w:szCs w:val="16"/>
              </w:rPr>
              <w:t>13</w:t>
            </w:r>
          </w:p>
        </w:tc>
      </w:tr>
      <w:tr w:rsidR="00F17C8B" w:rsidRPr="008A1DE5">
        <w:tc>
          <w:tcPr>
            <w:tcW w:w="648" w:type="dxa"/>
          </w:tcPr>
          <w:p w:rsidR="00F17C8B" w:rsidRPr="008A1DE5" w:rsidRDefault="00F17C8B" w:rsidP="00A9495B">
            <w:pPr>
              <w:spacing w:before="0" w:line="200" w:lineRule="exact"/>
              <w:rPr>
                <w:sz w:val="16"/>
                <w:szCs w:val="16"/>
              </w:rPr>
            </w:pPr>
            <w:r w:rsidRPr="008A1DE5">
              <w:rPr>
                <w:sz w:val="16"/>
                <w:szCs w:val="16"/>
              </w:rPr>
              <w:t>35:4</w:t>
            </w:r>
          </w:p>
        </w:tc>
        <w:tc>
          <w:tcPr>
            <w:tcW w:w="2785" w:type="dxa"/>
            <w:vAlign w:val="bottom"/>
          </w:tcPr>
          <w:p w:rsidR="00F17C8B" w:rsidRPr="008A1DE5" w:rsidRDefault="00F17C8B" w:rsidP="00E204CD">
            <w:pPr>
              <w:spacing w:before="0" w:line="200" w:lineRule="exact"/>
              <w:jc w:val="left"/>
              <w:rPr>
                <w:sz w:val="16"/>
                <w:szCs w:val="16"/>
              </w:rPr>
            </w:pPr>
            <w:r w:rsidRPr="008A1DE5">
              <w:rPr>
                <w:sz w:val="16"/>
                <w:szCs w:val="16"/>
              </w:rPr>
              <w:t>Stöd till introduktion av vin</w:t>
            </w:r>
            <w:r w:rsidRPr="008A1DE5">
              <w:rPr>
                <w:sz w:val="16"/>
                <w:szCs w:val="16"/>
              </w:rPr>
              <w:t>d</w:t>
            </w:r>
            <w:r w:rsidRPr="008A1DE5">
              <w:rPr>
                <w:sz w:val="16"/>
                <w:szCs w:val="16"/>
              </w:rPr>
              <w:t>kraft</w:t>
            </w:r>
          </w:p>
        </w:tc>
        <w:tc>
          <w:tcPr>
            <w:tcW w:w="1357" w:type="dxa"/>
            <w:vAlign w:val="bottom"/>
          </w:tcPr>
          <w:p w:rsidR="00F17C8B" w:rsidRPr="008A1DE5" w:rsidRDefault="00F17C8B" w:rsidP="004852C2">
            <w:pPr>
              <w:tabs>
                <w:tab w:val="decimal" w:pos="567"/>
              </w:tabs>
              <w:spacing w:before="0" w:line="200" w:lineRule="exact"/>
              <w:jc w:val="left"/>
              <w:rPr>
                <w:sz w:val="16"/>
                <w:szCs w:val="16"/>
              </w:rPr>
            </w:pPr>
            <w:r w:rsidRPr="008A1DE5">
              <w:rPr>
                <w:sz w:val="16"/>
                <w:szCs w:val="16"/>
              </w:rPr>
              <w:t>89,4</w:t>
            </w:r>
          </w:p>
        </w:tc>
        <w:tc>
          <w:tcPr>
            <w:tcW w:w="1343" w:type="dxa"/>
            <w:vAlign w:val="bottom"/>
          </w:tcPr>
          <w:p w:rsidR="00F17C8B" w:rsidRPr="008A1DE5" w:rsidRDefault="00D51CC6" w:rsidP="004852C2">
            <w:pPr>
              <w:tabs>
                <w:tab w:val="decimal" w:pos="670"/>
              </w:tabs>
              <w:spacing w:before="0" w:line="200" w:lineRule="exact"/>
              <w:ind w:right="299"/>
              <w:jc w:val="left"/>
              <w:rPr>
                <w:sz w:val="16"/>
                <w:szCs w:val="16"/>
              </w:rPr>
            </w:pPr>
            <w:r w:rsidRPr="008A1DE5">
              <w:rPr>
                <w:sz w:val="16"/>
                <w:szCs w:val="16"/>
              </w:rPr>
              <w:t>–</w:t>
            </w:r>
            <w:r w:rsidR="00F17C8B" w:rsidRPr="008A1DE5">
              <w:rPr>
                <w:sz w:val="16"/>
                <w:szCs w:val="16"/>
              </w:rPr>
              <w:t>33</w:t>
            </w:r>
          </w:p>
        </w:tc>
      </w:tr>
      <w:tr w:rsidR="00F17C8B" w:rsidRPr="008A1DE5">
        <w:tc>
          <w:tcPr>
            <w:tcW w:w="648" w:type="dxa"/>
          </w:tcPr>
          <w:p w:rsidR="00F17C8B" w:rsidRPr="008A1DE5" w:rsidRDefault="00F17C8B" w:rsidP="00A9495B">
            <w:pPr>
              <w:spacing w:before="0" w:line="200" w:lineRule="exact"/>
              <w:rPr>
                <w:sz w:val="16"/>
                <w:szCs w:val="16"/>
              </w:rPr>
            </w:pPr>
            <w:r w:rsidRPr="008A1DE5">
              <w:rPr>
                <w:sz w:val="16"/>
                <w:szCs w:val="16"/>
              </w:rPr>
              <w:t>35:5</w:t>
            </w:r>
          </w:p>
        </w:tc>
        <w:tc>
          <w:tcPr>
            <w:tcW w:w="2785" w:type="dxa"/>
            <w:vAlign w:val="bottom"/>
          </w:tcPr>
          <w:p w:rsidR="00F17C8B" w:rsidRPr="008A1DE5" w:rsidRDefault="00F17C8B" w:rsidP="00E204CD">
            <w:pPr>
              <w:spacing w:before="0" w:line="200" w:lineRule="exact"/>
              <w:jc w:val="left"/>
              <w:rPr>
                <w:sz w:val="16"/>
                <w:szCs w:val="16"/>
              </w:rPr>
            </w:pPr>
            <w:r w:rsidRPr="008A1DE5">
              <w:rPr>
                <w:sz w:val="16"/>
                <w:szCs w:val="16"/>
              </w:rPr>
              <w:t>Energiforskning</w:t>
            </w:r>
          </w:p>
        </w:tc>
        <w:tc>
          <w:tcPr>
            <w:tcW w:w="1357" w:type="dxa"/>
            <w:vAlign w:val="bottom"/>
          </w:tcPr>
          <w:p w:rsidR="00F17C8B" w:rsidRPr="008A1DE5" w:rsidRDefault="00F17C8B" w:rsidP="004852C2">
            <w:pPr>
              <w:tabs>
                <w:tab w:val="decimal" w:pos="567"/>
              </w:tabs>
              <w:spacing w:before="0" w:line="200" w:lineRule="exact"/>
              <w:jc w:val="left"/>
              <w:rPr>
                <w:sz w:val="16"/>
                <w:szCs w:val="16"/>
              </w:rPr>
            </w:pPr>
            <w:r w:rsidRPr="008A1DE5">
              <w:rPr>
                <w:sz w:val="16"/>
                <w:szCs w:val="16"/>
              </w:rPr>
              <w:t>815,1</w:t>
            </w:r>
          </w:p>
        </w:tc>
        <w:tc>
          <w:tcPr>
            <w:tcW w:w="1343" w:type="dxa"/>
            <w:vAlign w:val="bottom"/>
          </w:tcPr>
          <w:p w:rsidR="00F17C8B" w:rsidRPr="008A1DE5" w:rsidRDefault="00F17C8B" w:rsidP="004852C2">
            <w:pPr>
              <w:tabs>
                <w:tab w:val="decimal" w:pos="670"/>
              </w:tabs>
              <w:spacing w:before="0" w:line="200" w:lineRule="exact"/>
              <w:ind w:right="299"/>
              <w:jc w:val="left"/>
              <w:rPr>
                <w:sz w:val="16"/>
                <w:szCs w:val="16"/>
              </w:rPr>
            </w:pPr>
            <w:r w:rsidRPr="008A1DE5">
              <w:rPr>
                <w:sz w:val="16"/>
                <w:szCs w:val="16"/>
              </w:rPr>
              <w:t>0</w:t>
            </w:r>
          </w:p>
        </w:tc>
      </w:tr>
      <w:tr w:rsidR="00F17C8B" w:rsidRPr="008A1DE5">
        <w:tc>
          <w:tcPr>
            <w:tcW w:w="648" w:type="dxa"/>
          </w:tcPr>
          <w:p w:rsidR="00F17C8B" w:rsidRPr="008A1DE5" w:rsidRDefault="00F17C8B" w:rsidP="00A9495B">
            <w:pPr>
              <w:spacing w:before="0" w:line="200" w:lineRule="exact"/>
              <w:rPr>
                <w:sz w:val="16"/>
                <w:szCs w:val="16"/>
              </w:rPr>
            </w:pPr>
            <w:r w:rsidRPr="008A1DE5">
              <w:rPr>
                <w:sz w:val="16"/>
                <w:szCs w:val="16"/>
              </w:rPr>
              <w:t>35:6</w:t>
            </w:r>
          </w:p>
        </w:tc>
        <w:tc>
          <w:tcPr>
            <w:tcW w:w="2785" w:type="dxa"/>
            <w:vAlign w:val="bottom"/>
          </w:tcPr>
          <w:p w:rsidR="00F17C8B" w:rsidRPr="008A1DE5" w:rsidRDefault="00F17C8B" w:rsidP="00E204CD">
            <w:pPr>
              <w:spacing w:before="0" w:line="200" w:lineRule="exact"/>
              <w:jc w:val="left"/>
              <w:rPr>
                <w:sz w:val="16"/>
                <w:szCs w:val="16"/>
              </w:rPr>
            </w:pPr>
            <w:r w:rsidRPr="008A1DE5">
              <w:rPr>
                <w:sz w:val="16"/>
                <w:szCs w:val="16"/>
              </w:rPr>
              <w:t>Energipolitiskt motiverade internati</w:t>
            </w:r>
            <w:r w:rsidRPr="008A1DE5">
              <w:rPr>
                <w:sz w:val="16"/>
                <w:szCs w:val="16"/>
              </w:rPr>
              <w:t>o</w:t>
            </w:r>
            <w:r w:rsidRPr="008A1DE5">
              <w:rPr>
                <w:sz w:val="16"/>
                <w:szCs w:val="16"/>
              </w:rPr>
              <w:t>nella klimatinsa</w:t>
            </w:r>
            <w:r w:rsidRPr="008A1DE5">
              <w:rPr>
                <w:sz w:val="16"/>
                <w:szCs w:val="16"/>
              </w:rPr>
              <w:t>t</w:t>
            </w:r>
            <w:r w:rsidRPr="008A1DE5">
              <w:rPr>
                <w:sz w:val="16"/>
                <w:szCs w:val="16"/>
              </w:rPr>
              <w:t>ser</w:t>
            </w:r>
          </w:p>
        </w:tc>
        <w:tc>
          <w:tcPr>
            <w:tcW w:w="1357" w:type="dxa"/>
            <w:vAlign w:val="bottom"/>
          </w:tcPr>
          <w:p w:rsidR="00F17C8B" w:rsidRPr="008A1DE5" w:rsidRDefault="00F17C8B" w:rsidP="004852C2">
            <w:pPr>
              <w:tabs>
                <w:tab w:val="decimal" w:pos="567"/>
              </w:tabs>
              <w:spacing w:before="0" w:line="200" w:lineRule="exact"/>
              <w:jc w:val="left"/>
              <w:rPr>
                <w:sz w:val="16"/>
                <w:szCs w:val="16"/>
              </w:rPr>
            </w:pPr>
            <w:r w:rsidRPr="008A1DE5">
              <w:rPr>
                <w:sz w:val="16"/>
                <w:szCs w:val="16"/>
              </w:rPr>
              <w:t>18,1</w:t>
            </w:r>
          </w:p>
        </w:tc>
        <w:tc>
          <w:tcPr>
            <w:tcW w:w="1343" w:type="dxa"/>
            <w:vAlign w:val="bottom"/>
          </w:tcPr>
          <w:p w:rsidR="00F17C8B" w:rsidRPr="008A1DE5" w:rsidRDefault="00F17C8B" w:rsidP="004852C2">
            <w:pPr>
              <w:tabs>
                <w:tab w:val="decimal" w:pos="670"/>
              </w:tabs>
              <w:spacing w:before="0" w:line="200" w:lineRule="exact"/>
              <w:ind w:right="299"/>
              <w:jc w:val="left"/>
              <w:rPr>
                <w:sz w:val="16"/>
                <w:szCs w:val="16"/>
              </w:rPr>
            </w:pPr>
            <w:r w:rsidRPr="008A1DE5">
              <w:rPr>
                <w:sz w:val="16"/>
                <w:szCs w:val="16"/>
              </w:rPr>
              <w:t>0</w:t>
            </w:r>
          </w:p>
        </w:tc>
      </w:tr>
      <w:tr w:rsidR="00F17C8B" w:rsidRPr="008A1DE5">
        <w:tc>
          <w:tcPr>
            <w:tcW w:w="648" w:type="dxa"/>
          </w:tcPr>
          <w:p w:rsidR="00F17C8B" w:rsidRPr="008A1DE5" w:rsidRDefault="00F17C8B" w:rsidP="00A9495B">
            <w:pPr>
              <w:spacing w:before="0" w:line="200" w:lineRule="exact"/>
              <w:rPr>
                <w:sz w:val="16"/>
                <w:szCs w:val="16"/>
              </w:rPr>
            </w:pPr>
            <w:r w:rsidRPr="008A1DE5">
              <w:rPr>
                <w:sz w:val="16"/>
                <w:szCs w:val="16"/>
              </w:rPr>
              <w:t>35:7</w:t>
            </w:r>
          </w:p>
        </w:tc>
        <w:tc>
          <w:tcPr>
            <w:tcW w:w="2785" w:type="dxa"/>
            <w:vAlign w:val="bottom"/>
          </w:tcPr>
          <w:p w:rsidR="00F17C8B" w:rsidRPr="008A1DE5" w:rsidRDefault="00F17C8B" w:rsidP="00E204CD">
            <w:pPr>
              <w:spacing w:before="0" w:line="200" w:lineRule="exact"/>
              <w:jc w:val="left"/>
              <w:rPr>
                <w:sz w:val="16"/>
                <w:szCs w:val="16"/>
              </w:rPr>
            </w:pPr>
            <w:r w:rsidRPr="008A1DE5">
              <w:rPr>
                <w:sz w:val="16"/>
                <w:szCs w:val="16"/>
              </w:rPr>
              <w:t>Statlig prisgaranti elcertif</w:t>
            </w:r>
            <w:r w:rsidRPr="008A1DE5">
              <w:rPr>
                <w:sz w:val="16"/>
                <w:szCs w:val="16"/>
              </w:rPr>
              <w:t>i</w:t>
            </w:r>
            <w:r w:rsidRPr="008A1DE5">
              <w:rPr>
                <w:sz w:val="16"/>
                <w:szCs w:val="16"/>
              </w:rPr>
              <w:t>kat</w:t>
            </w:r>
          </w:p>
        </w:tc>
        <w:tc>
          <w:tcPr>
            <w:tcW w:w="1357" w:type="dxa"/>
            <w:vAlign w:val="bottom"/>
          </w:tcPr>
          <w:p w:rsidR="00F17C8B" w:rsidRPr="008A1DE5" w:rsidRDefault="00F17C8B" w:rsidP="004852C2">
            <w:pPr>
              <w:tabs>
                <w:tab w:val="decimal" w:pos="567"/>
              </w:tabs>
              <w:spacing w:before="0" w:line="200" w:lineRule="exact"/>
              <w:jc w:val="left"/>
              <w:rPr>
                <w:sz w:val="16"/>
                <w:szCs w:val="16"/>
              </w:rPr>
            </w:pPr>
            <w:r w:rsidRPr="008A1DE5">
              <w:rPr>
                <w:sz w:val="16"/>
                <w:szCs w:val="16"/>
              </w:rPr>
              <w:t>59,5</w:t>
            </w:r>
          </w:p>
        </w:tc>
        <w:tc>
          <w:tcPr>
            <w:tcW w:w="1343" w:type="dxa"/>
            <w:vAlign w:val="bottom"/>
          </w:tcPr>
          <w:p w:rsidR="00F17C8B" w:rsidRPr="008A1DE5" w:rsidRDefault="00D51CC6" w:rsidP="004852C2">
            <w:pPr>
              <w:tabs>
                <w:tab w:val="decimal" w:pos="670"/>
              </w:tabs>
              <w:spacing w:before="0" w:line="200" w:lineRule="exact"/>
              <w:ind w:right="299"/>
              <w:jc w:val="left"/>
              <w:rPr>
                <w:sz w:val="16"/>
                <w:szCs w:val="16"/>
              </w:rPr>
            </w:pPr>
            <w:r w:rsidRPr="008A1DE5">
              <w:rPr>
                <w:sz w:val="16"/>
                <w:szCs w:val="16"/>
              </w:rPr>
              <w:t>–</w:t>
            </w:r>
            <w:r w:rsidR="00F17C8B" w:rsidRPr="008A1DE5">
              <w:rPr>
                <w:sz w:val="16"/>
                <w:szCs w:val="16"/>
              </w:rPr>
              <w:t>59,5</w:t>
            </w:r>
          </w:p>
        </w:tc>
      </w:tr>
      <w:tr w:rsidR="00F17C8B" w:rsidRPr="008A1DE5">
        <w:tc>
          <w:tcPr>
            <w:tcW w:w="648" w:type="dxa"/>
          </w:tcPr>
          <w:p w:rsidR="00F17C8B" w:rsidRPr="008A1DE5" w:rsidRDefault="00F17C8B" w:rsidP="00A9495B">
            <w:pPr>
              <w:spacing w:before="0" w:line="200" w:lineRule="exact"/>
              <w:rPr>
                <w:sz w:val="16"/>
                <w:szCs w:val="16"/>
              </w:rPr>
            </w:pPr>
            <w:r w:rsidRPr="008A1DE5">
              <w:rPr>
                <w:sz w:val="16"/>
                <w:szCs w:val="16"/>
              </w:rPr>
              <w:t>35:8</w:t>
            </w:r>
          </w:p>
        </w:tc>
        <w:tc>
          <w:tcPr>
            <w:tcW w:w="2785" w:type="dxa"/>
            <w:vAlign w:val="bottom"/>
          </w:tcPr>
          <w:p w:rsidR="00F17C8B" w:rsidRPr="008A1DE5" w:rsidRDefault="00F17C8B" w:rsidP="00E204CD">
            <w:pPr>
              <w:spacing w:before="0" w:line="200" w:lineRule="exact"/>
              <w:jc w:val="left"/>
              <w:rPr>
                <w:sz w:val="16"/>
                <w:szCs w:val="16"/>
              </w:rPr>
            </w:pPr>
            <w:r w:rsidRPr="008A1DE5">
              <w:rPr>
                <w:sz w:val="16"/>
                <w:szCs w:val="16"/>
              </w:rPr>
              <w:t>Ersättning för vissa kostn</w:t>
            </w:r>
            <w:r w:rsidRPr="008A1DE5">
              <w:rPr>
                <w:sz w:val="16"/>
                <w:szCs w:val="16"/>
              </w:rPr>
              <w:t>a</w:t>
            </w:r>
            <w:r w:rsidRPr="008A1DE5">
              <w:rPr>
                <w:sz w:val="16"/>
                <w:szCs w:val="16"/>
              </w:rPr>
              <w:t>der vid avveckling av en reaktor vid Bars</w:t>
            </w:r>
            <w:r w:rsidRPr="008A1DE5">
              <w:rPr>
                <w:sz w:val="16"/>
                <w:szCs w:val="16"/>
              </w:rPr>
              <w:t>e</w:t>
            </w:r>
            <w:r w:rsidRPr="008A1DE5">
              <w:rPr>
                <w:sz w:val="16"/>
                <w:szCs w:val="16"/>
              </w:rPr>
              <w:t>bäcksve</w:t>
            </w:r>
            <w:r w:rsidRPr="008A1DE5">
              <w:rPr>
                <w:sz w:val="16"/>
                <w:szCs w:val="16"/>
              </w:rPr>
              <w:t>r</w:t>
            </w:r>
            <w:r w:rsidRPr="008A1DE5">
              <w:rPr>
                <w:sz w:val="16"/>
                <w:szCs w:val="16"/>
              </w:rPr>
              <w:t>ket</w:t>
            </w:r>
          </w:p>
        </w:tc>
        <w:tc>
          <w:tcPr>
            <w:tcW w:w="1357" w:type="dxa"/>
            <w:vAlign w:val="bottom"/>
          </w:tcPr>
          <w:p w:rsidR="00F17C8B" w:rsidRPr="008A1DE5" w:rsidRDefault="00F17C8B" w:rsidP="004852C2">
            <w:pPr>
              <w:tabs>
                <w:tab w:val="decimal" w:pos="567"/>
              </w:tabs>
              <w:spacing w:before="0" w:line="200" w:lineRule="exact"/>
              <w:jc w:val="left"/>
              <w:rPr>
                <w:sz w:val="16"/>
                <w:szCs w:val="16"/>
              </w:rPr>
            </w:pPr>
            <w:r w:rsidRPr="008A1DE5">
              <w:rPr>
                <w:sz w:val="16"/>
                <w:szCs w:val="16"/>
              </w:rPr>
              <w:t>313,1</w:t>
            </w:r>
          </w:p>
        </w:tc>
        <w:tc>
          <w:tcPr>
            <w:tcW w:w="1343" w:type="dxa"/>
            <w:vAlign w:val="bottom"/>
          </w:tcPr>
          <w:p w:rsidR="00F17C8B" w:rsidRPr="008A1DE5" w:rsidRDefault="00F17C8B" w:rsidP="004852C2">
            <w:pPr>
              <w:tabs>
                <w:tab w:val="decimal" w:pos="670"/>
              </w:tabs>
              <w:spacing w:before="0" w:line="200" w:lineRule="exact"/>
              <w:ind w:right="299"/>
              <w:jc w:val="left"/>
              <w:rPr>
                <w:sz w:val="16"/>
                <w:szCs w:val="16"/>
              </w:rPr>
            </w:pPr>
            <w:r w:rsidRPr="008A1DE5">
              <w:rPr>
                <w:sz w:val="16"/>
                <w:szCs w:val="16"/>
              </w:rPr>
              <w:t>0</w:t>
            </w:r>
          </w:p>
        </w:tc>
      </w:tr>
      <w:tr w:rsidR="00F17C8B" w:rsidRPr="008A1DE5">
        <w:tc>
          <w:tcPr>
            <w:tcW w:w="648" w:type="dxa"/>
            <w:tcBorders>
              <w:bottom w:val="single" w:sz="4" w:space="0" w:color="auto"/>
            </w:tcBorders>
          </w:tcPr>
          <w:p w:rsidR="00F17C8B" w:rsidRPr="008A1DE5" w:rsidRDefault="00F17C8B" w:rsidP="00A9495B">
            <w:pPr>
              <w:spacing w:before="0" w:line="200" w:lineRule="exact"/>
              <w:rPr>
                <w:sz w:val="16"/>
                <w:szCs w:val="16"/>
              </w:rPr>
            </w:pPr>
          </w:p>
        </w:tc>
        <w:tc>
          <w:tcPr>
            <w:tcW w:w="2785" w:type="dxa"/>
            <w:tcBorders>
              <w:bottom w:val="single" w:sz="4" w:space="0" w:color="auto"/>
            </w:tcBorders>
            <w:vAlign w:val="bottom"/>
          </w:tcPr>
          <w:p w:rsidR="00F17C8B" w:rsidRPr="008A1DE5" w:rsidRDefault="00F17C8B" w:rsidP="00E204CD">
            <w:pPr>
              <w:spacing w:before="60" w:line="200" w:lineRule="exact"/>
              <w:jc w:val="left"/>
              <w:rPr>
                <w:b/>
                <w:sz w:val="16"/>
                <w:szCs w:val="16"/>
              </w:rPr>
            </w:pPr>
            <w:r w:rsidRPr="008A1DE5">
              <w:rPr>
                <w:b/>
                <w:sz w:val="16"/>
                <w:szCs w:val="16"/>
              </w:rPr>
              <w:t>Total</w:t>
            </w:r>
            <w:r w:rsidR="00512D8E" w:rsidRPr="008A1DE5">
              <w:rPr>
                <w:b/>
                <w:sz w:val="16"/>
                <w:szCs w:val="16"/>
              </w:rPr>
              <w:t>t</w:t>
            </w:r>
          </w:p>
        </w:tc>
        <w:tc>
          <w:tcPr>
            <w:tcW w:w="1357" w:type="dxa"/>
            <w:tcBorders>
              <w:bottom w:val="single" w:sz="4" w:space="0" w:color="auto"/>
            </w:tcBorders>
            <w:vAlign w:val="bottom"/>
          </w:tcPr>
          <w:p w:rsidR="00F17C8B" w:rsidRPr="008A1DE5" w:rsidRDefault="00F17C8B" w:rsidP="004852C2">
            <w:pPr>
              <w:tabs>
                <w:tab w:val="decimal" w:pos="567"/>
              </w:tabs>
              <w:spacing w:before="0" w:line="200" w:lineRule="exact"/>
              <w:jc w:val="left"/>
              <w:rPr>
                <w:b/>
                <w:sz w:val="16"/>
                <w:szCs w:val="16"/>
              </w:rPr>
            </w:pPr>
            <w:r w:rsidRPr="008A1DE5">
              <w:rPr>
                <w:b/>
                <w:sz w:val="16"/>
                <w:szCs w:val="16"/>
              </w:rPr>
              <w:t>1</w:t>
            </w:r>
            <w:r w:rsidR="00E204CD" w:rsidRPr="008A1DE5">
              <w:rPr>
                <w:b/>
                <w:sz w:val="16"/>
                <w:szCs w:val="16"/>
              </w:rPr>
              <w:t xml:space="preserve"> </w:t>
            </w:r>
            <w:r w:rsidRPr="008A1DE5">
              <w:rPr>
                <w:b/>
                <w:sz w:val="16"/>
                <w:szCs w:val="16"/>
              </w:rPr>
              <w:t>722</w:t>
            </w:r>
          </w:p>
        </w:tc>
        <w:tc>
          <w:tcPr>
            <w:tcW w:w="1343" w:type="dxa"/>
            <w:tcBorders>
              <w:bottom w:val="single" w:sz="4" w:space="0" w:color="auto"/>
            </w:tcBorders>
            <w:vAlign w:val="bottom"/>
          </w:tcPr>
          <w:p w:rsidR="00F17C8B" w:rsidRPr="008A1DE5" w:rsidRDefault="00D51CC6" w:rsidP="004852C2">
            <w:pPr>
              <w:tabs>
                <w:tab w:val="decimal" w:pos="670"/>
              </w:tabs>
              <w:spacing w:before="0" w:line="200" w:lineRule="exact"/>
              <w:ind w:right="299"/>
              <w:jc w:val="left"/>
              <w:rPr>
                <w:b/>
                <w:sz w:val="16"/>
                <w:szCs w:val="16"/>
              </w:rPr>
            </w:pPr>
            <w:r w:rsidRPr="008A1DE5">
              <w:rPr>
                <w:b/>
                <w:sz w:val="16"/>
                <w:szCs w:val="16"/>
              </w:rPr>
              <w:t>–</w:t>
            </w:r>
            <w:r w:rsidR="00710B6E" w:rsidRPr="008A1DE5">
              <w:rPr>
                <w:b/>
                <w:sz w:val="16"/>
                <w:szCs w:val="16"/>
              </w:rPr>
              <w:t>142,5</w:t>
            </w:r>
          </w:p>
        </w:tc>
      </w:tr>
    </w:tbl>
    <w:p w:rsidR="00523B21" w:rsidRPr="008A1DE5" w:rsidRDefault="00523B21" w:rsidP="00F17C8B">
      <w:pPr>
        <w:pStyle w:val="Normaltindrag"/>
        <w:ind w:firstLine="0"/>
        <w:rPr>
          <w:b/>
        </w:rPr>
      </w:pPr>
    </w:p>
    <w:p w:rsidR="00A9495B" w:rsidRPr="008A1DE5" w:rsidRDefault="00A9495B" w:rsidP="00A9495B">
      <w:pPr>
        <w:pStyle w:val="Normaltindrag"/>
        <w:ind w:hanging="95"/>
        <w:rPr>
          <w:b/>
        </w:rPr>
      </w:pPr>
      <w:r w:rsidRPr="008A1DE5">
        <w:rPr>
          <w:b/>
        </w:rPr>
        <w:t>Utgiftsområde 21 Energi 2007</w:t>
      </w:r>
    </w:p>
    <w:tbl>
      <w:tblPr>
        <w:tblStyle w:val="Tabellrutnt1"/>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627"/>
        <w:gridCol w:w="2727"/>
        <w:gridCol w:w="1300"/>
        <w:gridCol w:w="1300"/>
      </w:tblGrid>
      <w:tr w:rsidR="00F17C8B" w:rsidRPr="008A1DE5">
        <w:tc>
          <w:tcPr>
            <w:tcW w:w="637" w:type="dxa"/>
            <w:tcBorders>
              <w:top w:val="single" w:sz="4" w:space="0" w:color="auto"/>
              <w:bottom w:val="single" w:sz="4" w:space="0" w:color="auto"/>
            </w:tcBorders>
          </w:tcPr>
          <w:p w:rsidR="00F17C8B" w:rsidRPr="008A1DE5" w:rsidRDefault="00F17C8B" w:rsidP="00A9495B">
            <w:pPr>
              <w:pStyle w:val="KantRubrikS5V"/>
              <w:widowControl/>
              <w:tabs>
                <w:tab w:val="clear" w:pos="1814"/>
                <w:tab w:val="clear" w:pos="1899"/>
              </w:tabs>
              <w:suppressAutoHyphens w:val="0"/>
              <w:spacing w:before="60" w:line="200" w:lineRule="exact"/>
              <w:rPr>
                <w:b/>
                <w:noProof w:val="0"/>
                <w:spacing w:val="0"/>
                <w:szCs w:val="16"/>
                <w:lang w:val="sv-SE"/>
              </w:rPr>
            </w:pPr>
          </w:p>
        </w:tc>
        <w:tc>
          <w:tcPr>
            <w:tcW w:w="2796" w:type="dxa"/>
            <w:tcBorders>
              <w:top w:val="single" w:sz="4" w:space="0" w:color="auto"/>
              <w:bottom w:val="single" w:sz="4" w:space="0" w:color="auto"/>
            </w:tcBorders>
          </w:tcPr>
          <w:p w:rsidR="00F17C8B" w:rsidRPr="008A1DE5" w:rsidRDefault="00F17C8B" w:rsidP="00E204CD">
            <w:pPr>
              <w:spacing w:line="200" w:lineRule="exact"/>
              <w:rPr>
                <w:b/>
                <w:szCs w:val="16"/>
              </w:rPr>
            </w:pPr>
            <w:r w:rsidRPr="008A1DE5">
              <w:rPr>
                <w:b/>
                <w:sz w:val="16"/>
                <w:szCs w:val="16"/>
                <w:lang w:eastAsia="en-US"/>
              </w:rPr>
              <w:t>Anslag (miljoner kronor)</w:t>
            </w:r>
          </w:p>
        </w:tc>
        <w:tc>
          <w:tcPr>
            <w:tcW w:w="1330" w:type="dxa"/>
            <w:tcBorders>
              <w:top w:val="single" w:sz="4" w:space="0" w:color="auto"/>
              <w:bottom w:val="single" w:sz="4" w:space="0" w:color="auto"/>
            </w:tcBorders>
          </w:tcPr>
          <w:p w:rsidR="00F17C8B" w:rsidRPr="008A1DE5" w:rsidRDefault="00F17C8B" w:rsidP="00E204CD">
            <w:pPr>
              <w:spacing w:before="0" w:line="200" w:lineRule="exact"/>
              <w:rPr>
                <w:b/>
                <w:sz w:val="16"/>
                <w:szCs w:val="16"/>
              </w:rPr>
            </w:pPr>
            <w:r w:rsidRPr="008A1DE5">
              <w:rPr>
                <w:b/>
                <w:sz w:val="16"/>
                <w:szCs w:val="16"/>
              </w:rPr>
              <w:t>Regeringens</w:t>
            </w:r>
            <w:r w:rsidR="00E204CD" w:rsidRPr="008A1DE5">
              <w:rPr>
                <w:b/>
                <w:sz w:val="16"/>
                <w:szCs w:val="16"/>
              </w:rPr>
              <w:t xml:space="preserve"> </w:t>
            </w:r>
            <w:r w:rsidR="00512D8E" w:rsidRPr="008A1DE5">
              <w:rPr>
                <w:b/>
                <w:sz w:val="16"/>
                <w:szCs w:val="16"/>
              </w:rPr>
              <w:t>f</w:t>
            </w:r>
            <w:r w:rsidRPr="008A1DE5">
              <w:rPr>
                <w:b/>
                <w:sz w:val="16"/>
                <w:szCs w:val="16"/>
              </w:rPr>
              <w:t>ör</w:t>
            </w:r>
            <w:r w:rsidRPr="008A1DE5">
              <w:rPr>
                <w:b/>
                <w:sz w:val="16"/>
                <w:szCs w:val="16"/>
              </w:rPr>
              <w:t>s</w:t>
            </w:r>
            <w:r w:rsidRPr="008A1DE5">
              <w:rPr>
                <w:b/>
                <w:sz w:val="16"/>
                <w:szCs w:val="16"/>
              </w:rPr>
              <w:t>lag 2007</w:t>
            </w:r>
          </w:p>
        </w:tc>
        <w:tc>
          <w:tcPr>
            <w:tcW w:w="1330" w:type="dxa"/>
            <w:tcBorders>
              <w:top w:val="single" w:sz="4" w:space="0" w:color="auto"/>
              <w:bottom w:val="single" w:sz="4" w:space="0" w:color="auto"/>
            </w:tcBorders>
          </w:tcPr>
          <w:p w:rsidR="00F17C8B" w:rsidRPr="008A1DE5" w:rsidRDefault="00F17C8B" w:rsidP="00E204CD">
            <w:pPr>
              <w:spacing w:before="0" w:line="200" w:lineRule="exact"/>
              <w:rPr>
                <w:b/>
                <w:sz w:val="16"/>
                <w:szCs w:val="16"/>
              </w:rPr>
            </w:pPr>
            <w:r w:rsidRPr="008A1DE5">
              <w:rPr>
                <w:b/>
                <w:sz w:val="16"/>
                <w:szCs w:val="16"/>
              </w:rPr>
              <w:t>Förän</w:t>
            </w:r>
            <w:r w:rsidRPr="008A1DE5">
              <w:rPr>
                <w:b/>
                <w:sz w:val="16"/>
                <w:szCs w:val="16"/>
              </w:rPr>
              <w:t>d</w:t>
            </w:r>
            <w:r w:rsidRPr="008A1DE5">
              <w:rPr>
                <w:b/>
                <w:sz w:val="16"/>
                <w:szCs w:val="16"/>
              </w:rPr>
              <w:t>ringar 2007</w:t>
            </w:r>
          </w:p>
        </w:tc>
      </w:tr>
      <w:tr w:rsidR="00F17C8B" w:rsidRPr="008A1DE5">
        <w:tc>
          <w:tcPr>
            <w:tcW w:w="637" w:type="dxa"/>
            <w:tcBorders>
              <w:top w:val="single" w:sz="4" w:space="0" w:color="auto"/>
            </w:tcBorders>
          </w:tcPr>
          <w:p w:rsidR="00F17C8B" w:rsidRPr="008A1DE5" w:rsidRDefault="00F17C8B" w:rsidP="00A9495B">
            <w:pPr>
              <w:spacing w:before="60" w:line="200" w:lineRule="exact"/>
              <w:rPr>
                <w:sz w:val="16"/>
                <w:szCs w:val="16"/>
              </w:rPr>
            </w:pPr>
            <w:r w:rsidRPr="008A1DE5">
              <w:rPr>
                <w:sz w:val="16"/>
                <w:szCs w:val="16"/>
              </w:rPr>
              <w:t>35:1</w:t>
            </w:r>
          </w:p>
        </w:tc>
        <w:tc>
          <w:tcPr>
            <w:tcW w:w="2796" w:type="dxa"/>
            <w:tcBorders>
              <w:top w:val="single" w:sz="4" w:space="0" w:color="auto"/>
            </w:tcBorders>
            <w:vAlign w:val="bottom"/>
          </w:tcPr>
          <w:p w:rsidR="00F17C8B" w:rsidRPr="008A1DE5" w:rsidRDefault="00F17C8B" w:rsidP="00A9495B">
            <w:pPr>
              <w:spacing w:before="60" w:line="200" w:lineRule="exact"/>
              <w:jc w:val="left"/>
              <w:rPr>
                <w:sz w:val="16"/>
                <w:szCs w:val="16"/>
              </w:rPr>
            </w:pPr>
            <w:r w:rsidRPr="008A1DE5">
              <w:rPr>
                <w:sz w:val="16"/>
                <w:szCs w:val="16"/>
              </w:rPr>
              <w:t>Statens energimyndighet</w:t>
            </w:r>
          </w:p>
        </w:tc>
        <w:tc>
          <w:tcPr>
            <w:tcW w:w="1330" w:type="dxa"/>
            <w:tcBorders>
              <w:top w:val="single" w:sz="4" w:space="0" w:color="auto"/>
            </w:tcBorders>
            <w:vAlign w:val="bottom"/>
          </w:tcPr>
          <w:p w:rsidR="00F17C8B" w:rsidRPr="008A1DE5" w:rsidRDefault="00F17C8B" w:rsidP="004852C2">
            <w:pPr>
              <w:tabs>
                <w:tab w:val="decimal" w:pos="567"/>
              </w:tabs>
              <w:spacing w:before="0" w:line="200" w:lineRule="exact"/>
              <w:jc w:val="left"/>
              <w:rPr>
                <w:sz w:val="16"/>
                <w:szCs w:val="16"/>
              </w:rPr>
            </w:pPr>
            <w:r w:rsidRPr="008A1DE5">
              <w:rPr>
                <w:sz w:val="16"/>
                <w:szCs w:val="16"/>
              </w:rPr>
              <w:t>197,1</w:t>
            </w:r>
          </w:p>
        </w:tc>
        <w:tc>
          <w:tcPr>
            <w:tcW w:w="1330" w:type="dxa"/>
            <w:tcBorders>
              <w:top w:val="single" w:sz="4" w:space="0" w:color="auto"/>
            </w:tcBorders>
            <w:vAlign w:val="bottom"/>
          </w:tcPr>
          <w:p w:rsidR="00F17C8B" w:rsidRPr="008A1DE5" w:rsidRDefault="00D51CC6" w:rsidP="004852C2">
            <w:pPr>
              <w:tabs>
                <w:tab w:val="decimal" w:pos="670"/>
              </w:tabs>
              <w:spacing w:before="0" w:line="200" w:lineRule="exact"/>
              <w:ind w:right="-108"/>
              <w:jc w:val="left"/>
              <w:rPr>
                <w:sz w:val="16"/>
                <w:szCs w:val="16"/>
              </w:rPr>
            </w:pPr>
            <w:r w:rsidRPr="008A1DE5">
              <w:rPr>
                <w:sz w:val="16"/>
                <w:szCs w:val="16"/>
              </w:rPr>
              <w:t>–</w:t>
            </w:r>
            <w:r w:rsidR="00055176" w:rsidRPr="008A1DE5">
              <w:rPr>
                <w:sz w:val="16"/>
                <w:szCs w:val="16"/>
              </w:rPr>
              <w:t>25</w:t>
            </w:r>
          </w:p>
        </w:tc>
      </w:tr>
      <w:tr w:rsidR="00F17C8B" w:rsidRPr="008A1DE5">
        <w:tc>
          <w:tcPr>
            <w:tcW w:w="637" w:type="dxa"/>
          </w:tcPr>
          <w:p w:rsidR="00F17C8B" w:rsidRPr="008A1DE5" w:rsidRDefault="00F17C8B" w:rsidP="00A9495B">
            <w:pPr>
              <w:spacing w:before="60" w:line="200" w:lineRule="exact"/>
              <w:rPr>
                <w:sz w:val="16"/>
                <w:szCs w:val="16"/>
              </w:rPr>
            </w:pPr>
            <w:r w:rsidRPr="008A1DE5">
              <w:rPr>
                <w:sz w:val="16"/>
                <w:szCs w:val="16"/>
              </w:rPr>
              <w:t>35:2</w:t>
            </w:r>
          </w:p>
        </w:tc>
        <w:tc>
          <w:tcPr>
            <w:tcW w:w="2796" w:type="dxa"/>
            <w:vAlign w:val="bottom"/>
          </w:tcPr>
          <w:p w:rsidR="00F17C8B" w:rsidRPr="008A1DE5" w:rsidRDefault="00F17C8B" w:rsidP="00A9495B">
            <w:pPr>
              <w:spacing w:before="60" w:line="200" w:lineRule="exact"/>
              <w:jc w:val="left"/>
              <w:rPr>
                <w:sz w:val="16"/>
                <w:szCs w:val="16"/>
              </w:rPr>
            </w:pPr>
            <w:r w:rsidRPr="008A1DE5">
              <w:rPr>
                <w:sz w:val="16"/>
                <w:szCs w:val="16"/>
              </w:rPr>
              <w:t>Insatser för effektivare energianvän</w:t>
            </w:r>
            <w:r w:rsidRPr="008A1DE5">
              <w:rPr>
                <w:sz w:val="16"/>
                <w:szCs w:val="16"/>
              </w:rPr>
              <w:t>d</w:t>
            </w:r>
            <w:r w:rsidRPr="008A1DE5">
              <w:rPr>
                <w:sz w:val="16"/>
                <w:szCs w:val="16"/>
              </w:rPr>
              <w:t>ning</w:t>
            </w:r>
          </w:p>
        </w:tc>
        <w:tc>
          <w:tcPr>
            <w:tcW w:w="1330" w:type="dxa"/>
            <w:vAlign w:val="bottom"/>
          </w:tcPr>
          <w:p w:rsidR="00F17C8B" w:rsidRPr="008A1DE5" w:rsidRDefault="00F17C8B" w:rsidP="004852C2">
            <w:pPr>
              <w:tabs>
                <w:tab w:val="decimal" w:pos="567"/>
              </w:tabs>
              <w:spacing w:before="0" w:line="200" w:lineRule="exact"/>
              <w:jc w:val="left"/>
              <w:rPr>
                <w:sz w:val="16"/>
                <w:szCs w:val="16"/>
              </w:rPr>
            </w:pPr>
            <w:r w:rsidRPr="008A1DE5">
              <w:rPr>
                <w:sz w:val="16"/>
                <w:szCs w:val="16"/>
              </w:rPr>
              <w:t>136</w:t>
            </w:r>
          </w:p>
        </w:tc>
        <w:tc>
          <w:tcPr>
            <w:tcW w:w="1330" w:type="dxa"/>
            <w:vAlign w:val="bottom"/>
          </w:tcPr>
          <w:p w:rsidR="00F17C8B" w:rsidRPr="008A1DE5" w:rsidRDefault="00D51CC6" w:rsidP="004852C2">
            <w:pPr>
              <w:tabs>
                <w:tab w:val="decimal" w:pos="670"/>
              </w:tabs>
              <w:spacing w:before="0" w:line="200" w:lineRule="exact"/>
              <w:ind w:right="299"/>
              <w:jc w:val="left"/>
              <w:rPr>
                <w:sz w:val="16"/>
                <w:szCs w:val="16"/>
              </w:rPr>
            </w:pPr>
            <w:r w:rsidRPr="008A1DE5">
              <w:rPr>
                <w:sz w:val="16"/>
                <w:szCs w:val="16"/>
              </w:rPr>
              <w:t>–</w:t>
            </w:r>
            <w:r w:rsidR="00F17C8B" w:rsidRPr="008A1DE5">
              <w:rPr>
                <w:sz w:val="16"/>
                <w:szCs w:val="16"/>
              </w:rPr>
              <w:t>10</w:t>
            </w:r>
          </w:p>
        </w:tc>
      </w:tr>
      <w:tr w:rsidR="00F17C8B" w:rsidRPr="008A1DE5">
        <w:tc>
          <w:tcPr>
            <w:tcW w:w="637" w:type="dxa"/>
          </w:tcPr>
          <w:p w:rsidR="00F17C8B" w:rsidRPr="008A1DE5" w:rsidRDefault="00F17C8B" w:rsidP="00A9495B">
            <w:pPr>
              <w:spacing w:before="60" w:line="200" w:lineRule="exact"/>
              <w:rPr>
                <w:sz w:val="16"/>
                <w:szCs w:val="16"/>
              </w:rPr>
            </w:pPr>
            <w:r w:rsidRPr="008A1DE5">
              <w:rPr>
                <w:sz w:val="16"/>
                <w:szCs w:val="16"/>
              </w:rPr>
              <w:t>35:3</w:t>
            </w:r>
          </w:p>
        </w:tc>
        <w:tc>
          <w:tcPr>
            <w:tcW w:w="2796" w:type="dxa"/>
            <w:vAlign w:val="bottom"/>
          </w:tcPr>
          <w:p w:rsidR="00F17C8B" w:rsidRPr="008A1DE5" w:rsidRDefault="00F17C8B" w:rsidP="00A9495B">
            <w:pPr>
              <w:spacing w:before="60" w:line="200" w:lineRule="exact"/>
              <w:jc w:val="left"/>
              <w:rPr>
                <w:sz w:val="16"/>
                <w:szCs w:val="16"/>
              </w:rPr>
            </w:pPr>
            <w:r w:rsidRPr="008A1DE5">
              <w:rPr>
                <w:sz w:val="16"/>
                <w:szCs w:val="16"/>
              </w:rPr>
              <w:t>Teknikupphandling och marknadsi</w:t>
            </w:r>
            <w:r w:rsidRPr="008A1DE5">
              <w:rPr>
                <w:sz w:val="16"/>
                <w:szCs w:val="16"/>
              </w:rPr>
              <w:t>n</w:t>
            </w:r>
            <w:r w:rsidRPr="008A1DE5">
              <w:rPr>
                <w:sz w:val="16"/>
                <w:szCs w:val="16"/>
              </w:rPr>
              <w:t>troduktion</w:t>
            </w:r>
          </w:p>
        </w:tc>
        <w:tc>
          <w:tcPr>
            <w:tcW w:w="1330" w:type="dxa"/>
            <w:vAlign w:val="bottom"/>
          </w:tcPr>
          <w:p w:rsidR="00F17C8B" w:rsidRPr="008A1DE5" w:rsidRDefault="00F17C8B" w:rsidP="004852C2">
            <w:pPr>
              <w:tabs>
                <w:tab w:val="decimal" w:pos="567"/>
              </w:tabs>
              <w:spacing w:before="0" w:line="200" w:lineRule="exact"/>
              <w:jc w:val="left"/>
              <w:rPr>
                <w:sz w:val="16"/>
                <w:szCs w:val="16"/>
              </w:rPr>
            </w:pPr>
            <w:r w:rsidRPr="008A1DE5">
              <w:rPr>
                <w:sz w:val="16"/>
                <w:szCs w:val="16"/>
              </w:rPr>
              <w:t>65</w:t>
            </w:r>
          </w:p>
        </w:tc>
        <w:tc>
          <w:tcPr>
            <w:tcW w:w="1330" w:type="dxa"/>
            <w:vAlign w:val="bottom"/>
          </w:tcPr>
          <w:p w:rsidR="00F17C8B" w:rsidRPr="008A1DE5" w:rsidRDefault="00D51CC6" w:rsidP="004852C2">
            <w:pPr>
              <w:tabs>
                <w:tab w:val="decimal" w:pos="670"/>
              </w:tabs>
              <w:spacing w:before="0" w:line="200" w:lineRule="exact"/>
              <w:ind w:right="299"/>
              <w:jc w:val="left"/>
              <w:rPr>
                <w:sz w:val="16"/>
                <w:szCs w:val="16"/>
              </w:rPr>
            </w:pPr>
            <w:r w:rsidRPr="008A1DE5">
              <w:rPr>
                <w:sz w:val="16"/>
                <w:szCs w:val="16"/>
              </w:rPr>
              <w:t>–</w:t>
            </w:r>
            <w:r w:rsidR="00F17C8B" w:rsidRPr="008A1DE5">
              <w:rPr>
                <w:sz w:val="16"/>
                <w:szCs w:val="16"/>
              </w:rPr>
              <w:t>13</w:t>
            </w:r>
          </w:p>
        </w:tc>
      </w:tr>
      <w:tr w:rsidR="00F17C8B" w:rsidRPr="008A1DE5">
        <w:tc>
          <w:tcPr>
            <w:tcW w:w="637" w:type="dxa"/>
          </w:tcPr>
          <w:p w:rsidR="00F17C8B" w:rsidRPr="008A1DE5" w:rsidRDefault="00F17C8B" w:rsidP="00A9495B">
            <w:pPr>
              <w:spacing w:before="60" w:line="200" w:lineRule="exact"/>
              <w:rPr>
                <w:sz w:val="16"/>
                <w:szCs w:val="16"/>
              </w:rPr>
            </w:pPr>
            <w:r w:rsidRPr="008A1DE5">
              <w:rPr>
                <w:sz w:val="16"/>
                <w:szCs w:val="16"/>
              </w:rPr>
              <w:t>35:4</w:t>
            </w:r>
          </w:p>
        </w:tc>
        <w:tc>
          <w:tcPr>
            <w:tcW w:w="2796" w:type="dxa"/>
            <w:vAlign w:val="bottom"/>
          </w:tcPr>
          <w:p w:rsidR="00F17C8B" w:rsidRPr="008A1DE5" w:rsidRDefault="00F17C8B" w:rsidP="00A9495B">
            <w:pPr>
              <w:spacing w:before="60" w:line="200" w:lineRule="exact"/>
              <w:jc w:val="left"/>
              <w:rPr>
                <w:sz w:val="16"/>
                <w:szCs w:val="16"/>
              </w:rPr>
            </w:pPr>
            <w:r w:rsidRPr="008A1DE5">
              <w:rPr>
                <w:sz w:val="16"/>
                <w:szCs w:val="16"/>
              </w:rPr>
              <w:t>Stöd till introduktion av vin</w:t>
            </w:r>
            <w:r w:rsidRPr="008A1DE5">
              <w:rPr>
                <w:sz w:val="16"/>
                <w:szCs w:val="16"/>
              </w:rPr>
              <w:t>d</w:t>
            </w:r>
            <w:r w:rsidRPr="008A1DE5">
              <w:rPr>
                <w:sz w:val="16"/>
                <w:szCs w:val="16"/>
              </w:rPr>
              <w:t>kraft</w:t>
            </w:r>
          </w:p>
        </w:tc>
        <w:tc>
          <w:tcPr>
            <w:tcW w:w="1330" w:type="dxa"/>
            <w:vAlign w:val="bottom"/>
          </w:tcPr>
          <w:p w:rsidR="00F17C8B" w:rsidRPr="008A1DE5" w:rsidRDefault="00F17C8B" w:rsidP="004852C2">
            <w:pPr>
              <w:tabs>
                <w:tab w:val="decimal" w:pos="567"/>
              </w:tabs>
              <w:spacing w:before="0" w:line="200" w:lineRule="exact"/>
              <w:jc w:val="left"/>
              <w:rPr>
                <w:sz w:val="16"/>
                <w:szCs w:val="16"/>
              </w:rPr>
            </w:pPr>
            <w:r w:rsidRPr="008A1DE5">
              <w:rPr>
                <w:sz w:val="16"/>
                <w:szCs w:val="16"/>
              </w:rPr>
              <w:t>49,4</w:t>
            </w:r>
          </w:p>
        </w:tc>
        <w:tc>
          <w:tcPr>
            <w:tcW w:w="1330" w:type="dxa"/>
            <w:vAlign w:val="bottom"/>
          </w:tcPr>
          <w:p w:rsidR="00F17C8B" w:rsidRPr="008A1DE5" w:rsidRDefault="00D51CC6" w:rsidP="004852C2">
            <w:pPr>
              <w:tabs>
                <w:tab w:val="decimal" w:pos="670"/>
              </w:tabs>
              <w:spacing w:before="0" w:line="200" w:lineRule="exact"/>
              <w:ind w:right="299"/>
              <w:jc w:val="left"/>
              <w:rPr>
                <w:sz w:val="16"/>
                <w:szCs w:val="16"/>
              </w:rPr>
            </w:pPr>
            <w:r w:rsidRPr="008A1DE5">
              <w:rPr>
                <w:sz w:val="16"/>
                <w:szCs w:val="16"/>
              </w:rPr>
              <w:t>–</w:t>
            </w:r>
            <w:r w:rsidR="00F17C8B" w:rsidRPr="008A1DE5">
              <w:rPr>
                <w:sz w:val="16"/>
                <w:szCs w:val="16"/>
              </w:rPr>
              <w:t>33</w:t>
            </w:r>
          </w:p>
        </w:tc>
      </w:tr>
      <w:tr w:rsidR="00F17C8B" w:rsidRPr="008A1DE5">
        <w:tc>
          <w:tcPr>
            <w:tcW w:w="637" w:type="dxa"/>
          </w:tcPr>
          <w:p w:rsidR="00F17C8B" w:rsidRPr="008A1DE5" w:rsidRDefault="00F17C8B" w:rsidP="00A9495B">
            <w:pPr>
              <w:spacing w:before="60" w:line="200" w:lineRule="exact"/>
              <w:rPr>
                <w:sz w:val="16"/>
                <w:szCs w:val="16"/>
              </w:rPr>
            </w:pPr>
            <w:r w:rsidRPr="008A1DE5">
              <w:rPr>
                <w:sz w:val="16"/>
                <w:szCs w:val="16"/>
              </w:rPr>
              <w:t>35:5</w:t>
            </w:r>
          </w:p>
        </w:tc>
        <w:tc>
          <w:tcPr>
            <w:tcW w:w="2796" w:type="dxa"/>
            <w:vAlign w:val="bottom"/>
          </w:tcPr>
          <w:p w:rsidR="00F17C8B" w:rsidRPr="008A1DE5" w:rsidRDefault="00F17C8B" w:rsidP="00A9495B">
            <w:pPr>
              <w:spacing w:before="60" w:line="200" w:lineRule="exact"/>
              <w:jc w:val="left"/>
              <w:rPr>
                <w:sz w:val="16"/>
                <w:szCs w:val="16"/>
              </w:rPr>
            </w:pPr>
            <w:r w:rsidRPr="008A1DE5">
              <w:rPr>
                <w:sz w:val="16"/>
                <w:szCs w:val="16"/>
              </w:rPr>
              <w:t>Energiforskning</w:t>
            </w:r>
          </w:p>
        </w:tc>
        <w:tc>
          <w:tcPr>
            <w:tcW w:w="1330" w:type="dxa"/>
            <w:vAlign w:val="bottom"/>
          </w:tcPr>
          <w:p w:rsidR="00F17C8B" w:rsidRPr="008A1DE5" w:rsidRDefault="00F17C8B" w:rsidP="004852C2">
            <w:pPr>
              <w:tabs>
                <w:tab w:val="decimal" w:pos="567"/>
              </w:tabs>
              <w:spacing w:before="0" w:line="200" w:lineRule="exact"/>
              <w:jc w:val="left"/>
              <w:rPr>
                <w:sz w:val="16"/>
                <w:szCs w:val="16"/>
              </w:rPr>
            </w:pPr>
            <w:r w:rsidRPr="008A1DE5">
              <w:rPr>
                <w:sz w:val="16"/>
                <w:szCs w:val="16"/>
              </w:rPr>
              <w:t>829,9</w:t>
            </w:r>
          </w:p>
        </w:tc>
        <w:tc>
          <w:tcPr>
            <w:tcW w:w="1330" w:type="dxa"/>
            <w:vAlign w:val="bottom"/>
          </w:tcPr>
          <w:p w:rsidR="00F17C8B" w:rsidRPr="008A1DE5" w:rsidRDefault="00F17C8B" w:rsidP="004852C2">
            <w:pPr>
              <w:tabs>
                <w:tab w:val="decimal" w:pos="670"/>
              </w:tabs>
              <w:spacing w:before="0" w:line="200" w:lineRule="exact"/>
              <w:ind w:right="299"/>
              <w:jc w:val="left"/>
              <w:rPr>
                <w:sz w:val="16"/>
                <w:szCs w:val="16"/>
              </w:rPr>
            </w:pPr>
            <w:r w:rsidRPr="008A1DE5">
              <w:rPr>
                <w:sz w:val="16"/>
                <w:szCs w:val="16"/>
              </w:rPr>
              <w:t>0</w:t>
            </w:r>
          </w:p>
        </w:tc>
      </w:tr>
      <w:tr w:rsidR="00F17C8B" w:rsidRPr="008A1DE5">
        <w:tc>
          <w:tcPr>
            <w:tcW w:w="637" w:type="dxa"/>
          </w:tcPr>
          <w:p w:rsidR="00F17C8B" w:rsidRPr="008A1DE5" w:rsidRDefault="00F17C8B" w:rsidP="00A9495B">
            <w:pPr>
              <w:spacing w:before="60" w:line="200" w:lineRule="exact"/>
              <w:rPr>
                <w:sz w:val="16"/>
                <w:szCs w:val="16"/>
              </w:rPr>
            </w:pPr>
            <w:r w:rsidRPr="008A1DE5">
              <w:rPr>
                <w:sz w:val="16"/>
                <w:szCs w:val="16"/>
              </w:rPr>
              <w:t>35:6</w:t>
            </w:r>
          </w:p>
        </w:tc>
        <w:tc>
          <w:tcPr>
            <w:tcW w:w="2796" w:type="dxa"/>
            <w:vAlign w:val="bottom"/>
          </w:tcPr>
          <w:p w:rsidR="00F17C8B" w:rsidRPr="008A1DE5" w:rsidRDefault="00F17C8B" w:rsidP="00A9495B">
            <w:pPr>
              <w:spacing w:before="60" w:line="200" w:lineRule="exact"/>
              <w:jc w:val="left"/>
              <w:rPr>
                <w:sz w:val="16"/>
                <w:szCs w:val="16"/>
              </w:rPr>
            </w:pPr>
            <w:r w:rsidRPr="008A1DE5">
              <w:rPr>
                <w:sz w:val="16"/>
                <w:szCs w:val="16"/>
              </w:rPr>
              <w:t>Energipolitiskt motiverade internati</w:t>
            </w:r>
            <w:r w:rsidRPr="008A1DE5">
              <w:rPr>
                <w:sz w:val="16"/>
                <w:szCs w:val="16"/>
              </w:rPr>
              <w:t>o</w:t>
            </w:r>
            <w:r w:rsidRPr="008A1DE5">
              <w:rPr>
                <w:sz w:val="16"/>
                <w:szCs w:val="16"/>
              </w:rPr>
              <w:t>nella klimatinsa</w:t>
            </w:r>
            <w:r w:rsidRPr="008A1DE5">
              <w:rPr>
                <w:sz w:val="16"/>
                <w:szCs w:val="16"/>
              </w:rPr>
              <w:t>t</w:t>
            </w:r>
            <w:r w:rsidRPr="008A1DE5">
              <w:rPr>
                <w:sz w:val="16"/>
                <w:szCs w:val="16"/>
              </w:rPr>
              <w:t>ser</w:t>
            </w:r>
          </w:p>
        </w:tc>
        <w:tc>
          <w:tcPr>
            <w:tcW w:w="1330" w:type="dxa"/>
            <w:vAlign w:val="bottom"/>
          </w:tcPr>
          <w:p w:rsidR="00F17C8B" w:rsidRPr="008A1DE5" w:rsidRDefault="00F17C8B" w:rsidP="004852C2">
            <w:pPr>
              <w:tabs>
                <w:tab w:val="decimal" w:pos="567"/>
              </w:tabs>
              <w:spacing w:before="0" w:line="200" w:lineRule="exact"/>
              <w:jc w:val="left"/>
              <w:rPr>
                <w:sz w:val="16"/>
                <w:szCs w:val="16"/>
              </w:rPr>
            </w:pPr>
            <w:r w:rsidRPr="008A1DE5">
              <w:rPr>
                <w:sz w:val="16"/>
                <w:szCs w:val="16"/>
              </w:rPr>
              <w:t>18,1</w:t>
            </w:r>
          </w:p>
        </w:tc>
        <w:tc>
          <w:tcPr>
            <w:tcW w:w="1330" w:type="dxa"/>
            <w:vAlign w:val="bottom"/>
          </w:tcPr>
          <w:p w:rsidR="00F17C8B" w:rsidRPr="008A1DE5" w:rsidRDefault="00F17C8B" w:rsidP="004852C2">
            <w:pPr>
              <w:tabs>
                <w:tab w:val="decimal" w:pos="670"/>
              </w:tabs>
              <w:spacing w:before="0" w:line="200" w:lineRule="exact"/>
              <w:ind w:right="299"/>
              <w:jc w:val="left"/>
              <w:rPr>
                <w:sz w:val="16"/>
                <w:szCs w:val="16"/>
              </w:rPr>
            </w:pPr>
            <w:r w:rsidRPr="008A1DE5">
              <w:rPr>
                <w:sz w:val="16"/>
                <w:szCs w:val="16"/>
              </w:rPr>
              <w:t>0</w:t>
            </w:r>
          </w:p>
        </w:tc>
      </w:tr>
      <w:tr w:rsidR="00F17C8B" w:rsidRPr="008A1DE5">
        <w:tc>
          <w:tcPr>
            <w:tcW w:w="637" w:type="dxa"/>
          </w:tcPr>
          <w:p w:rsidR="00F17C8B" w:rsidRPr="008A1DE5" w:rsidRDefault="00F17C8B" w:rsidP="00A9495B">
            <w:pPr>
              <w:spacing w:before="60" w:line="200" w:lineRule="exact"/>
              <w:rPr>
                <w:sz w:val="16"/>
                <w:szCs w:val="16"/>
              </w:rPr>
            </w:pPr>
            <w:r w:rsidRPr="008A1DE5">
              <w:rPr>
                <w:sz w:val="16"/>
                <w:szCs w:val="16"/>
              </w:rPr>
              <w:t>35:7</w:t>
            </w:r>
          </w:p>
        </w:tc>
        <w:tc>
          <w:tcPr>
            <w:tcW w:w="2796" w:type="dxa"/>
            <w:vAlign w:val="bottom"/>
          </w:tcPr>
          <w:p w:rsidR="00F17C8B" w:rsidRPr="008A1DE5" w:rsidRDefault="00F17C8B" w:rsidP="00A9495B">
            <w:pPr>
              <w:spacing w:before="60" w:line="200" w:lineRule="exact"/>
              <w:jc w:val="left"/>
              <w:rPr>
                <w:sz w:val="16"/>
                <w:szCs w:val="16"/>
              </w:rPr>
            </w:pPr>
            <w:r w:rsidRPr="008A1DE5">
              <w:rPr>
                <w:sz w:val="16"/>
                <w:szCs w:val="16"/>
              </w:rPr>
              <w:t>Statlig prisgaranti elcert</w:t>
            </w:r>
            <w:r w:rsidRPr="008A1DE5">
              <w:rPr>
                <w:sz w:val="16"/>
                <w:szCs w:val="16"/>
              </w:rPr>
              <w:t>i</w:t>
            </w:r>
            <w:r w:rsidRPr="008A1DE5">
              <w:rPr>
                <w:sz w:val="16"/>
                <w:szCs w:val="16"/>
              </w:rPr>
              <w:t>fikat</w:t>
            </w:r>
          </w:p>
        </w:tc>
        <w:tc>
          <w:tcPr>
            <w:tcW w:w="1330" w:type="dxa"/>
            <w:vAlign w:val="bottom"/>
          </w:tcPr>
          <w:p w:rsidR="00F17C8B" w:rsidRPr="008A1DE5" w:rsidRDefault="00F17C8B" w:rsidP="004852C2">
            <w:pPr>
              <w:tabs>
                <w:tab w:val="decimal" w:pos="567"/>
              </w:tabs>
              <w:spacing w:before="0" w:line="200" w:lineRule="exact"/>
              <w:jc w:val="left"/>
              <w:rPr>
                <w:sz w:val="16"/>
                <w:szCs w:val="16"/>
              </w:rPr>
            </w:pPr>
            <w:r w:rsidRPr="008A1DE5">
              <w:rPr>
                <w:sz w:val="16"/>
                <w:szCs w:val="16"/>
              </w:rPr>
              <w:t>39,5</w:t>
            </w:r>
          </w:p>
        </w:tc>
        <w:tc>
          <w:tcPr>
            <w:tcW w:w="1330" w:type="dxa"/>
            <w:vAlign w:val="bottom"/>
          </w:tcPr>
          <w:p w:rsidR="00F17C8B" w:rsidRPr="008A1DE5" w:rsidRDefault="00D51CC6" w:rsidP="004852C2">
            <w:pPr>
              <w:tabs>
                <w:tab w:val="decimal" w:pos="670"/>
              </w:tabs>
              <w:spacing w:before="0" w:line="200" w:lineRule="exact"/>
              <w:ind w:right="299"/>
              <w:jc w:val="left"/>
              <w:rPr>
                <w:sz w:val="16"/>
                <w:szCs w:val="16"/>
              </w:rPr>
            </w:pPr>
            <w:r w:rsidRPr="008A1DE5">
              <w:rPr>
                <w:sz w:val="16"/>
                <w:szCs w:val="16"/>
              </w:rPr>
              <w:t>–</w:t>
            </w:r>
            <w:r w:rsidR="00F17C8B" w:rsidRPr="008A1DE5">
              <w:rPr>
                <w:sz w:val="16"/>
                <w:szCs w:val="16"/>
              </w:rPr>
              <w:t>39,5</w:t>
            </w:r>
          </w:p>
        </w:tc>
      </w:tr>
      <w:tr w:rsidR="00F17C8B" w:rsidRPr="008A1DE5">
        <w:tc>
          <w:tcPr>
            <w:tcW w:w="637" w:type="dxa"/>
          </w:tcPr>
          <w:p w:rsidR="00F17C8B" w:rsidRPr="008A1DE5" w:rsidRDefault="00F17C8B" w:rsidP="00A9495B">
            <w:pPr>
              <w:spacing w:before="60" w:line="200" w:lineRule="exact"/>
              <w:rPr>
                <w:sz w:val="16"/>
                <w:szCs w:val="16"/>
              </w:rPr>
            </w:pPr>
            <w:r w:rsidRPr="008A1DE5">
              <w:rPr>
                <w:sz w:val="16"/>
                <w:szCs w:val="16"/>
              </w:rPr>
              <w:t>35:8</w:t>
            </w:r>
          </w:p>
        </w:tc>
        <w:tc>
          <w:tcPr>
            <w:tcW w:w="2796" w:type="dxa"/>
            <w:vAlign w:val="bottom"/>
          </w:tcPr>
          <w:p w:rsidR="00F17C8B" w:rsidRPr="008A1DE5" w:rsidRDefault="00F17C8B" w:rsidP="00A9495B">
            <w:pPr>
              <w:spacing w:before="60" w:line="200" w:lineRule="exact"/>
              <w:jc w:val="left"/>
              <w:rPr>
                <w:sz w:val="16"/>
                <w:szCs w:val="16"/>
              </w:rPr>
            </w:pPr>
            <w:r w:rsidRPr="008A1DE5">
              <w:rPr>
                <w:sz w:val="16"/>
                <w:szCs w:val="16"/>
              </w:rPr>
              <w:t>Ersättning för vissa kos</w:t>
            </w:r>
            <w:r w:rsidRPr="008A1DE5">
              <w:rPr>
                <w:sz w:val="16"/>
                <w:szCs w:val="16"/>
              </w:rPr>
              <w:t>t</w:t>
            </w:r>
            <w:r w:rsidRPr="008A1DE5">
              <w:rPr>
                <w:sz w:val="16"/>
                <w:szCs w:val="16"/>
              </w:rPr>
              <w:t>nader vid avveckling av en reaktor vid Bars</w:t>
            </w:r>
            <w:r w:rsidRPr="008A1DE5">
              <w:rPr>
                <w:sz w:val="16"/>
                <w:szCs w:val="16"/>
              </w:rPr>
              <w:t>e</w:t>
            </w:r>
            <w:r w:rsidRPr="008A1DE5">
              <w:rPr>
                <w:sz w:val="16"/>
                <w:szCs w:val="16"/>
              </w:rPr>
              <w:t>bäcksve</w:t>
            </w:r>
            <w:r w:rsidRPr="008A1DE5">
              <w:rPr>
                <w:sz w:val="16"/>
                <w:szCs w:val="16"/>
              </w:rPr>
              <w:t>r</w:t>
            </w:r>
            <w:r w:rsidRPr="008A1DE5">
              <w:rPr>
                <w:sz w:val="16"/>
                <w:szCs w:val="16"/>
              </w:rPr>
              <w:t>ket</w:t>
            </w:r>
          </w:p>
        </w:tc>
        <w:tc>
          <w:tcPr>
            <w:tcW w:w="1330" w:type="dxa"/>
            <w:vAlign w:val="bottom"/>
          </w:tcPr>
          <w:p w:rsidR="00F17C8B" w:rsidRPr="008A1DE5" w:rsidRDefault="00F17C8B" w:rsidP="004852C2">
            <w:pPr>
              <w:tabs>
                <w:tab w:val="decimal" w:pos="567"/>
              </w:tabs>
              <w:spacing w:before="0" w:line="200" w:lineRule="exact"/>
              <w:jc w:val="left"/>
              <w:rPr>
                <w:sz w:val="16"/>
                <w:szCs w:val="16"/>
              </w:rPr>
            </w:pPr>
            <w:r w:rsidRPr="008A1DE5">
              <w:rPr>
                <w:sz w:val="16"/>
                <w:szCs w:val="16"/>
              </w:rPr>
              <w:t>282,2</w:t>
            </w:r>
          </w:p>
        </w:tc>
        <w:tc>
          <w:tcPr>
            <w:tcW w:w="1330" w:type="dxa"/>
            <w:vAlign w:val="bottom"/>
          </w:tcPr>
          <w:p w:rsidR="00F17C8B" w:rsidRPr="008A1DE5" w:rsidRDefault="00D51CC6" w:rsidP="004852C2">
            <w:pPr>
              <w:tabs>
                <w:tab w:val="decimal" w:pos="670"/>
              </w:tabs>
              <w:spacing w:before="0" w:line="200" w:lineRule="exact"/>
              <w:ind w:right="299"/>
              <w:jc w:val="left"/>
              <w:rPr>
                <w:sz w:val="16"/>
                <w:szCs w:val="16"/>
              </w:rPr>
            </w:pPr>
            <w:r w:rsidRPr="008A1DE5">
              <w:rPr>
                <w:sz w:val="16"/>
                <w:szCs w:val="16"/>
              </w:rPr>
              <w:t>–</w:t>
            </w:r>
            <w:r w:rsidR="00F17C8B" w:rsidRPr="008A1DE5">
              <w:rPr>
                <w:sz w:val="16"/>
                <w:szCs w:val="16"/>
              </w:rPr>
              <w:t>282,2</w:t>
            </w:r>
          </w:p>
        </w:tc>
      </w:tr>
      <w:tr w:rsidR="00F17C8B" w:rsidRPr="008A1DE5">
        <w:tc>
          <w:tcPr>
            <w:tcW w:w="637" w:type="dxa"/>
            <w:tcBorders>
              <w:bottom w:val="single" w:sz="4" w:space="0" w:color="auto"/>
            </w:tcBorders>
          </w:tcPr>
          <w:p w:rsidR="00F17C8B" w:rsidRPr="008A1DE5" w:rsidRDefault="00F17C8B" w:rsidP="00A9495B">
            <w:pPr>
              <w:spacing w:before="60" w:line="200" w:lineRule="exact"/>
              <w:rPr>
                <w:sz w:val="16"/>
                <w:szCs w:val="16"/>
              </w:rPr>
            </w:pPr>
          </w:p>
        </w:tc>
        <w:tc>
          <w:tcPr>
            <w:tcW w:w="2796" w:type="dxa"/>
            <w:tcBorders>
              <w:bottom w:val="single" w:sz="4" w:space="0" w:color="auto"/>
            </w:tcBorders>
            <w:vAlign w:val="bottom"/>
          </w:tcPr>
          <w:p w:rsidR="00F17C8B" w:rsidRPr="008A1DE5" w:rsidRDefault="00F17C8B" w:rsidP="00A9495B">
            <w:pPr>
              <w:spacing w:before="60" w:line="200" w:lineRule="exact"/>
              <w:jc w:val="left"/>
              <w:rPr>
                <w:b/>
                <w:sz w:val="16"/>
                <w:szCs w:val="16"/>
              </w:rPr>
            </w:pPr>
            <w:r w:rsidRPr="008A1DE5">
              <w:rPr>
                <w:b/>
                <w:sz w:val="16"/>
                <w:szCs w:val="16"/>
              </w:rPr>
              <w:t>Total</w:t>
            </w:r>
            <w:r w:rsidR="00512D8E" w:rsidRPr="008A1DE5">
              <w:rPr>
                <w:b/>
                <w:sz w:val="16"/>
                <w:szCs w:val="16"/>
              </w:rPr>
              <w:t>t</w:t>
            </w:r>
          </w:p>
        </w:tc>
        <w:tc>
          <w:tcPr>
            <w:tcW w:w="1330" w:type="dxa"/>
            <w:tcBorders>
              <w:bottom w:val="single" w:sz="4" w:space="0" w:color="auto"/>
            </w:tcBorders>
            <w:vAlign w:val="bottom"/>
          </w:tcPr>
          <w:p w:rsidR="00F17C8B" w:rsidRPr="008A1DE5" w:rsidRDefault="00F17C8B" w:rsidP="004852C2">
            <w:pPr>
              <w:tabs>
                <w:tab w:val="decimal" w:pos="567"/>
              </w:tabs>
              <w:spacing w:before="0" w:line="200" w:lineRule="exact"/>
              <w:jc w:val="left"/>
              <w:rPr>
                <w:b/>
                <w:sz w:val="16"/>
                <w:szCs w:val="16"/>
              </w:rPr>
            </w:pPr>
            <w:r w:rsidRPr="008A1DE5">
              <w:rPr>
                <w:b/>
                <w:sz w:val="16"/>
                <w:szCs w:val="16"/>
              </w:rPr>
              <w:t>1</w:t>
            </w:r>
            <w:r w:rsidR="004852C2" w:rsidRPr="008A1DE5">
              <w:rPr>
                <w:b/>
                <w:sz w:val="16"/>
                <w:szCs w:val="16"/>
              </w:rPr>
              <w:t xml:space="preserve"> </w:t>
            </w:r>
            <w:r w:rsidRPr="008A1DE5">
              <w:rPr>
                <w:b/>
                <w:sz w:val="16"/>
                <w:szCs w:val="16"/>
              </w:rPr>
              <w:t>617,2</w:t>
            </w:r>
          </w:p>
        </w:tc>
        <w:tc>
          <w:tcPr>
            <w:tcW w:w="1330" w:type="dxa"/>
            <w:tcBorders>
              <w:bottom w:val="single" w:sz="4" w:space="0" w:color="auto"/>
            </w:tcBorders>
            <w:vAlign w:val="bottom"/>
          </w:tcPr>
          <w:p w:rsidR="00F17C8B" w:rsidRPr="008A1DE5" w:rsidRDefault="00D51CC6" w:rsidP="004852C2">
            <w:pPr>
              <w:tabs>
                <w:tab w:val="decimal" w:pos="670"/>
              </w:tabs>
              <w:spacing w:before="0" w:line="200" w:lineRule="exact"/>
              <w:ind w:right="299"/>
              <w:jc w:val="left"/>
              <w:rPr>
                <w:b/>
                <w:sz w:val="16"/>
                <w:szCs w:val="16"/>
              </w:rPr>
            </w:pPr>
            <w:r w:rsidRPr="008A1DE5">
              <w:rPr>
                <w:b/>
                <w:sz w:val="16"/>
                <w:szCs w:val="16"/>
              </w:rPr>
              <w:t>–</w:t>
            </w:r>
            <w:r w:rsidR="00710B6E" w:rsidRPr="008A1DE5">
              <w:rPr>
                <w:b/>
                <w:sz w:val="16"/>
                <w:szCs w:val="16"/>
              </w:rPr>
              <w:t>402,7</w:t>
            </w:r>
          </w:p>
        </w:tc>
      </w:tr>
    </w:tbl>
    <w:p w:rsidR="00F17C8B" w:rsidRPr="008A1DE5" w:rsidRDefault="00F17C8B" w:rsidP="00F17C8B">
      <w:pPr>
        <w:pStyle w:val="Normaltindrag"/>
        <w:ind w:firstLine="0"/>
        <w:rPr>
          <w:b/>
        </w:rPr>
      </w:pPr>
    </w:p>
    <w:p w:rsidR="00523B21" w:rsidRPr="008A1DE5" w:rsidRDefault="00523B21" w:rsidP="00F17C8B">
      <w:pPr>
        <w:pStyle w:val="Normaltindrag"/>
        <w:ind w:firstLine="0"/>
        <w:rPr>
          <w:b/>
        </w:rPr>
      </w:pPr>
    </w:p>
    <w:p w:rsidR="00523B21" w:rsidRPr="008A1DE5" w:rsidRDefault="00523B21" w:rsidP="00F17C8B">
      <w:pPr>
        <w:pStyle w:val="Normaltindrag"/>
        <w:ind w:firstLine="0"/>
        <w:rPr>
          <w:b/>
        </w:rPr>
      </w:pPr>
    </w:p>
    <w:p w:rsidR="00523B21" w:rsidRPr="008A1DE5" w:rsidRDefault="00523B21" w:rsidP="00F17C8B">
      <w:pPr>
        <w:pStyle w:val="Normaltindrag"/>
        <w:ind w:firstLine="0"/>
        <w:rPr>
          <w:b/>
        </w:rPr>
      </w:pPr>
    </w:p>
    <w:p w:rsidR="00523B21" w:rsidRPr="008A1DE5" w:rsidRDefault="00523B21" w:rsidP="00F17C8B">
      <w:pPr>
        <w:pStyle w:val="Normaltindrag"/>
        <w:ind w:firstLine="0"/>
        <w:rPr>
          <w:b/>
        </w:rPr>
      </w:pPr>
    </w:p>
    <w:p w:rsidR="00A9495B" w:rsidRPr="008A1DE5" w:rsidRDefault="00A9495B" w:rsidP="00A9495B">
      <w:pPr>
        <w:pStyle w:val="Normaltindrag"/>
        <w:ind w:hanging="95"/>
        <w:rPr>
          <w:b/>
        </w:rPr>
      </w:pPr>
      <w:r w:rsidRPr="008A1DE5">
        <w:rPr>
          <w:b/>
        </w:rPr>
        <w:t>Utgiftsområde 21 Energi 2008</w:t>
      </w:r>
    </w:p>
    <w:tbl>
      <w:tblPr>
        <w:tblStyle w:val="Tabellrut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637"/>
        <w:gridCol w:w="2891"/>
        <w:gridCol w:w="1260"/>
        <w:gridCol w:w="1290"/>
      </w:tblGrid>
      <w:tr w:rsidR="00F17C8B" w:rsidRPr="008A1DE5">
        <w:tc>
          <w:tcPr>
            <w:tcW w:w="637" w:type="dxa"/>
            <w:tcBorders>
              <w:top w:val="single" w:sz="4" w:space="0" w:color="auto"/>
              <w:bottom w:val="single" w:sz="4" w:space="0" w:color="auto"/>
            </w:tcBorders>
          </w:tcPr>
          <w:p w:rsidR="00F17C8B" w:rsidRPr="008A1DE5" w:rsidRDefault="00F17C8B" w:rsidP="00A9495B">
            <w:pPr>
              <w:pStyle w:val="KantRubrikS5V"/>
              <w:widowControl/>
              <w:tabs>
                <w:tab w:val="clear" w:pos="1814"/>
                <w:tab w:val="clear" w:pos="1899"/>
              </w:tabs>
              <w:suppressAutoHyphens w:val="0"/>
              <w:spacing w:before="60" w:line="200" w:lineRule="exact"/>
              <w:rPr>
                <w:b/>
                <w:noProof w:val="0"/>
                <w:spacing w:val="0"/>
                <w:szCs w:val="16"/>
                <w:lang w:val="sv-SE"/>
              </w:rPr>
            </w:pPr>
          </w:p>
        </w:tc>
        <w:tc>
          <w:tcPr>
            <w:tcW w:w="2891" w:type="dxa"/>
            <w:tcBorders>
              <w:top w:val="single" w:sz="4" w:space="0" w:color="auto"/>
              <w:bottom w:val="single" w:sz="4" w:space="0" w:color="auto"/>
            </w:tcBorders>
          </w:tcPr>
          <w:p w:rsidR="00F17C8B" w:rsidRPr="008A1DE5" w:rsidRDefault="00F17C8B" w:rsidP="00A9495B">
            <w:pPr>
              <w:pStyle w:val="KantRubrikS5V"/>
              <w:widowControl/>
              <w:tabs>
                <w:tab w:val="clear" w:pos="1814"/>
                <w:tab w:val="clear" w:pos="1899"/>
              </w:tabs>
              <w:suppressAutoHyphens w:val="0"/>
              <w:spacing w:before="60" w:line="200" w:lineRule="exact"/>
              <w:rPr>
                <w:b/>
                <w:noProof w:val="0"/>
                <w:spacing w:val="0"/>
                <w:szCs w:val="16"/>
                <w:lang w:val="sv-SE"/>
              </w:rPr>
            </w:pPr>
            <w:r w:rsidRPr="008A1DE5">
              <w:rPr>
                <w:b/>
                <w:noProof w:val="0"/>
                <w:spacing w:val="0"/>
                <w:szCs w:val="16"/>
                <w:lang w:val="sv-SE"/>
              </w:rPr>
              <w:t>Anslag (miljoner kronor)</w:t>
            </w:r>
          </w:p>
        </w:tc>
        <w:tc>
          <w:tcPr>
            <w:tcW w:w="1260" w:type="dxa"/>
            <w:tcBorders>
              <w:top w:val="single" w:sz="4" w:space="0" w:color="auto"/>
              <w:bottom w:val="single" w:sz="4" w:space="0" w:color="auto"/>
            </w:tcBorders>
          </w:tcPr>
          <w:p w:rsidR="00F17C8B" w:rsidRPr="008A1DE5" w:rsidRDefault="00F17C8B" w:rsidP="00A9495B">
            <w:pPr>
              <w:spacing w:before="60" w:line="200" w:lineRule="exact"/>
              <w:rPr>
                <w:b/>
                <w:sz w:val="16"/>
                <w:szCs w:val="16"/>
                <w:lang w:eastAsia="en-US"/>
              </w:rPr>
            </w:pPr>
            <w:r w:rsidRPr="008A1DE5">
              <w:rPr>
                <w:b/>
                <w:sz w:val="16"/>
                <w:szCs w:val="16"/>
                <w:lang w:eastAsia="en-US"/>
              </w:rPr>
              <w:t>Regeringe</w:t>
            </w:r>
            <w:r w:rsidRPr="008A1DE5">
              <w:rPr>
                <w:b/>
                <w:sz w:val="16"/>
                <w:szCs w:val="16"/>
                <w:lang w:eastAsia="en-US"/>
              </w:rPr>
              <w:t>n</w:t>
            </w:r>
            <w:r w:rsidR="009329D5" w:rsidRPr="008A1DE5">
              <w:rPr>
                <w:b/>
                <w:sz w:val="16"/>
                <w:szCs w:val="16"/>
                <w:lang w:eastAsia="en-US"/>
              </w:rPr>
              <w:t>s</w:t>
            </w:r>
            <w:r w:rsidR="00512D8E" w:rsidRPr="008A1DE5">
              <w:rPr>
                <w:b/>
                <w:sz w:val="16"/>
                <w:szCs w:val="16"/>
                <w:lang w:eastAsia="en-US"/>
              </w:rPr>
              <w:t xml:space="preserve"> </w:t>
            </w:r>
            <w:r w:rsidRPr="008A1DE5">
              <w:rPr>
                <w:b/>
                <w:sz w:val="16"/>
                <w:szCs w:val="16"/>
                <w:lang w:eastAsia="en-US"/>
              </w:rPr>
              <w:t>förslag 2008</w:t>
            </w:r>
          </w:p>
        </w:tc>
        <w:tc>
          <w:tcPr>
            <w:tcW w:w="1290" w:type="dxa"/>
            <w:tcBorders>
              <w:top w:val="single" w:sz="4" w:space="0" w:color="auto"/>
              <w:bottom w:val="single" w:sz="4" w:space="0" w:color="auto"/>
            </w:tcBorders>
          </w:tcPr>
          <w:p w:rsidR="00F17C8B" w:rsidRPr="008A1DE5" w:rsidRDefault="00F17C8B" w:rsidP="00A9495B">
            <w:pPr>
              <w:spacing w:before="60" w:line="200" w:lineRule="exact"/>
              <w:rPr>
                <w:b/>
                <w:sz w:val="16"/>
                <w:szCs w:val="16"/>
                <w:lang w:eastAsia="en-US"/>
              </w:rPr>
            </w:pPr>
            <w:r w:rsidRPr="008A1DE5">
              <w:rPr>
                <w:b/>
                <w:sz w:val="16"/>
                <w:szCs w:val="16"/>
                <w:lang w:eastAsia="en-US"/>
              </w:rPr>
              <w:t>Förän</w:t>
            </w:r>
            <w:r w:rsidRPr="008A1DE5">
              <w:rPr>
                <w:b/>
                <w:sz w:val="16"/>
                <w:szCs w:val="16"/>
                <w:lang w:eastAsia="en-US"/>
              </w:rPr>
              <w:t>d</w:t>
            </w:r>
            <w:r w:rsidRPr="008A1DE5">
              <w:rPr>
                <w:b/>
                <w:sz w:val="16"/>
                <w:szCs w:val="16"/>
                <w:lang w:eastAsia="en-US"/>
              </w:rPr>
              <w:t>ringar 2008</w:t>
            </w:r>
          </w:p>
        </w:tc>
      </w:tr>
      <w:tr w:rsidR="00F17C8B" w:rsidRPr="008A1DE5">
        <w:tc>
          <w:tcPr>
            <w:tcW w:w="637" w:type="dxa"/>
            <w:tcBorders>
              <w:top w:val="single" w:sz="4" w:space="0" w:color="auto"/>
            </w:tcBorders>
          </w:tcPr>
          <w:p w:rsidR="00F17C8B" w:rsidRPr="008A1DE5" w:rsidRDefault="00F17C8B" w:rsidP="00A9495B">
            <w:pPr>
              <w:pStyle w:val="KantRubrikS5V"/>
              <w:widowControl/>
              <w:tabs>
                <w:tab w:val="clear" w:pos="1814"/>
                <w:tab w:val="clear" w:pos="1899"/>
              </w:tabs>
              <w:suppressAutoHyphens w:val="0"/>
              <w:spacing w:before="60" w:line="200" w:lineRule="exact"/>
              <w:rPr>
                <w:noProof w:val="0"/>
                <w:spacing w:val="0"/>
                <w:szCs w:val="16"/>
                <w:lang w:val="sv-SE"/>
              </w:rPr>
            </w:pPr>
            <w:r w:rsidRPr="008A1DE5">
              <w:rPr>
                <w:noProof w:val="0"/>
                <w:spacing w:val="0"/>
                <w:szCs w:val="16"/>
                <w:lang w:val="sv-SE"/>
              </w:rPr>
              <w:t>35:1</w:t>
            </w:r>
          </w:p>
        </w:tc>
        <w:tc>
          <w:tcPr>
            <w:tcW w:w="2891" w:type="dxa"/>
            <w:tcBorders>
              <w:top w:val="single" w:sz="4" w:space="0" w:color="auto"/>
            </w:tcBorders>
            <w:vAlign w:val="bottom"/>
          </w:tcPr>
          <w:p w:rsidR="00F17C8B" w:rsidRPr="008A1DE5" w:rsidRDefault="00F17C8B" w:rsidP="009329D5">
            <w:pPr>
              <w:pStyle w:val="KantRubrikS5V"/>
              <w:widowControl/>
              <w:tabs>
                <w:tab w:val="clear" w:pos="1814"/>
                <w:tab w:val="clear" w:pos="1899"/>
              </w:tabs>
              <w:suppressAutoHyphens w:val="0"/>
              <w:spacing w:before="60" w:line="200" w:lineRule="exact"/>
              <w:jc w:val="both"/>
              <w:rPr>
                <w:noProof w:val="0"/>
                <w:spacing w:val="0"/>
                <w:szCs w:val="16"/>
                <w:lang w:val="sv-SE"/>
              </w:rPr>
            </w:pPr>
            <w:r w:rsidRPr="008A1DE5">
              <w:rPr>
                <w:noProof w:val="0"/>
                <w:spacing w:val="0"/>
                <w:szCs w:val="16"/>
                <w:lang w:val="sv-SE"/>
              </w:rPr>
              <w:t>Statens energimyndighet</w:t>
            </w:r>
          </w:p>
        </w:tc>
        <w:tc>
          <w:tcPr>
            <w:tcW w:w="1260" w:type="dxa"/>
            <w:tcBorders>
              <w:top w:val="single" w:sz="4" w:space="0" w:color="auto"/>
            </w:tcBorders>
            <w:vAlign w:val="bottom"/>
          </w:tcPr>
          <w:p w:rsidR="00F17C8B" w:rsidRPr="008A1DE5" w:rsidRDefault="00F17C8B" w:rsidP="009329D5">
            <w:pPr>
              <w:pStyle w:val="KantRubrikS5V"/>
              <w:widowControl/>
              <w:tabs>
                <w:tab w:val="clear" w:pos="1814"/>
                <w:tab w:val="clear" w:pos="1899"/>
                <w:tab w:val="decimal" w:pos="557"/>
              </w:tabs>
              <w:suppressAutoHyphens w:val="0"/>
              <w:spacing w:before="60" w:line="200" w:lineRule="exact"/>
              <w:ind w:right="202"/>
              <w:rPr>
                <w:noProof w:val="0"/>
                <w:spacing w:val="0"/>
                <w:szCs w:val="16"/>
                <w:lang w:val="sv-SE"/>
              </w:rPr>
            </w:pPr>
            <w:r w:rsidRPr="008A1DE5">
              <w:rPr>
                <w:noProof w:val="0"/>
                <w:spacing w:val="0"/>
                <w:szCs w:val="16"/>
                <w:lang w:val="sv-SE"/>
              </w:rPr>
              <w:t>200,5</w:t>
            </w:r>
          </w:p>
        </w:tc>
        <w:tc>
          <w:tcPr>
            <w:tcW w:w="1290" w:type="dxa"/>
            <w:tcBorders>
              <w:top w:val="single" w:sz="4" w:space="0" w:color="auto"/>
            </w:tcBorders>
            <w:vAlign w:val="bottom"/>
          </w:tcPr>
          <w:p w:rsidR="00F17C8B" w:rsidRPr="008A1DE5" w:rsidRDefault="00D51CC6" w:rsidP="009329D5">
            <w:pPr>
              <w:pStyle w:val="KantRubrikS5V"/>
              <w:widowControl/>
              <w:tabs>
                <w:tab w:val="clear" w:pos="1814"/>
                <w:tab w:val="clear" w:pos="1899"/>
                <w:tab w:val="decimal" w:pos="567"/>
              </w:tabs>
              <w:suppressAutoHyphens w:val="0"/>
              <w:spacing w:before="60" w:line="200" w:lineRule="exact"/>
              <w:ind w:right="202"/>
              <w:rPr>
                <w:noProof w:val="0"/>
                <w:spacing w:val="0"/>
                <w:szCs w:val="16"/>
                <w:lang w:val="sv-SE"/>
              </w:rPr>
            </w:pPr>
            <w:r w:rsidRPr="008A1DE5">
              <w:rPr>
                <w:noProof w:val="0"/>
                <w:spacing w:val="0"/>
                <w:szCs w:val="16"/>
                <w:lang w:val="sv-SE"/>
              </w:rPr>
              <w:t>–</w:t>
            </w:r>
            <w:r w:rsidR="00796DE6" w:rsidRPr="008A1DE5">
              <w:rPr>
                <w:noProof w:val="0"/>
                <w:spacing w:val="0"/>
                <w:szCs w:val="16"/>
                <w:lang w:val="sv-SE"/>
              </w:rPr>
              <w:t>2</w:t>
            </w:r>
            <w:r w:rsidR="00055176" w:rsidRPr="008A1DE5">
              <w:rPr>
                <w:noProof w:val="0"/>
                <w:spacing w:val="0"/>
                <w:szCs w:val="16"/>
                <w:lang w:val="sv-SE"/>
              </w:rPr>
              <w:t>5</w:t>
            </w:r>
          </w:p>
        </w:tc>
      </w:tr>
      <w:tr w:rsidR="00F17C8B" w:rsidRPr="008A1DE5">
        <w:tc>
          <w:tcPr>
            <w:tcW w:w="637" w:type="dxa"/>
          </w:tcPr>
          <w:p w:rsidR="00F17C8B" w:rsidRPr="008A1DE5" w:rsidRDefault="00F17C8B" w:rsidP="00A9495B">
            <w:pPr>
              <w:pStyle w:val="KantRubrikS5V"/>
              <w:widowControl/>
              <w:tabs>
                <w:tab w:val="clear" w:pos="1814"/>
                <w:tab w:val="clear" w:pos="1899"/>
              </w:tabs>
              <w:suppressAutoHyphens w:val="0"/>
              <w:spacing w:before="60" w:line="200" w:lineRule="exact"/>
              <w:rPr>
                <w:noProof w:val="0"/>
                <w:spacing w:val="0"/>
                <w:szCs w:val="16"/>
                <w:lang w:val="sv-SE"/>
              </w:rPr>
            </w:pPr>
            <w:r w:rsidRPr="008A1DE5">
              <w:rPr>
                <w:noProof w:val="0"/>
                <w:spacing w:val="0"/>
                <w:szCs w:val="16"/>
                <w:lang w:val="sv-SE"/>
              </w:rPr>
              <w:t>35:2</w:t>
            </w:r>
          </w:p>
        </w:tc>
        <w:tc>
          <w:tcPr>
            <w:tcW w:w="2891" w:type="dxa"/>
            <w:vAlign w:val="bottom"/>
          </w:tcPr>
          <w:p w:rsidR="00F17C8B" w:rsidRPr="008A1DE5" w:rsidRDefault="00F17C8B" w:rsidP="009329D5">
            <w:pPr>
              <w:pStyle w:val="KantRubrikS5V"/>
              <w:widowControl/>
              <w:tabs>
                <w:tab w:val="clear" w:pos="1814"/>
                <w:tab w:val="clear" w:pos="1899"/>
              </w:tabs>
              <w:suppressAutoHyphens w:val="0"/>
              <w:spacing w:before="60" w:line="200" w:lineRule="exact"/>
              <w:jc w:val="both"/>
              <w:rPr>
                <w:noProof w:val="0"/>
                <w:spacing w:val="0"/>
                <w:szCs w:val="16"/>
                <w:lang w:val="sv-SE"/>
              </w:rPr>
            </w:pPr>
            <w:r w:rsidRPr="008A1DE5">
              <w:rPr>
                <w:noProof w:val="0"/>
                <w:spacing w:val="0"/>
                <w:szCs w:val="16"/>
                <w:lang w:val="sv-SE"/>
              </w:rPr>
              <w:t>Insatser för effektivare energia</w:t>
            </w:r>
            <w:r w:rsidRPr="008A1DE5">
              <w:rPr>
                <w:noProof w:val="0"/>
                <w:spacing w:val="0"/>
                <w:szCs w:val="16"/>
                <w:lang w:val="sv-SE"/>
              </w:rPr>
              <w:t>n</w:t>
            </w:r>
            <w:r w:rsidRPr="008A1DE5">
              <w:rPr>
                <w:noProof w:val="0"/>
                <w:spacing w:val="0"/>
                <w:szCs w:val="16"/>
                <w:lang w:val="sv-SE"/>
              </w:rPr>
              <w:t>vändning</w:t>
            </w:r>
          </w:p>
        </w:tc>
        <w:tc>
          <w:tcPr>
            <w:tcW w:w="1260" w:type="dxa"/>
            <w:vAlign w:val="bottom"/>
          </w:tcPr>
          <w:p w:rsidR="00F17C8B" w:rsidRPr="008A1DE5" w:rsidRDefault="00F17C8B" w:rsidP="009329D5">
            <w:pPr>
              <w:pStyle w:val="KantRubrikS5V"/>
              <w:widowControl/>
              <w:tabs>
                <w:tab w:val="clear" w:pos="1814"/>
                <w:tab w:val="clear" w:pos="1899"/>
                <w:tab w:val="decimal" w:pos="557"/>
              </w:tabs>
              <w:suppressAutoHyphens w:val="0"/>
              <w:spacing w:before="60" w:line="200" w:lineRule="exact"/>
              <w:ind w:right="202"/>
              <w:rPr>
                <w:noProof w:val="0"/>
                <w:spacing w:val="0"/>
                <w:szCs w:val="16"/>
                <w:lang w:val="sv-SE"/>
              </w:rPr>
            </w:pPr>
            <w:r w:rsidRPr="008A1DE5">
              <w:rPr>
                <w:noProof w:val="0"/>
                <w:spacing w:val="0"/>
                <w:szCs w:val="16"/>
                <w:lang w:val="sv-SE"/>
              </w:rPr>
              <w:t>3</w:t>
            </w:r>
          </w:p>
        </w:tc>
        <w:tc>
          <w:tcPr>
            <w:tcW w:w="1290" w:type="dxa"/>
            <w:vAlign w:val="bottom"/>
          </w:tcPr>
          <w:p w:rsidR="00F17C8B" w:rsidRPr="008A1DE5" w:rsidRDefault="00D51CC6" w:rsidP="009329D5">
            <w:pPr>
              <w:pStyle w:val="KantRubrikS5V"/>
              <w:widowControl/>
              <w:tabs>
                <w:tab w:val="clear" w:pos="1814"/>
                <w:tab w:val="clear" w:pos="1899"/>
                <w:tab w:val="decimal" w:pos="567"/>
              </w:tabs>
              <w:suppressAutoHyphens w:val="0"/>
              <w:spacing w:before="60" w:line="200" w:lineRule="exact"/>
              <w:ind w:right="202"/>
              <w:rPr>
                <w:noProof w:val="0"/>
                <w:spacing w:val="0"/>
                <w:szCs w:val="16"/>
                <w:lang w:val="sv-SE"/>
              </w:rPr>
            </w:pPr>
            <w:r w:rsidRPr="008A1DE5">
              <w:rPr>
                <w:noProof w:val="0"/>
                <w:spacing w:val="0"/>
                <w:szCs w:val="16"/>
                <w:lang w:val="sv-SE"/>
              </w:rPr>
              <w:t>–</w:t>
            </w:r>
            <w:r w:rsidR="00F17C8B" w:rsidRPr="008A1DE5">
              <w:rPr>
                <w:noProof w:val="0"/>
                <w:spacing w:val="0"/>
                <w:szCs w:val="16"/>
                <w:lang w:val="sv-SE"/>
              </w:rPr>
              <w:t>3</w:t>
            </w:r>
          </w:p>
        </w:tc>
      </w:tr>
      <w:tr w:rsidR="00F17C8B" w:rsidRPr="008A1DE5">
        <w:tc>
          <w:tcPr>
            <w:tcW w:w="637" w:type="dxa"/>
          </w:tcPr>
          <w:p w:rsidR="00F17C8B" w:rsidRPr="008A1DE5" w:rsidRDefault="00F17C8B" w:rsidP="00A9495B">
            <w:pPr>
              <w:pStyle w:val="KantRubrikS5V"/>
              <w:widowControl/>
              <w:tabs>
                <w:tab w:val="clear" w:pos="1814"/>
                <w:tab w:val="clear" w:pos="1899"/>
              </w:tabs>
              <w:suppressAutoHyphens w:val="0"/>
              <w:spacing w:before="60" w:line="200" w:lineRule="exact"/>
              <w:rPr>
                <w:noProof w:val="0"/>
                <w:spacing w:val="0"/>
                <w:szCs w:val="16"/>
                <w:lang w:val="sv-SE"/>
              </w:rPr>
            </w:pPr>
            <w:r w:rsidRPr="008A1DE5">
              <w:rPr>
                <w:noProof w:val="0"/>
                <w:spacing w:val="0"/>
                <w:szCs w:val="16"/>
                <w:lang w:val="sv-SE"/>
              </w:rPr>
              <w:t>35:3</w:t>
            </w:r>
          </w:p>
        </w:tc>
        <w:tc>
          <w:tcPr>
            <w:tcW w:w="2891" w:type="dxa"/>
            <w:vAlign w:val="bottom"/>
          </w:tcPr>
          <w:p w:rsidR="00F17C8B" w:rsidRPr="008A1DE5" w:rsidRDefault="00F17C8B" w:rsidP="009329D5">
            <w:pPr>
              <w:pStyle w:val="KantRubrikS5V"/>
              <w:widowControl/>
              <w:tabs>
                <w:tab w:val="clear" w:pos="1814"/>
                <w:tab w:val="clear" w:pos="1899"/>
              </w:tabs>
              <w:suppressAutoHyphens w:val="0"/>
              <w:spacing w:before="60" w:line="200" w:lineRule="exact"/>
              <w:jc w:val="both"/>
              <w:rPr>
                <w:noProof w:val="0"/>
                <w:spacing w:val="0"/>
                <w:szCs w:val="16"/>
                <w:lang w:val="sv-SE"/>
              </w:rPr>
            </w:pPr>
            <w:r w:rsidRPr="008A1DE5">
              <w:rPr>
                <w:noProof w:val="0"/>
                <w:spacing w:val="0"/>
                <w:szCs w:val="16"/>
                <w:lang w:val="sv-SE"/>
              </w:rPr>
              <w:t>Teknikupphandling och marknadsintr</w:t>
            </w:r>
            <w:r w:rsidRPr="008A1DE5">
              <w:rPr>
                <w:noProof w:val="0"/>
                <w:spacing w:val="0"/>
                <w:szCs w:val="16"/>
                <w:lang w:val="sv-SE"/>
              </w:rPr>
              <w:t>o</w:t>
            </w:r>
            <w:r w:rsidRPr="008A1DE5">
              <w:rPr>
                <w:noProof w:val="0"/>
                <w:spacing w:val="0"/>
                <w:szCs w:val="16"/>
                <w:lang w:val="sv-SE"/>
              </w:rPr>
              <w:t>duktion</w:t>
            </w:r>
          </w:p>
        </w:tc>
        <w:tc>
          <w:tcPr>
            <w:tcW w:w="1260" w:type="dxa"/>
            <w:vAlign w:val="bottom"/>
          </w:tcPr>
          <w:p w:rsidR="00F17C8B" w:rsidRPr="008A1DE5" w:rsidRDefault="00F17C8B" w:rsidP="009329D5">
            <w:pPr>
              <w:pStyle w:val="KantRubrikS5V"/>
              <w:widowControl/>
              <w:tabs>
                <w:tab w:val="clear" w:pos="1814"/>
                <w:tab w:val="clear" w:pos="1899"/>
                <w:tab w:val="decimal" w:pos="557"/>
              </w:tabs>
              <w:suppressAutoHyphens w:val="0"/>
              <w:spacing w:before="60" w:line="200" w:lineRule="exact"/>
              <w:ind w:right="202"/>
              <w:rPr>
                <w:noProof w:val="0"/>
                <w:spacing w:val="0"/>
                <w:szCs w:val="16"/>
                <w:lang w:val="sv-SE"/>
              </w:rPr>
            </w:pPr>
            <w:r w:rsidRPr="008A1DE5">
              <w:rPr>
                <w:noProof w:val="0"/>
                <w:spacing w:val="0"/>
                <w:szCs w:val="16"/>
                <w:lang w:val="sv-SE"/>
              </w:rPr>
              <w:t>0</w:t>
            </w:r>
          </w:p>
        </w:tc>
        <w:tc>
          <w:tcPr>
            <w:tcW w:w="1290" w:type="dxa"/>
            <w:vAlign w:val="bottom"/>
          </w:tcPr>
          <w:p w:rsidR="00F17C8B" w:rsidRPr="008A1DE5" w:rsidRDefault="00F17C8B" w:rsidP="009329D5">
            <w:pPr>
              <w:pStyle w:val="KantRubrikS5V"/>
              <w:widowControl/>
              <w:tabs>
                <w:tab w:val="clear" w:pos="1814"/>
                <w:tab w:val="clear" w:pos="1899"/>
                <w:tab w:val="decimal" w:pos="567"/>
              </w:tabs>
              <w:suppressAutoHyphens w:val="0"/>
              <w:spacing w:before="60" w:line="200" w:lineRule="exact"/>
              <w:ind w:right="202"/>
              <w:rPr>
                <w:noProof w:val="0"/>
                <w:spacing w:val="0"/>
                <w:szCs w:val="16"/>
                <w:lang w:val="sv-SE"/>
              </w:rPr>
            </w:pPr>
            <w:r w:rsidRPr="008A1DE5">
              <w:rPr>
                <w:noProof w:val="0"/>
                <w:spacing w:val="0"/>
                <w:szCs w:val="16"/>
                <w:lang w:val="sv-SE"/>
              </w:rPr>
              <w:t>0</w:t>
            </w:r>
          </w:p>
        </w:tc>
      </w:tr>
      <w:tr w:rsidR="00F17C8B" w:rsidRPr="008A1DE5">
        <w:tc>
          <w:tcPr>
            <w:tcW w:w="637" w:type="dxa"/>
          </w:tcPr>
          <w:p w:rsidR="00F17C8B" w:rsidRPr="008A1DE5" w:rsidRDefault="00F17C8B" w:rsidP="00A9495B">
            <w:pPr>
              <w:pStyle w:val="KantRubrikS5V"/>
              <w:widowControl/>
              <w:tabs>
                <w:tab w:val="clear" w:pos="1814"/>
                <w:tab w:val="clear" w:pos="1899"/>
              </w:tabs>
              <w:suppressAutoHyphens w:val="0"/>
              <w:spacing w:before="60" w:line="200" w:lineRule="exact"/>
              <w:rPr>
                <w:noProof w:val="0"/>
                <w:spacing w:val="0"/>
                <w:szCs w:val="16"/>
                <w:lang w:val="sv-SE"/>
              </w:rPr>
            </w:pPr>
            <w:r w:rsidRPr="008A1DE5">
              <w:rPr>
                <w:noProof w:val="0"/>
                <w:spacing w:val="0"/>
                <w:szCs w:val="16"/>
                <w:lang w:val="sv-SE"/>
              </w:rPr>
              <w:t>35:4</w:t>
            </w:r>
          </w:p>
        </w:tc>
        <w:tc>
          <w:tcPr>
            <w:tcW w:w="2891" w:type="dxa"/>
            <w:vAlign w:val="bottom"/>
          </w:tcPr>
          <w:p w:rsidR="00F17C8B" w:rsidRPr="008A1DE5" w:rsidRDefault="00F17C8B" w:rsidP="009329D5">
            <w:pPr>
              <w:pStyle w:val="KantRubrikS5V"/>
              <w:widowControl/>
              <w:tabs>
                <w:tab w:val="clear" w:pos="1814"/>
                <w:tab w:val="clear" w:pos="1899"/>
              </w:tabs>
              <w:suppressAutoHyphens w:val="0"/>
              <w:spacing w:before="60" w:line="200" w:lineRule="exact"/>
              <w:jc w:val="both"/>
              <w:rPr>
                <w:noProof w:val="0"/>
                <w:spacing w:val="0"/>
                <w:szCs w:val="16"/>
                <w:lang w:val="sv-SE"/>
              </w:rPr>
            </w:pPr>
            <w:r w:rsidRPr="008A1DE5">
              <w:rPr>
                <w:noProof w:val="0"/>
                <w:spacing w:val="0"/>
                <w:szCs w:val="16"/>
                <w:lang w:val="sv-SE"/>
              </w:rPr>
              <w:t>Stöd till introduktion av vin</w:t>
            </w:r>
            <w:r w:rsidRPr="008A1DE5">
              <w:rPr>
                <w:noProof w:val="0"/>
                <w:spacing w:val="0"/>
                <w:szCs w:val="16"/>
                <w:lang w:val="sv-SE"/>
              </w:rPr>
              <w:t>d</w:t>
            </w:r>
            <w:r w:rsidRPr="008A1DE5">
              <w:rPr>
                <w:noProof w:val="0"/>
                <w:spacing w:val="0"/>
                <w:szCs w:val="16"/>
                <w:lang w:val="sv-SE"/>
              </w:rPr>
              <w:t>kraft</w:t>
            </w:r>
          </w:p>
        </w:tc>
        <w:tc>
          <w:tcPr>
            <w:tcW w:w="1260" w:type="dxa"/>
            <w:vAlign w:val="bottom"/>
          </w:tcPr>
          <w:p w:rsidR="00F17C8B" w:rsidRPr="008A1DE5" w:rsidRDefault="00F17C8B" w:rsidP="009329D5">
            <w:pPr>
              <w:pStyle w:val="KantRubrikS5V"/>
              <w:widowControl/>
              <w:tabs>
                <w:tab w:val="clear" w:pos="1814"/>
                <w:tab w:val="clear" w:pos="1899"/>
                <w:tab w:val="decimal" w:pos="557"/>
              </w:tabs>
              <w:suppressAutoHyphens w:val="0"/>
              <w:spacing w:before="60" w:line="200" w:lineRule="exact"/>
              <w:ind w:right="202"/>
              <w:rPr>
                <w:noProof w:val="0"/>
                <w:spacing w:val="0"/>
                <w:szCs w:val="16"/>
                <w:lang w:val="sv-SE"/>
              </w:rPr>
            </w:pPr>
            <w:r w:rsidRPr="008A1DE5">
              <w:rPr>
                <w:noProof w:val="0"/>
                <w:spacing w:val="0"/>
                <w:szCs w:val="16"/>
                <w:lang w:val="sv-SE"/>
              </w:rPr>
              <w:t>70</w:t>
            </w:r>
          </w:p>
        </w:tc>
        <w:tc>
          <w:tcPr>
            <w:tcW w:w="1290" w:type="dxa"/>
            <w:vAlign w:val="bottom"/>
          </w:tcPr>
          <w:p w:rsidR="00F17C8B" w:rsidRPr="008A1DE5" w:rsidRDefault="00D51CC6" w:rsidP="009329D5">
            <w:pPr>
              <w:pStyle w:val="KantRubrikS5V"/>
              <w:widowControl/>
              <w:tabs>
                <w:tab w:val="clear" w:pos="1814"/>
                <w:tab w:val="clear" w:pos="1899"/>
                <w:tab w:val="decimal" w:pos="567"/>
              </w:tabs>
              <w:suppressAutoHyphens w:val="0"/>
              <w:spacing w:before="60" w:line="200" w:lineRule="exact"/>
              <w:ind w:right="202"/>
              <w:rPr>
                <w:noProof w:val="0"/>
                <w:spacing w:val="0"/>
                <w:szCs w:val="16"/>
                <w:lang w:val="sv-SE"/>
              </w:rPr>
            </w:pPr>
            <w:r w:rsidRPr="008A1DE5">
              <w:rPr>
                <w:noProof w:val="0"/>
                <w:spacing w:val="0"/>
                <w:szCs w:val="16"/>
                <w:lang w:val="sv-SE"/>
              </w:rPr>
              <w:t>–</w:t>
            </w:r>
            <w:r w:rsidR="00F17C8B" w:rsidRPr="008A1DE5">
              <w:rPr>
                <w:noProof w:val="0"/>
                <w:spacing w:val="0"/>
                <w:szCs w:val="16"/>
                <w:lang w:val="sv-SE"/>
              </w:rPr>
              <w:t>70</w:t>
            </w:r>
          </w:p>
        </w:tc>
      </w:tr>
      <w:tr w:rsidR="00F17C8B" w:rsidRPr="008A1DE5">
        <w:tc>
          <w:tcPr>
            <w:tcW w:w="637" w:type="dxa"/>
          </w:tcPr>
          <w:p w:rsidR="00F17C8B" w:rsidRPr="008A1DE5" w:rsidRDefault="00F17C8B" w:rsidP="00A9495B">
            <w:pPr>
              <w:pStyle w:val="KantRubrikS5V"/>
              <w:widowControl/>
              <w:tabs>
                <w:tab w:val="clear" w:pos="1814"/>
                <w:tab w:val="clear" w:pos="1899"/>
              </w:tabs>
              <w:suppressAutoHyphens w:val="0"/>
              <w:spacing w:before="60" w:line="200" w:lineRule="exact"/>
              <w:rPr>
                <w:noProof w:val="0"/>
                <w:spacing w:val="0"/>
                <w:szCs w:val="16"/>
                <w:lang w:val="sv-SE"/>
              </w:rPr>
            </w:pPr>
            <w:r w:rsidRPr="008A1DE5">
              <w:rPr>
                <w:noProof w:val="0"/>
                <w:spacing w:val="0"/>
                <w:szCs w:val="16"/>
                <w:lang w:val="sv-SE"/>
              </w:rPr>
              <w:t>35:5</w:t>
            </w:r>
          </w:p>
        </w:tc>
        <w:tc>
          <w:tcPr>
            <w:tcW w:w="2891" w:type="dxa"/>
            <w:vAlign w:val="bottom"/>
          </w:tcPr>
          <w:p w:rsidR="00F17C8B" w:rsidRPr="008A1DE5" w:rsidRDefault="00F17C8B" w:rsidP="009329D5">
            <w:pPr>
              <w:pStyle w:val="KantRubrikS5V"/>
              <w:widowControl/>
              <w:tabs>
                <w:tab w:val="clear" w:pos="1814"/>
                <w:tab w:val="clear" w:pos="1899"/>
              </w:tabs>
              <w:suppressAutoHyphens w:val="0"/>
              <w:spacing w:before="60" w:line="200" w:lineRule="exact"/>
              <w:jc w:val="both"/>
              <w:rPr>
                <w:noProof w:val="0"/>
                <w:spacing w:val="0"/>
                <w:szCs w:val="16"/>
                <w:lang w:val="sv-SE"/>
              </w:rPr>
            </w:pPr>
            <w:r w:rsidRPr="008A1DE5">
              <w:rPr>
                <w:noProof w:val="0"/>
                <w:spacing w:val="0"/>
                <w:szCs w:val="16"/>
                <w:lang w:val="sv-SE"/>
              </w:rPr>
              <w:t>Energiforskning</w:t>
            </w:r>
          </w:p>
        </w:tc>
        <w:tc>
          <w:tcPr>
            <w:tcW w:w="1260" w:type="dxa"/>
            <w:vAlign w:val="bottom"/>
          </w:tcPr>
          <w:p w:rsidR="00F17C8B" w:rsidRPr="008A1DE5" w:rsidRDefault="00F17C8B" w:rsidP="009329D5">
            <w:pPr>
              <w:pStyle w:val="KantRubrikS5V"/>
              <w:widowControl/>
              <w:tabs>
                <w:tab w:val="clear" w:pos="1814"/>
                <w:tab w:val="clear" w:pos="1899"/>
                <w:tab w:val="decimal" w:pos="557"/>
              </w:tabs>
              <w:suppressAutoHyphens w:val="0"/>
              <w:spacing w:before="60" w:line="200" w:lineRule="exact"/>
              <w:ind w:right="202"/>
              <w:rPr>
                <w:noProof w:val="0"/>
                <w:spacing w:val="0"/>
                <w:szCs w:val="16"/>
                <w:lang w:val="sv-SE"/>
              </w:rPr>
            </w:pPr>
            <w:r w:rsidRPr="008A1DE5">
              <w:rPr>
                <w:noProof w:val="0"/>
                <w:spacing w:val="0"/>
                <w:szCs w:val="16"/>
                <w:lang w:val="sv-SE"/>
              </w:rPr>
              <w:t>842,4</w:t>
            </w:r>
          </w:p>
        </w:tc>
        <w:tc>
          <w:tcPr>
            <w:tcW w:w="1290" w:type="dxa"/>
            <w:vAlign w:val="bottom"/>
          </w:tcPr>
          <w:p w:rsidR="00F17C8B" w:rsidRPr="008A1DE5" w:rsidRDefault="00F17C8B" w:rsidP="009329D5">
            <w:pPr>
              <w:pStyle w:val="KantRubrikS5V"/>
              <w:widowControl/>
              <w:tabs>
                <w:tab w:val="clear" w:pos="1814"/>
                <w:tab w:val="clear" w:pos="1899"/>
                <w:tab w:val="decimal" w:pos="567"/>
              </w:tabs>
              <w:suppressAutoHyphens w:val="0"/>
              <w:spacing w:before="60" w:line="200" w:lineRule="exact"/>
              <w:ind w:right="202"/>
              <w:rPr>
                <w:noProof w:val="0"/>
                <w:spacing w:val="0"/>
                <w:szCs w:val="16"/>
                <w:lang w:val="sv-SE"/>
              </w:rPr>
            </w:pPr>
            <w:r w:rsidRPr="008A1DE5">
              <w:rPr>
                <w:noProof w:val="0"/>
                <w:spacing w:val="0"/>
                <w:szCs w:val="16"/>
                <w:lang w:val="sv-SE"/>
              </w:rPr>
              <w:t>0</w:t>
            </w:r>
          </w:p>
        </w:tc>
      </w:tr>
      <w:tr w:rsidR="00F17C8B" w:rsidRPr="008A1DE5">
        <w:tc>
          <w:tcPr>
            <w:tcW w:w="637" w:type="dxa"/>
          </w:tcPr>
          <w:p w:rsidR="00F17C8B" w:rsidRPr="008A1DE5" w:rsidRDefault="00F17C8B" w:rsidP="00A9495B">
            <w:pPr>
              <w:pStyle w:val="KantRubrikS5V"/>
              <w:widowControl/>
              <w:tabs>
                <w:tab w:val="clear" w:pos="1814"/>
                <w:tab w:val="clear" w:pos="1899"/>
              </w:tabs>
              <w:suppressAutoHyphens w:val="0"/>
              <w:spacing w:before="60" w:line="200" w:lineRule="exact"/>
              <w:rPr>
                <w:noProof w:val="0"/>
                <w:spacing w:val="0"/>
                <w:szCs w:val="16"/>
                <w:lang w:val="sv-SE"/>
              </w:rPr>
            </w:pPr>
            <w:r w:rsidRPr="008A1DE5">
              <w:rPr>
                <w:noProof w:val="0"/>
                <w:spacing w:val="0"/>
                <w:szCs w:val="16"/>
                <w:lang w:val="sv-SE"/>
              </w:rPr>
              <w:t>35:6</w:t>
            </w:r>
          </w:p>
        </w:tc>
        <w:tc>
          <w:tcPr>
            <w:tcW w:w="2891" w:type="dxa"/>
            <w:vAlign w:val="bottom"/>
          </w:tcPr>
          <w:p w:rsidR="00F17C8B" w:rsidRPr="008A1DE5" w:rsidRDefault="00F17C8B" w:rsidP="009329D5">
            <w:pPr>
              <w:pStyle w:val="KantRubrikS5V"/>
              <w:widowControl/>
              <w:tabs>
                <w:tab w:val="clear" w:pos="1814"/>
                <w:tab w:val="clear" w:pos="1899"/>
              </w:tabs>
              <w:suppressAutoHyphens w:val="0"/>
              <w:spacing w:before="60" w:line="200" w:lineRule="exact"/>
              <w:jc w:val="both"/>
              <w:rPr>
                <w:noProof w:val="0"/>
                <w:spacing w:val="0"/>
                <w:szCs w:val="16"/>
                <w:lang w:val="sv-SE"/>
              </w:rPr>
            </w:pPr>
            <w:r w:rsidRPr="008A1DE5">
              <w:rPr>
                <w:noProof w:val="0"/>
                <w:spacing w:val="0"/>
                <w:szCs w:val="16"/>
                <w:lang w:val="sv-SE"/>
              </w:rPr>
              <w:t>Energipolitiskt motiverade inte</w:t>
            </w:r>
            <w:r w:rsidRPr="008A1DE5">
              <w:rPr>
                <w:noProof w:val="0"/>
                <w:spacing w:val="0"/>
                <w:szCs w:val="16"/>
                <w:lang w:val="sv-SE"/>
              </w:rPr>
              <w:t>r</w:t>
            </w:r>
            <w:r w:rsidRPr="008A1DE5">
              <w:rPr>
                <w:noProof w:val="0"/>
                <w:spacing w:val="0"/>
                <w:szCs w:val="16"/>
                <w:lang w:val="sv-SE"/>
              </w:rPr>
              <w:t>nationella klimatinsatser</w:t>
            </w:r>
          </w:p>
        </w:tc>
        <w:tc>
          <w:tcPr>
            <w:tcW w:w="1260" w:type="dxa"/>
            <w:vAlign w:val="bottom"/>
          </w:tcPr>
          <w:p w:rsidR="00F17C8B" w:rsidRPr="008A1DE5" w:rsidRDefault="00F17C8B" w:rsidP="009329D5">
            <w:pPr>
              <w:pStyle w:val="KantRubrikS5V"/>
              <w:widowControl/>
              <w:tabs>
                <w:tab w:val="clear" w:pos="1814"/>
                <w:tab w:val="clear" w:pos="1899"/>
                <w:tab w:val="decimal" w:pos="557"/>
              </w:tabs>
              <w:suppressAutoHyphens w:val="0"/>
              <w:spacing w:before="60" w:line="200" w:lineRule="exact"/>
              <w:ind w:right="202"/>
              <w:rPr>
                <w:noProof w:val="0"/>
                <w:spacing w:val="0"/>
                <w:szCs w:val="16"/>
                <w:lang w:val="sv-SE"/>
              </w:rPr>
            </w:pPr>
            <w:r w:rsidRPr="008A1DE5">
              <w:rPr>
                <w:noProof w:val="0"/>
                <w:spacing w:val="0"/>
                <w:szCs w:val="16"/>
                <w:lang w:val="sv-SE"/>
              </w:rPr>
              <w:t>18,1</w:t>
            </w:r>
          </w:p>
        </w:tc>
        <w:tc>
          <w:tcPr>
            <w:tcW w:w="1290" w:type="dxa"/>
            <w:vAlign w:val="bottom"/>
          </w:tcPr>
          <w:p w:rsidR="00F17C8B" w:rsidRPr="008A1DE5" w:rsidRDefault="00F17C8B" w:rsidP="009329D5">
            <w:pPr>
              <w:pStyle w:val="KantRubrikS5V"/>
              <w:widowControl/>
              <w:tabs>
                <w:tab w:val="clear" w:pos="1814"/>
                <w:tab w:val="clear" w:pos="1899"/>
                <w:tab w:val="decimal" w:pos="567"/>
              </w:tabs>
              <w:suppressAutoHyphens w:val="0"/>
              <w:spacing w:before="60" w:line="200" w:lineRule="exact"/>
              <w:ind w:right="202"/>
              <w:rPr>
                <w:noProof w:val="0"/>
                <w:spacing w:val="0"/>
                <w:szCs w:val="16"/>
                <w:lang w:val="sv-SE"/>
              </w:rPr>
            </w:pPr>
            <w:r w:rsidRPr="008A1DE5">
              <w:rPr>
                <w:noProof w:val="0"/>
                <w:spacing w:val="0"/>
                <w:szCs w:val="16"/>
                <w:lang w:val="sv-SE"/>
              </w:rPr>
              <w:t>0</w:t>
            </w:r>
          </w:p>
        </w:tc>
      </w:tr>
      <w:tr w:rsidR="00F17C8B" w:rsidRPr="008A1DE5">
        <w:tc>
          <w:tcPr>
            <w:tcW w:w="637" w:type="dxa"/>
          </w:tcPr>
          <w:p w:rsidR="00F17C8B" w:rsidRPr="008A1DE5" w:rsidRDefault="00F17C8B" w:rsidP="00A9495B">
            <w:pPr>
              <w:pStyle w:val="KantRubrikS5V"/>
              <w:widowControl/>
              <w:tabs>
                <w:tab w:val="clear" w:pos="1814"/>
                <w:tab w:val="clear" w:pos="1899"/>
              </w:tabs>
              <w:suppressAutoHyphens w:val="0"/>
              <w:spacing w:before="60" w:line="200" w:lineRule="exact"/>
              <w:rPr>
                <w:noProof w:val="0"/>
                <w:spacing w:val="0"/>
                <w:szCs w:val="16"/>
                <w:lang w:val="sv-SE"/>
              </w:rPr>
            </w:pPr>
            <w:r w:rsidRPr="008A1DE5">
              <w:rPr>
                <w:noProof w:val="0"/>
                <w:spacing w:val="0"/>
                <w:szCs w:val="16"/>
                <w:lang w:val="sv-SE"/>
              </w:rPr>
              <w:t>35:7</w:t>
            </w:r>
          </w:p>
        </w:tc>
        <w:tc>
          <w:tcPr>
            <w:tcW w:w="2891" w:type="dxa"/>
            <w:vAlign w:val="bottom"/>
          </w:tcPr>
          <w:p w:rsidR="00F17C8B" w:rsidRPr="008A1DE5" w:rsidRDefault="00F17C8B" w:rsidP="009329D5">
            <w:pPr>
              <w:pStyle w:val="KantRubrikS5V"/>
              <w:widowControl/>
              <w:tabs>
                <w:tab w:val="clear" w:pos="1814"/>
                <w:tab w:val="clear" w:pos="1899"/>
              </w:tabs>
              <w:suppressAutoHyphens w:val="0"/>
              <w:spacing w:before="60" w:line="200" w:lineRule="exact"/>
              <w:jc w:val="both"/>
              <w:rPr>
                <w:noProof w:val="0"/>
                <w:spacing w:val="0"/>
                <w:szCs w:val="16"/>
                <w:lang w:val="sv-SE"/>
              </w:rPr>
            </w:pPr>
            <w:r w:rsidRPr="008A1DE5">
              <w:rPr>
                <w:noProof w:val="0"/>
                <w:spacing w:val="0"/>
                <w:szCs w:val="16"/>
                <w:lang w:val="sv-SE"/>
              </w:rPr>
              <w:t>Statlig prisgaranti elcertifikat</w:t>
            </w:r>
          </w:p>
        </w:tc>
        <w:tc>
          <w:tcPr>
            <w:tcW w:w="1260" w:type="dxa"/>
            <w:vAlign w:val="bottom"/>
          </w:tcPr>
          <w:p w:rsidR="00F17C8B" w:rsidRPr="008A1DE5" w:rsidRDefault="00F17C8B" w:rsidP="009329D5">
            <w:pPr>
              <w:pStyle w:val="KantRubrikS5V"/>
              <w:widowControl/>
              <w:tabs>
                <w:tab w:val="clear" w:pos="1814"/>
                <w:tab w:val="clear" w:pos="1899"/>
                <w:tab w:val="decimal" w:pos="557"/>
              </w:tabs>
              <w:suppressAutoHyphens w:val="0"/>
              <w:spacing w:before="60" w:line="200" w:lineRule="exact"/>
              <w:ind w:right="202"/>
              <w:rPr>
                <w:noProof w:val="0"/>
                <w:spacing w:val="0"/>
                <w:szCs w:val="16"/>
                <w:lang w:val="sv-SE"/>
              </w:rPr>
            </w:pPr>
            <w:r w:rsidRPr="008A1DE5">
              <w:rPr>
                <w:noProof w:val="0"/>
                <w:spacing w:val="0"/>
                <w:szCs w:val="16"/>
                <w:lang w:val="sv-SE"/>
              </w:rPr>
              <w:t>19,5</w:t>
            </w:r>
          </w:p>
        </w:tc>
        <w:tc>
          <w:tcPr>
            <w:tcW w:w="1290" w:type="dxa"/>
            <w:vAlign w:val="bottom"/>
          </w:tcPr>
          <w:p w:rsidR="00F17C8B" w:rsidRPr="008A1DE5" w:rsidRDefault="00D51CC6" w:rsidP="009329D5">
            <w:pPr>
              <w:pStyle w:val="KantRubrikS5V"/>
              <w:widowControl/>
              <w:tabs>
                <w:tab w:val="clear" w:pos="1814"/>
                <w:tab w:val="clear" w:pos="1899"/>
                <w:tab w:val="decimal" w:pos="567"/>
              </w:tabs>
              <w:suppressAutoHyphens w:val="0"/>
              <w:spacing w:before="60" w:line="200" w:lineRule="exact"/>
              <w:ind w:right="202"/>
              <w:rPr>
                <w:noProof w:val="0"/>
                <w:spacing w:val="0"/>
                <w:szCs w:val="16"/>
                <w:lang w:val="sv-SE"/>
              </w:rPr>
            </w:pPr>
            <w:r w:rsidRPr="008A1DE5">
              <w:rPr>
                <w:noProof w:val="0"/>
                <w:spacing w:val="0"/>
                <w:szCs w:val="16"/>
                <w:lang w:val="sv-SE"/>
              </w:rPr>
              <w:t>–</w:t>
            </w:r>
            <w:r w:rsidR="00F17C8B" w:rsidRPr="008A1DE5">
              <w:rPr>
                <w:noProof w:val="0"/>
                <w:spacing w:val="0"/>
                <w:szCs w:val="16"/>
                <w:lang w:val="sv-SE"/>
              </w:rPr>
              <w:t>19,5</w:t>
            </w:r>
          </w:p>
        </w:tc>
      </w:tr>
      <w:tr w:rsidR="00F17C8B" w:rsidRPr="008A1DE5">
        <w:tc>
          <w:tcPr>
            <w:tcW w:w="637" w:type="dxa"/>
          </w:tcPr>
          <w:p w:rsidR="00F17C8B" w:rsidRPr="008A1DE5" w:rsidRDefault="00F17C8B" w:rsidP="00A9495B">
            <w:pPr>
              <w:pStyle w:val="KantRubrikS5V"/>
              <w:widowControl/>
              <w:tabs>
                <w:tab w:val="clear" w:pos="1814"/>
                <w:tab w:val="clear" w:pos="1899"/>
              </w:tabs>
              <w:suppressAutoHyphens w:val="0"/>
              <w:spacing w:before="60" w:line="200" w:lineRule="exact"/>
              <w:rPr>
                <w:noProof w:val="0"/>
                <w:spacing w:val="0"/>
                <w:szCs w:val="16"/>
                <w:lang w:val="sv-SE"/>
              </w:rPr>
            </w:pPr>
            <w:r w:rsidRPr="008A1DE5">
              <w:rPr>
                <w:noProof w:val="0"/>
                <w:spacing w:val="0"/>
                <w:szCs w:val="16"/>
                <w:lang w:val="sv-SE"/>
              </w:rPr>
              <w:t>35:8</w:t>
            </w:r>
          </w:p>
        </w:tc>
        <w:tc>
          <w:tcPr>
            <w:tcW w:w="2891" w:type="dxa"/>
            <w:vAlign w:val="bottom"/>
          </w:tcPr>
          <w:p w:rsidR="00F17C8B" w:rsidRPr="008A1DE5" w:rsidRDefault="00F17C8B" w:rsidP="009329D5">
            <w:pPr>
              <w:pStyle w:val="KantRubrikS5V"/>
              <w:widowControl/>
              <w:tabs>
                <w:tab w:val="clear" w:pos="1814"/>
                <w:tab w:val="clear" w:pos="1899"/>
              </w:tabs>
              <w:suppressAutoHyphens w:val="0"/>
              <w:spacing w:before="60" w:line="200" w:lineRule="exact"/>
              <w:jc w:val="both"/>
              <w:rPr>
                <w:noProof w:val="0"/>
                <w:spacing w:val="0"/>
                <w:szCs w:val="16"/>
                <w:lang w:val="sv-SE"/>
              </w:rPr>
            </w:pPr>
            <w:r w:rsidRPr="008A1DE5">
              <w:rPr>
                <w:noProof w:val="0"/>
                <w:spacing w:val="0"/>
                <w:szCs w:val="16"/>
                <w:lang w:val="sv-SE"/>
              </w:rPr>
              <w:t>Ersättning för vissa kostnader vid a</w:t>
            </w:r>
            <w:r w:rsidRPr="008A1DE5">
              <w:rPr>
                <w:noProof w:val="0"/>
                <w:spacing w:val="0"/>
                <w:szCs w:val="16"/>
                <w:lang w:val="sv-SE"/>
              </w:rPr>
              <w:t>v</w:t>
            </w:r>
            <w:r w:rsidRPr="008A1DE5">
              <w:rPr>
                <w:noProof w:val="0"/>
                <w:spacing w:val="0"/>
                <w:szCs w:val="16"/>
                <w:lang w:val="sv-SE"/>
              </w:rPr>
              <w:t>veckling av en reaktor vid Barsebäck</w:t>
            </w:r>
            <w:r w:rsidRPr="008A1DE5">
              <w:rPr>
                <w:noProof w:val="0"/>
                <w:spacing w:val="0"/>
                <w:szCs w:val="16"/>
                <w:lang w:val="sv-SE"/>
              </w:rPr>
              <w:t>s</w:t>
            </w:r>
            <w:r w:rsidRPr="008A1DE5">
              <w:rPr>
                <w:noProof w:val="0"/>
                <w:spacing w:val="0"/>
                <w:szCs w:val="16"/>
                <w:lang w:val="sv-SE"/>
              </w:rPr>
              <w:t>verket</w:t>
            </w:r>
          </w:p>
        </w:tc>
        <w:tc>
          <w:tcPr>
            <w:tcW w:w="1260" w:type="dxa"/>
            <w:vAlign w:val="bottom"/>
          </w:tcPr>
          <w:p w:rsidR="00F17C8B" w:rsidRPr="008A1DE5" w:rsidRDefault="00F17C8B" w:rsidP="009329D5">
            <w:pPr>
              <w:pStyle w:val="KantRubrikS5V"/>
              <w:widowControl/>
              <w:tabs>
                <w:tab w:val="clear" w:pos="1814"/>
                <w:tab w:val="clear" w:pos="1899"/>
                <w:tab w:val="decimal" w:pos="557"/>
              </w:tabs>
              <w:suppressAutoHyphens w:val="0"/>
              <w:spacing w:before="60" w:line="200" w:lineRule="exact"/>
              <w:ind w:right="202"/>
              <w:rPr>
                <w:noProof w:val="0"/>
                <w:spacing w:val="0"/>
                <w:szCs w:val="16"/>
                <w:lang w:val="sv-SE"/>
              </w:rPr>
            </w:pPr>
            <w:r w:rsidRPr="008A1DE5">
              <w:rPr>
                <w:noProof w:val="0"/>
                <w:spacing w:val="0"/>
                <w:szCs w:val="16"/>
                <w:lang w:val="sv-SE"/>
              </w:rPr>
              <w:t>288,4</w:t>
            </w:r>
          </w:p>
        </w:tc>
        <w:tc>
          <w:tcPr>
            <w:tcW w:w="1290" w:type="dxa"/>
            <w:vAlign w:val="bottom"/>
          </w:tcPr>
          <w:p w:rsidR="00F17C8B" w:rsidRPr="008A1DE5" w:rsidRDefault="00D51CC6" w:rsidP="009329D5">
            <w:pPr>
              <w:pStyle w:val="KantRubrikS5V"/>
              <w:widowControl/>
              <w:tabs>
                <w:tab w:val="clear" w:pos="1814"/>
                <w:tab w:val="clear" w:pos="1899"/>
                <w:tab w:val="decimal" w:pos="567"/>
              </w:tabs>
              <w:suppressAutoHyphens w:val="0"/>
              <w:spacing w:before="60" w:line="200" w:lineRule="exact"/>
              <w:ind w:right="202"/>
              <w:rPr>
                <w:noProof w:val="0"/>
                <w:spacing w:val="0"/>
                <w:szCs w:val="16"/>
                <w:lang w:val="sv-SE"/>
              </w:rPr>
            </w:pPr>
            <w:r w:rsidRPr="008A1DE5">
              <w:rPr>
                <w:noProof w:val="0"/>
                <w:spacing w:val="0"/>
                <w:szCs w:val="16"/>
                <w:lang w:val="sv-SE"/>
              </w:rPr>
              <w:t>–</w:t>
            </w:r>
            <w:r w:rsidR="00F17C8B" w:rsidRPr="008A1DE5">
              <w:rPr>
                <w:noProof w:val="0"/>
                <w:spacing w:val="0"/>
                <w:szCs w:val="16"/>
                <w:lang w:val="sv-SE"/>
              </w:rPr>
              <w:t>288,4</w:t>
            </w:r>
          </w:p>
        </w:tc>
      </w:tr>
      <w:tr w:rsidR="00F17C8B" w:rsidRPr="008A1DE5">
        <w:tc>
          <w:tcPr>
            <w:tcW w:w="637" w:type="dxa"/>
            <w:tcBorders>
              <w:bottom w:val="single" w:sz="4" w:space="0" w:color="auto"/>
            </w:tcBorders>
          </w:tcPr>
          <w:p w:rsidR="00F17C8B" w:rsidRPr="008A1DE5" w:rsidRDefault="00F17C8B" w:rsidP="00A9495B">
            <w:pPr>
              <w:pStyle w:val="KantRubrikS5V"/>
              <w:widowControl/>
              <w:tabs>
                <w:tab w:val="clear" w:pos="1814"/>
                <w:tab w:val="clear" w:pos="1899"/>
              </w:tabs>
              <w:suppressAutoHyphens w:val="0"/>
              <w:spacing w:before="60" w:line="200" w:lineRule="exact"/>
              <w:rPr>
                <w:b/>
                <w:noProof w:val="0"/>
                <w:spacing w:val="0"/>
                <w:szCs w:val="16"/>
                <w:lang w:val="sv-SE"/>
              </w:rPr>
            </w:pPr>
          </w:p>
        </w:tc>
        <w:tc>
          <w:tcPr>
            <w:tcW w:w="2891" w:type="dxa"/>
            <w:tcBorders>
              <w:bottom w:val="single" w:sz="4" w:space="0" w:color="auto"/>
            </w:tcBorders>
          </w:tcPr>
          <w:p w:rsidR="00F17C8B" w:rsidRPr="008A1DE5" w:rsidRDefault="00F17C8B" w:rsidP="00A9495B">
            <w:pPr>
              <w:pStyle w:val="KantRubrikS5V"/>
              <w:widowControl/>
              <w:tabs>
                <w:tab w:val="clear" w:pos="1814"/>
                <w:tab w:val="clear" w:pos="1899"/>
              </w:tabs>
              <w:suppressAutoHyphens w:val="0"/>
              <w:spacing w:before="60" w:line="200" w:lineRule="exact"/>
              <w:rPr>
                <w:b/>
                <w:noProof w:val="0"/>
                <w:spacing w:val="0"/>
                <w:szCs w:val="16"/>
                <w:lang w:val="sv-SE"/>
              </w:rPr>
            </w:pPr>
            <w:r w:rsidRPr="008A1DE5">
              <w:rPr>
                <w:b/>
                <w:noProof w:val="0"/>
                <w:spacing w:val="0"/>
                <w:szCs w:val="16"/>
                <w:lang w:val="sv-SE"/>
              </w:rPr>
              <w:t>Total</w:t>
            </w:r>
            <w:r w:rsidR="00512D8E" w:rsidRPr="008A1DE5">
              <w:rPr>
                <w:b/>
                <w:noProof w:val="0"/>
                <w:spacing w:val="0"/>
                <w:szCs w:val="16"/>
                <w:lang w:val="sv-SE"/>
              </w:rPr>
              <w:t>t</w:t>
            </w:r>
          </w:p>
        </w:tc>
        <w:tc>
          <w:tcPr>
            <w:tcW w:w="1260" w:type="dxa"/>
            <w:tcBorders>
              <w:bottom w:val="single" w:sz="4" w:space="0" w:color="auto"/>
            </w:tcBorders>
          </w:tcPr>
          <w:p w:rsidR="00F17C8B" w:rsidRPr="008A1DE5" w:rsidRDefault="00F17C8B" w:rsidP="009329D5">
            <w:pPr>
              <w:pStyle w:val="KantRubrikS5V"/>
              <w:widowControl/>
              <w:tabs>
                <w:tab w:val="clear" w:pos="1814"/>
                <w:tab w:val="clear" w:pos="1899"/>
                <w:tab w:val="decimal" w:pos="557"/>
              </w:tabs>
              <w:suppressAutoHyphens w:val="0"/>
              <w:spacing w:before="60" w:line="200" w:lineRule="exact"/>
              <w:ind w:right="202"/>
              <w:rPr>
                <w:b/>
                <w:noProof w:val="0"/>
                <w:spacing w:val="0"/>
                <w:szCs w:val="16"/>
                <w:lang w:val="sv-SE"/>
              </w:rPr>
            </w:pPr>
            <w:r w:rsidRPr="008A1DE5">
              <w:rPr>
                <w:b/>
                <w:noProof w:val="0"/>
                <w:spacing w:val="0"/>
                <w:szCs w:val="16"/>
                <w:lang w:val="sv-SE"/>
              </w:rPr>
              <w:t>1</w:t>
            </w:r>
            <w:r w:rsidR="00D51CC6" w:rsidRPr="008A1DE5">
              <w:rPr>
                <w:b/>
                <w:noProof w:val="0"/>
                <w:spacing w:val="0"/>
                <w:szCs w:val="16"/>
                <w:lang w:val="sv-SE"/>
              </w:rPr>
              <w:t> </w:t>
            </w:r>
            <w:r w:rsidRPr="008A1DE5">
              <w:rPr>
                <w:b/>
                <w:noProof w:val="0"/>
                <w:spacing w:val="0"/>
                <w:szCs w:val="16"/>
                <w:lang w:val="sv-SE"/>
              </w:rPr>
              <w:t>441,9</w:t>
            </w:r>
          </w:p>
        </w:tc>
        <w:tc>
          <w:tcPr>
            <w:tcW w:w="1290" w:type="dxa"/>
            <w:tcBorders>
              <w:bottom w:val="single" w:sz="4" w:space="0" w:color="auto"/>
            </w:tcBorders>
          </w:tcPr>
          <w:p w:rsidR="00F17C8B" w:rsidRPr="008A1DE5" w:rsidRDefault="00D51CC6" w:rsidP="009329D5">
            <w:pPr>
              <w:pStyle w:val="KantRubrikS5V"/>
              <w:widowControl/>
              <w:tabs>
                <w:tab w:val="clear" w:pos="1814"/>
                <w:tab w:val="clear" w:pos="1899"/>
                <w:tab w:val="decimal" w:pos="567"/>
              </w:tabs>
              <w:suppressAutoHyphens w:val="0"/>
              <w:spacing w:before="60" w:line="200" w:lineRule="exact"/>
              <w:ind w:right="202"/>
              <w:rPr>
                <w:b/>
                <w:noProof w:val="0"/>
                <w:spacing w:val="0"/>
                <w:szCs w:val="16"/>
                <w:lang w:val="sv-SE"/>
              </w:rPr>
            </w:pPr>
            <w:r w:rsidRPr="008A1DE5">
              <w:rPr>
                <w:b/>
                <w:noProof w:val="0"/>
                <w:spacing w:val="0"/>
                <w:szCs w:val="16"/>
                <w:lang w:val="sv-SE"/>
              </w:rPr>
              <w:t>–</w:t>
            </w:r>
            <w:r w:rsidR="00796DE6" w:rsidRPr="008A1DE5">
              <w:rPr>
                <w:b/>
                <w:noProof w:val="0"/>
                <w:spacing w:val="0"/>
                <w:szCs w:val="16"/>
                <w:lang w:val="sv-SE"/>
              </w:rPr>
              <w:t>40</w:t>
            </w:r>
            <w:r w:rsidR="00710B6E" w:rsidRPr="008A1DE5">
              <w:rPr>
                <w:b/>
                <w:noProof w:val="0"/>
                <w:spacing w:val="0"/>
                <w:szCs w:val="16"/>
                <w:lang w:val="sv-SE"/>
              </w:rPr>
              <w:t>5,9</w:t>
            </w:r>
          </w:p>
        </w:tc>
      </w:tr>
    </w:tbl>
    <w:p w:rsidR="00F17C8B" w:rsidRPr="008A1DE5" w:rsidRDefault="00F17C8B" w:rsidP="00AD51ED">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424BC" w:rsidRPr="008A1DE5">
        <w:tblPrEx>
          <w:tblCellMar>
            <w:top w:w="0" w:type="dxa"/>
            <w:bottom w:w="0" w:type="dxa"/>
          </w:tblCellMar>
        </w:tblPrEx>
        <w:trPr>
          <w:cantSplit/>
        </w:trPr>
        <w:tc>
          <w:tcPr>
            <w:tcW w:w="3046" w:type="dxa"/>
          </w:tcPr>
          <w:p w:rsidR="00F424BC" w:rsidRPr="008A1DE5" w:rsidRDefault="00F424BC" w:rsidP="00F424BC">
            <w:pPr>
              <w:pStyle w:val="UnderskriftDatum"/>
              <w:spacing w:before="240"/>
            </w:pPr>
            <w:r w:rsidRPr="008A1DE5">
              <w:t>Stockholm den 5 oktober 2005</w:t>
            </w:r>
          </w:p>
        </w:tc>
        <w:tc>
          <w:tcPr>
            <w:tcW w:w="3047" w:type="dxa"/>
          </w:tcPr>
          <w:p w:rsidR="00F424BC" w:rsidRPr="008A1DE5" w:rsidRDefault="00F424BC" w:rsidP="00F424BC">
            <w:pPr>
              <w:pStyle w:val="Underskrifter"/>
              <w:spacing w:before="240"/>
            </w:pPr>
          </w:p>
        </w:tc>
      </w:tr>
      <w:tr w:rsidR="00F424BC" w:rsidRPr="008A1DE5">
        <w:tblPrEx>
          <w:tblCellMar>
            <w:top w:w="0" w:type="dxa"/>
            <w:bottom w:w="0" w:type="dxa"/>
          </w:tblCellMar>
        </w:tblPrEx>
        <w:trPr>
          <w:cantSplit/>
        </w:trPr>
        <w:tc>
          <w:tcPr>
            <w:tcW w:w="3046" w:type="dxa"/>
          </w:tcPr>
          <w:p w:rsidR="00F424BC" w:rsidRPr="008A1DE5" w:rsidRDefault="00F424BC" w:rsidP="00F424BC">
            <w:pPr>
              <w:pStyle w:val="Underskrifter"/>
            </w:pPr>
            <w:r w:rsidRPr="008A1DE5">
              <w:t>Eva Flyborg (fp)</w:t>
            </w:r>
          </w:p>
        </w:tc>
        <w:tc>
          <w:tcPr>
            <w:tcW w:w="3047" w:type="dxa"/>
          </w:tcPr>
          <w:p w:rsidR="00F424BC" w:rsidRPr="008A1DE5" w:rsidRDefault="00F424BC" w:rsidP="00F424BC">
            <w:pPr>
              <w:pStyle w:val="Underskrifter"/>
            </w:pPr>
          </w:p>
        </w:tc>
      </w:tr>
      <w:tr w:rsidR="00F424BC" w:rsidRPr="008A1DE5">
        <w:tblPrEx>
          <w:tblCellMar>
            <w:top w:w="0" w:type="dxa"/>
            <w:bottom w:w="0" w:type="dxa"/>
          </w:tblCellMar>
        </w:tblPrEx>
        <w:trPr>
          <w:cantSplit/>
        </w:trPr>
        <w:tc>
          <w:tcPr>
            <w:tcW w:w="3046" w:type="dxa"/>
          </w:tcPr>
          <w:p w:rsidR="00F424BC" w:rsidRPr="008A1DE5" w:rsidRDefault="00F424BC" w:rsidP="00F424BC">
            <w:pPr>
              <w:pStyle w:val="Underskrifter"/>
            </w:pPr>
            <w:r w:rsidRPr="008A1DE5">
              <w:t>Yvonne Ångström (fp)</w:t>
            </w:r>
          </w:p>
        </w:tc>
        <w:tc>
          <w:tcPr>
            <w:tcW w:w="3047" w:type="dxa"/>
          </w:tcPr>
          <w:p w:rsidR="00F424BC" w:rsidRPr="008A1DE5" w:rsidRDefault="00F424BC" w:rsidP="00F424BC">
            <w:pPr>
              <w:pStyle w:val="Underskrifter"/>
            </w:pPr>
            <w:r w:rsidRPr="008A1DE5">
              <w:t>Nyamko Sabuni (fp)</w:t>
            </w:r>
          </w:p>
        </w:tc>
      </w:tr>
      <w:tr w:rsidR="00F424BC" w:rsidRPr="008A1DE5">
        <w:tblPrEx>
          <w:tblCellMar>
            <w:top w:w="0" w:type="dxa"/>
            <w:bottom w:w="0" w:type="dxa"/>
          </w:tblCellMar>
        </w:tblPrEx>
        <w:trPr>
          <w:cantSplit/>
        </w:trPr>
        <w:tc>
          <w:tcPr>
            <w:tcW w:w="3046" w:type="dxa"/>
          </w:tcPr>
          <w:p w:rsidR="00F424BC" w:rsidRPr="008A1DE5" w:rsidRDefault="00F424BC" w:rsidP="00F424BC">
            <w:pPr>
              <w:pStyle w:val="Underskrifter"/>
            </w:pPr>
            <w:r w:rsidRPr="008A1DE5">
              <w:t>Sverker Thorén (fp)</w:t>
            </w:r>
          </w:p>
        </w:tc>
        <w:tc>
          <w:tcPr>
            <w:tcW w:w="3047" w:type="dxa"/>
          </w:tcPr>
          <w:p w:rsidR="00F424BC" w:rsidRPr="008A1DE5" w:rsidRDefault="00F424BC" w:rsidP="00F424BC">
            <w:pPr>
              <w:pStyle w:val="Underskrifter"/>
            </w:pPr>
            <w:r w:rsidRPr="008A1DE5">
              <w:t>Hans Backman (fp)</w:t>
            </w:r>
          </w:p>
        </w:tc>
      </w:tr>
      <w:tr w:rsidR="00F424BC" w:rsidRPr="008A1DE5">
        <w:tblPrEx>
          <w:tblCellMar>
            <w:top w:w="0" w:type="dxa"/>
            <w:bottom w:w="0" w:type="dxa"/>
          </w:tblCellMar>
        </w:tblPrEx>
        <w:trPr>
          <w:cantSplit/>
        </w:trPr>
        <w:tc>
          <w:tcPr>
            <w:tcW w:w="3046" w:type="dxa"/>
          </w:tcPr>
          <w:p w:rsidR="00F424BC" w:rsidRPr="008A1DE5" w:rsidRDefault="00F424BC" w:rsidP="00F424BC">
            <w:pPr>
              <w:pStyle w:val="Underskrifter"/>
            </w:pPr>
            <w:r w:rsidRPr="008A1DE5">
              <w:t>Nina Lundström (fp)</w:t>
            </w:r>
          </w:p>
        </w:tc>
        <w:tc>
          <w:tcPr>
            <w:tcW w:w="3047" w:type="dxa"/>
          </w:tcPr>
          <w:p w:rsidR="00F424BC" w:rsidRPr="008A1DE5" w:rsidRDefault="00F424BC" w:rsidP="00F424BC">
            <w:pPr>
              <w:pStyle w:val="Underskrifter"/>
            </w:pPr>
          </w:p>
        </w:tc>
      </w:tr>
    </w:tbl>
    <w:p w:rsidR="00E84F25" w:rsidRPr="008A1DE5" w:rsidRDefault="00E84F25" w:rsidP="00F424BC">
      <w:pPr>
        <w:pStyle w:val="Normaltindrag"/>
      </w:pPr>
    </w:p>
    <w:sectPr w:rsidR="00E84F25" w:rsidRPr="008A1DE5" w:rsidSect="00F424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5F4E" w:rsidRPr="008A1DE5" w:rsidRDefault="00195F4E">
      <w:r w:rsidRPr="008A1DE5">
        <w:separator/>
      </w:r>
    </w:p>
  </w:endnote>
  <w:endnote w:type="continuationSeparator" w:id="0">
    <w:p w:rsidR="00195F4E" w:rsidRPr="008A1DE5" w:rsidRDefault="00195F4E">
      <w:r w:rsidRPr="008A1D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2C2" w:rsidRPr="008A1DE5" w:rsidRDefault="008A1DE5" w:rsidP="00F424BC">
    <w:pPr>
      <w:pStyle w:val="Sidfot"/>
    </w:pPr>
    <w:r w:rsidRPr="008A1D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82907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2C2" w:rsidRDefault="004852C2">
                          <w:pPr>
                            <w:pStyle w:val="NormalS5sidnrV"/>
                          </w:pPr>
                          <w:r>
                            <w:fldChar w:fldCharType="begin"/>
                          </w:r>
                          <w:r>
                            <w:instrText xml:space="preserve"> PAGE *\charformat</w:instrText>
                          </w:r>
                          <w:r>
                            <w:fldChar w:fldCharType="separate"/>
                          </w:r>
                          <w:r w:rsidR="0075294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52C2" w:rsidRDefault="004852C2">
                    <w:pPr>
                      <w:pStyle w:val="NormalS5sidnrV"/>
                    </w:pPr>
                    <w:r>
                      <w:fldChar w:fldCharType="begin"/>
                    </w:r>
                    <w:r>
                      <w:instrText xml:space="preserve"> PAGE *\charformat</w:instrText>
                    </w:r>
                    <w:r>
                      <w:fldChar w:fldCharType="separate"/>
                    </w:r>
                    <w:r w:rsidR="0075294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2C2" w:rsidRPr="008A1DE5" w:rsidRDefault="008A1DE5" w:rsidP="00F424BC">
    <w:pPr>
      <w:pStyle w:val="Sidfot"/>
    </w:pPr>
    <w:r w:rsidRPr="008A1D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09346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2C2" w:rsidRDefault="004852C2">
                          <w:pPr>
                            <w:pStyle w:val="NormalS5sidnrH"/>
                            <w:ind w:right="0"/>
                          </w:pPr>
                          <w:r>
                            <w:fldChar w:fldCharType="begin"/>
                          </w:r>
                          <w:r>
                            <w:instrText xml:space="preserve"> PAGE *\charformat</w:instrText>
                          </w:r>
                          <w:r>
                            <w:fldChar w:fldCharType="separate"/>
                          </w:r>
                          <w:r w:rsidR="0075294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52C2" w:rsidRDefault="004852C2">
                    <w:pPr>
                      <w:pStyle w:val="NormalS5sidnrH"/>
                      <w:ind w:right="0"/>
                    </w:pPr>
                    <w:r>
                      <w:fldChar w:fldCharType="begin"/>
                    </w:r>
                    <w:r>
                      <w:instrText xml:space="preserve"> PAGE *\charformat</w:instrText>
                    </w:r>
                    <w:r>
                      <w:fldChar w:fldCharType="separate"/>
                    </w:r>
                    <w:r w:rsidR="0075294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2C2" w:rsidRPr="008A1DE5" w:rsidRDefault="008A1DE5" w:rsidP="00F424BC">
    <w:pPr>
      <w:pStyle w:val="Sidfot"/>
    </w:pPr>
    <w:r w:rsidRPr="008A1D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16381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2C2" w:rsidRDefault="004852C2">
                          <w:pPr>
                            <w:pStyle w:val="NormalS5sidnrH"/>
                            <w:ind w:right="0"/>
                          </w:pPr>
                          <w:r>
                            <w:fldChar w:fldCharType="begin"/>
                          </w:r>
                          <w:r>
                            <w:instrText xml:space="preserve"> PAGE *\charformat</w:instrText>
                          </w:r>
                          <w:r>
                            <w:fldChar w:fldCharType="separate"/>
                          </w:r>
                          <w:r w:rsidR="0075294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52C2" w:rsidRDefault="004852C2">
                    <w:pPr>
                      <w:pStyle w:val="NormalS5sidnrH"/>
                      <w:ind w:right="0"/>
                    </w:pPr>
                    <w:r>
                      <w:fldChar w:fldCharType="begin"/>
                    </w:r>
                    <w:r>
                      <w:instrText xml:space="preserve"> PAGE *\charformat</w:instrText>
                    </w:r>
                    <w:r>
                      <w:fldChar w:fldCharType="separate"/>
                    </w:r>
                    <w:r w:rsidR="0075294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5F4E" w:rsidRPr="008A1DE5" w:rsidRDefault="00195F4E">
      <w:r w:rsidRPr="008A1DE5">
        <w:separator/>
      </w:r>
    </w:p>
  </w:footnote>
  <w:footnote w:type="continuationSeparator" w:id="0">
    <w:p w:rsidR="00195F4E" w:rsidRPr="008A1DE5" w:rsidRDefault="00195F4E">
      <w:r w:rsidRPr="008A1D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2C2" w:rsidRPr="008A1DE5" w:rsidRDefault="008A1DE5" w:rsidP="00F424BC">
    <w:pPr>
      <w:pStyle w:val="Sidhuvud"/>
    </w:pPr>
    <w:r w:rsidRPr="008A1D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16465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2C2" w:rsidRDefault="004852C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52C2" w:rsidRDefault="004852C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2C2" w:rsidRPr="008A1DE5" w:rsidRDefault="008A1DE5" w:rsidP="00F424BC">
    <w:pPr>
      <w:pStyle w:val="Sidhuvud"/>
    </w:pPr>
    <w:r w:rsidRPr="008A1D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65532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2C2" w:rsidRDefault="004852C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52C2" w:rsidRDefault="004852C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2C2" w:rsidRPr="008A1DE5" w:rsidRDefault="004852C2">
    <w:pPr>
      <w:pStyle w:val="FSHNormal"/>
      <w:tabs>
        <w:tab w:val="right" w:pos="5840"/>
      </w:tabs>
    </w:pPr>
    <w:r w:rsidRPr="008A1DE5">
      <w:br/>
    </w:r>
    <w:r w:rsidRPr="008A1DE5">
      <w:fldChar w:fldCharType="begin" w:fldLock="1"/>
    </w:r>
    <w:r w:rsidRPr="008A1DE5">
      <w:instrText xml:space="preserve"> DOCPROPERTY</w:instrText>
    </w:r>
    <w:r w:rsidRPr="008A1DE5">
      <w:rPr>
        <w:sz w:val="18"/>
      </w:rPr>
      <w:instrText xml:space="preserve"> "YearUser" *\charformat </w:instrText>
    </w:r>
    <w:r w:rsidRPr="008A1DE5">
      <w:fldChar w:fldCharType="separate"/>
    </w:r>
    <w:r w:rsidRPr="008A1DE5">
      <w:t>2005/06</w:t>
    </w:r>
    <w:r w:rsidRPr="008A1DE5">
      <w:fldChar w:fldCharType="end"/>
    </w:r>
    <w:r w:rsidRPr="008A1DE5">
      <w:t xml:space="preserve"> </w:t>
    </w:r>
    <w:r w:rsidRPr="008A1DE5">
      <w:tab/>
      <w:t xml:space="preserve">mnr: </w:t>
    </w:r>
    <w:r w:rsidRPr="008A1DE5">
      <w:fldChar w:fldCharType="begin" w:fldLock="1"/>
    </w:r>
    <w:r w:rsidRPr="008A1DE5">
      <w:instrText xml:space="preserve"> DOCPROPERTY</w:instrText>
    </w:r>
    <w:r w:rsidRPr="008A1DE5">
      <w:rPr>
        <w:sz w:val="18"/>
      </w:rPr>
      <w:instrText xml:space="preserve"> "Motionsnummer" *\charformat </w:instrText>
    </w:r>
    <w:r w:rsidRPr="008A1DE5">
      <w:fldChar w:fldCharType="separate"/>
    </w:r>
    <w:r w:rsidRPr="008A1DE5">
      <w:t>N436</w:t>
    </w:r>
    <w:r w:rsidRPr="008A1DE5">
      <w:fldChar w:fldCharType="end"/>
    </w:r>
    <w:r w:rsidRPr="008A1DE5">
      <w:br/>
    </w:r>
    <w:r w:rsidRPr="008A1DE5">
      <w:fldChar w:fldCharType="begin" w:fldLock="1"/>
    </w:r>
    <w:r w:rsidRPr="008A1DE5">
      <w:instrText xml:space="preserve"> DOCPROPERTY</w:instrText>
    </w:r>
    <w:r w:rsidRPr="008A1DE5">
      <w:rPr>
        <w:sz w:val="18"/>
      </w:rPr>
      <w:instrText xml:space="preserve"> "Samling" *\charformat </w:instrText>
    </w:r>
    <w:r w:rsidRPr="008A1DE5">
      <w:fldChar w:fldCharType="end"/>
    </w:r>
    <w:r w:rsidRPr="008A1DE5">
      <w:tab/>
      <w:t xml:space="preserve">pnr: </w:t>
    </w:r>
    <w:r w:rsidRPr="008A1DE5">
      <w:fldChar w:fldCharType="begin" w:fldLock="1"/>
    </w:r>
    <w:r w:rsidRPr="008A1DE5">
      <w:instrText xml:space="preserve"> DOCPROPERTY</w:instrText>
    </w:r>
    <w:r w:rsidRPr="008A1DE5">
      <w:rPr>
        <w:sz w:val="18"/>
      </w:rPr>
      <w:instrText xml:space="preserve"> "Partinummer" *\charformat </w:instrText>
    </w:r>
    <w:r w:rsidRPr="008A1DE5">
      <w:fldChar w:fldCharType="separate"/>
    </w:r>
    <w:r w:rsidRPr="008A1DE5">
      <w:t>fp122</w:t>
    </w:r>
    <w:r w:rsidRPr="008A1DE5">
      <w:fldChar w:fldCharType="end"/>
    </w:r>
  </w:p>
  <w:p w:rsidR="004852C2" w:rsidRPr="008A1DE5" w:rsidRDefault="004852C2">
    <w:pPr>
      <w:pStyle w:val="FSHRub1"/>
    </w:pPr>
    <w:r w:rsidRPr="008A1DE5">
      <w:t>Motion till riksdagen</w:t>
    </w:r>
    <w:r w:rsidRPr="008A1DE5">
      <w:br/>
    </w:r>
    <w:r w:rsidRPr="008A1DE5">
      <w:fldChar w:fldCharType="begin" w:fldLock="1"/>
    </w:r>
    <w:r w:rsidRPr="008A1DE5">
      <w:instrText xml:space="preserve"> DOCPROPERTY "YearUser" *\charformat </w:instrText>
    </w:r>
    <w:r w:rsidRPr="008A1DE5">
      <w:fldChar w:fldCharType="separate"/>
    </w:r>
    <w:r w:rsidRPr="008A1DE5">
      <w:t>2005/06</w:t>
    </w:r>
    <w:r w:rsidRPr="008A1DE5">
      <w:fldChar w:fldCharType="end"/>
    </w:r>
    <w:r w:rsidRPr="008A1DE5">
      <w:t>:</w:t>
    </w:r>
    <w:r w:rsidRPr="008A1DE5">
      <w:fldChar w:fldCharType="begin" w:fldLock="1"/>
    </w:r>
    <w:r w:rsidRPr="008A1DE5">
      <w:instrText xml:space="preserve"> DOCPROPERTY "Motionsnummer" *\charformat </w:instrText>
    </w:r>
    <w:r w:rsidRPr="008A1DE5">
      <w:fldChar w:fldCharType="separate"/>
    </w:r>
    <w:r w:rsidRPr="008A1DE5">
      <w:t>N436</w:t>
    </w:r>
    <w:r w:rsidRPr="008A1DE5">
      <w:fldChar w:fldCharType="end"/>
    </w:r>
  </w:p>
  <w:p w:rsidR="004852C2" w:rsidRPr="008A1DE5" w:rsidRDefault="004852C2">
    <w:pPr>
      <w:pStyle w:val="FSHNormalS5"/>
    </w:pPr>
    <w:r w:rsidRPr="008A1DE5">
      <w:fldChar w:fldCharType="begin" w:fldLock="1"/>
    </w:r>
    <w:r w:rsidRPr="008A1DE5">
      <w:instrText xml:space="preserve"> DOCPROPERTY "MotionarText" *\charformat </w:instrText>
    </w:r>
    <w:r w:rsidRPr="008A1DE5">
      <w:fldChar w:fldCharType="separate"/>
    </w:r>
    <w:r w:rsidRPr="008A1DE5">
      <w:t>av Eva Flyborg m.fl. (fp)</w:t>
    </w:r>
    <w:r w:rsidRPr="008A1DE5">
      <w:fldChar w:fldCharType="end"/>
    </w:r>
    <w:r w:rsidRPr="008A1DE5">
      <w:br/>
    </w:r>
    <w:r w:rsidRPr="008A1DE5">
      <w:fldChar w:fldCharType="begin" w:fldLock="1"/>
    </w:r>
    <w:r w:rsidRPr="008A1DE5">
      <w:instrText xml:space="preserve"> DOCPROPERTY "SvarFrasKort" *\charformat </w:instrText>
    </w:r>
    <w:r w:rsidRPr="008A1DE5">
      <w:fldChar w:fldCharType="end"/>
    </w:r>
  </w:p>
  <w:p w:rsidR="004852C2" w:rsidRPr="008A1DE5" w:rsidRDefault="004852C2">
    <w:pPr>
      <w:pStyle w:val="FSHTitel"/>
    </w:pPr>
    <w:r w:rsidRPr="008A1DE5">
      <w:fldChar w:fldCharType="begin" w:fldLock="1"/>
    </w:r>
    <w:r w:rsidRPr="008A1DE5">
      <w:instrText xml:space="preserve"> DOCPROPERTY</w:instrText>
    </w:r>
    <w:r w:rsidRPr="008A1DE5">
      <w:rPr>
        <w:sz w:val="18"/>
      </w:rPr>
      <w:instrText xml:space="preserve"> "RubrikSvar" *\charformat </w:instrText>
    </w:r>
    <w:r w:rsidRPr="008A1DE5">
      <w:fldChar w:fldCharType="separate"/>
    </w:r>
    <w:r w:rsidRPr="008A1DE5">
      <w:t>Energipolitik för tillväxt och välfärd</w:t>
    </w:r>
    <w:r w:rsidRPr="008A1DE5">
      <w:fldChar w:fldCharType="end"/>
    </w:r>
  </w:p>
  <w:p w:rsidR="004852C2" w:rsidRPr="008A1DE5" w:rsidRDefault="004852C2" w:rsidP="00F424BC">
    <w:pPr>
      <w:pStyle w:val="Normal00"/>
      <w:rPr>
        <w:i/>
      </w:rPr>
    </w:pPr>
    <w:r w:rsidRPr="008A1DE5">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2D87F98"/>
    <w:multiLevelType w:val="hybridMultilevel"/>
    <w:tmpl w:val="30C8CADC"/>
    <w:lvl w:ilvl="0" w:tplc="989AEBC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FED40AB"/>
    <w:multiLevelType w:val="hybridMultilevel"/>
    <w:tmpl w:val="1E40D12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59064539">
    <w:abstractNumId w:val="14"/>
  </w:num>
  <w:num w:numId="2" w16cid:durableId="770975457">
    <w:abstractNumId w:val="10"/>
  </w:num>
  <w:num w:numId="3" w16cid:durableId="1083261025">
    <w:abstractNumId w:val="11"/>
  </w:num>
  <w:num w:numId="4" w16cid:durableId="2147122125">
    <w:abstractNumId w:val="13"/>
  </w:num>
  <w:num w:numId="5" w16cid:durableId="889731292">
    <w:abstractNumId w:val="8"/>
  </w:num>
  <w:num w:numId="6" w16cid:durableId="360520661">
    <w:abstractNumId w:val="3"/>
  </w:num>
  <w:num w:numId="7" w16cid:durableId="1992128189">
    <w:abstractNumId w:val="2"/>
  </w:num>
  <w:num w:numId="8" w16cid:durableId="81535477">
    <w:abstractNumId w:val="1"/>
  </w:num>
  <w:num w:numId="9" w16cid:durableId="2026201418">
    <w:abstractNumId w:val="0"/>
  </w:num>
  <w:num w:numId="10" w16cid:durableId="359748619">
    <w:abstractNumId w:val="9"/>
  </w:num>
  <w:num w:numId="11" w16cid:durableId="1582451663">
    <w:abstractNumId w:val="7"/>
  </w:num>
  <w:num w:numId="12" w16cid:durableId="94207224">
    <w:abstractNumId w:val="6"/>
  </w:num>
  <w:num w:numId="13" w16cid:durableId="126551293">
    <w:abstractNumId w:val="5"/>
  </w:num>
  <w:num w:numId="14" w16cid:durableId="482046002">
    <w:abstractNumId w:val="4"/>
  </w:num>
  <w:num w:numId="15" w16cid:durableId="2009868100">
    <w:abstractNumId w:val="12"/>
  </w:num>
  <w:num w:numId="16" w16cid:durableId="5878149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9"/>
  </w:docVars>
  <w:rsids>
    <w:rsidRoot w:val="00CE2A57"/>
    <w:rsid w:val="000039D6"/>
    <w:rsid w:val="00016474"/>
    <w:rsid w:val="00021F10"/>
    <w:rsid w:val="00021F84"/>
    <w:rsid w:val="000228E0"/>
    <w:rsid w:val="000278EA"/>
    <w:rsid w:val="00055176"/>
    <w:rsid w:val="00064BC3"/>
    <w:rsid w:val="00067F23"/>
    <w:rsid w:val="00072FB9"/>
    <w:rsid w:val="00075450"/>
    <w:rsid w:val="000861AF"/>
    <w:rsid w:val="00090200"/>
    <w:rsid w:val="000B58C1"/>
    <w:rsid w:val="000C4D7D"/>
    <w:rsid w:val="000E6A25"/>
    <w:rsid w:val="000E7049"/>
    <w:rsid w:val="000F4ACB"/>
    <w:rsid w:val="00100531"/>
    <w:rsid w:val="00117628"/>
    <w:rsid w:val="0012189C"/>
    <w:rsid w:val="00126C73"/>
    <w:rsid w:val="0015167C"/>
    <w:rsid w:val="00195F4E"/>
    <w:rsid w:val="001B3F98"/>
    <w:rsid w:val="001C071C"/>
    <w:rsid w:val="001C3E8C"/>
    <w:rsid w:val="001D1897"/>
    <w:rsid w:val="001F710D"/>
    <w:rsid w:val="00201DFB"/>
    <w:rsid w:val="00212FF1"/>
    <w:rsid w:val="00230193"/>
    <w:rsid w:val="002411F8"/>
    <w:rsid w:val="002515F7"/>
    <w:rsid w:val="00254DF2"/>
    <w:rsid w:val="00266CD8"/>
    <w:rsid w:val="00273ACE"/>
    <w:rsid w:val="002818D3"/>
    <w:rsid w:val="00286BF4"/>
    <w:rsid w:val="00293047"/>
    <w:rsid w:val="002C7E50"/>
    <w:rsid w:val="002D11A8"/>
    <w:rsid w:val="002D4F6D"/>
    <w:rsid w:val="002D655F"/>
    <w:rsid w:val="00303B5E"/>
    <w:rsid w:val="00315188"/>
    <w:rsid w:val="00320DD9"/>
    <w:rsid w:val="00330227"/>
    <w:rsid w:val="0034720A"/>
    <w:rsid w:val="00361180"/>
    <w:rsid w:val="00380620"/>
    <w:rsid w:val="003A2156"/>
    <w:rsid w:val="003D2B37"/>
    <w:rsid w:val="003D6B39"/>
    <w:rsid w:val="0040524A"/>
    <w:rsid w:val="0043326A"/>
    <w:rsid w:val="00436AC9"/>
    <w:rsid w:val="004441CD"/>
    <w:rsid w:val="00467E26"/>
    <w:rsid w:val="00481120"/>
    <w:rsid w:val="00483C9F"/>
    <w:rsid w:val="004852C2"/>
    <w:rsid w:val="00497EAC"/>
    <w:rsid w:val="004A0504"/>
    <w:rsid w:val="004C6660"/>
    <w:rsid w:val="004D4F7C"/>
    <w:rsid w:val="004E38D9"/>
    <w:rsid w:val="0051083D"/>
    <w:rsid w:val="00512D8E"/>
    <w:rsid w:val="005212D7"/>
    <w:rsid w:val="00523B21"/>
    <w:rsid w:val="0053696F"/>
    <w:rsid w:val="00555C73"/>
    <w:rsid w:val="0059604A"/>
    <w:rsid w:val="005A0E4C"/>
    <w:rsid w:val="005C1BDE"/>
    <w:rsid w:val="005D2812"/>
    <w:rsid w:val="00611DCB"/>
    <w:rsid w:val="006148A1"/>
    <w:rsid w:val="00616B17"/>
    <w:rsid w:val="00652EAC"/>
    <w:rsid w:val="006770B8"/>
    <w:rsid w:val="0069151D"/>
    <w:rsid w:val="006B0FDA"/>
    <w:rsid w:val="006B1AB2"/>
    <w:rsid w:val="006D21B8"/>
    <w:rsid w:val="006D7D9F"/>
    <w:rsid w:val="006E4516"/>
    <w:rsid w:val="00710B6E"/>
    <w:rsid w:val="00737299"/>
    <w:rsid w:val="00740D6D"/>
    <w:rsid w:val="0075294B"/>
    <w:rsid w:val="0078347A"/>
    <w:rsid w:val="00787395"/>
    <w:rsid w:val="00796DE6"/>
    <w:rsid w:val="007B67A7"/>
    <w:rsid w:val="007C484D"/>
    <w:rsid w:val="007C6092"/>
    <w:rsid w:val="008064DC"/>
    <w:rsid w:val="00820601"/>
    <w:rsid w:val="00831A35"/>
    <w:rsid w:val="00847059"/>
    <w:rsid w:val="008569C1"/>
    <w:rsid w:val="00860155"/>
    <w:rsid w:val="00882704"/>
    <w:rsid w:val="008A1DE5"/>
    <w:rsid w:val="008A221B"/>
    <w:rsid w:val="008B0038"/>
    <w:rsid w:val="008D34E0"/>
    <w:rsid w:val="008F3912"/>
    <w:rsid w:val="009329D5"/>
    <w:rsid w:val="00967837"/>
    <w:rsid w:val="009C7535"/>
    <w:rsid w:val="009F4772"/>
    <w:rsid w:val="009F706F"/>
    <w:rsid w:val="00A053C6"/>
    <w:rsid w:val="00A33877"/>
    <w:rsid w:val="00A37B9D"/>
    <w:rsid w:val="00A43033"/>
    <w:rsid w:val="00A76AA5"/>
    <w:rsid w:val="00A9495B"/>
    <w:rsid w:val="00AA425D"/>
    <w:rsid w:val="00AA6977"/>
    <w:rsid w:val="00AC1DBF"/>
    <w:rsid w:val="00AC2B78"/>
    <w:rsid w:val="00AD51ED"/>
    <w:rsid w:val="00AE6747"/>
    <w:rsid w:val="00AF73A7"/>
    <w:rsid w:val="00B13BF0"/>
    <w:rsid w:val="00B33F82"/>
    <w:rsid w:val="00B52872"/>
    <w:rsid w:val="00B61955"/>
    <w:rsid w:val="00B6203C"/>
    <w:rsid w:val="00B64447"/>
    <w:rsid w:val="00B65B1C"/>
    <w:rsid w:val="00B943FE"/>
    <w:rsid w:val="00BB00A6"/>
    <w:rsid w:val="00BF6A7D"/>
    <w:rsid w:val="00C07EAB"/>
    <w:rsid w:val="00C1285C"/>
    <w:rsid w:val="00C25C3F"/>
    <w:rsid w:val="00C27B7D"/>
    <w:rsid w:val="00C33309"/>
    <w:rsid w:val="00C4252C"/>
    <w:rsid w:val="00C62DFC"/>
    <w:rsid w:val="00C8174B"/>
    <w:rsid w:val="00CB2149"/>
    <w:rsid w:val="00CC0540"/>
    <w:rsid w:val="00CC47E0"/>
    <w:rsid w:val="00CE2A57"/>
    <w:rsid w:val="00CE5AEE"/>
    <w:rsid w:val="00CF6800"/>
    <w:rsid w:val="00D14FB2"/>
    <w:rsid w:val="00D1590C"/>
    <w:rsid w:val="00D46FB8"/>
    <w:rsid w:val="00D51CC6"/>
    <w:rsid w:val="00D5725B"/>
    <w:rsid w:val="00D85D5D"/>
    <w:rsid w:val="00D8738E"/>
    <w:rsid w:val="00DA385F"/>
    <w:rsid w:val="00DC148C"/>
    <w:rsid w:val="00DC6C70"/>
    <w:rsid w:val="00DE5461"/>
    <w:rsid w:val="00E204CD"/>
    <w:rsid w:val="00E22893"/>
    <w:rsid w:val="00E3550D"/>
    <w:rsid w:val="00E360DE"/>
    <w:rsid w:val="00E47198"/>
    <w:rsid w:val="00E75D28"/>
    <w:rsid w:val="00E84F25"/>
    <w:rsid w:val="00EB3757"/>
    <w:rsid w:val="00EB4C4D"/>
    <w:rsid w:val="00EC3B1F"/>
    <w:rsid w:val="00EC5151"/>
    <w:rsid w:val="00EC6B05"/>
    <w:rsid w:val="00EF1A94"/>
    <w:rsid w:val="00EF2C28"/>
    <w:rsid w:val="00F076C1"/>
    <w:rsid w:val="00F17C8B"/>
    <w:rsid w:val="00F41ECE"/>
    <w:rsid w:val="00F424BC"/>
    <w:rsid w:val="00F42AF0"/>
    <w:rsid w:val="00F43C6E"/>
    <w:rsid w:val="00F44116"/>
    <w:rsid w:val="00F47DBA"/>
    <w:rsid w:val="00F61D6D"/>
    <w:rsid w:val="00F7457E"/>
    <w:rsid w:val="00F75A71"/>
    <w:rsid w:val="00F950F8"/>
    <w:rsid w:val="00FA2EA7"/>
    <w:rsid w:val="00FD448B"/>
    <w:rsid w:val="00FE54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828AF70-E138-4F41-8FC1-B288679B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A385F"/>
    <w:pPr>
      <w:spacing w:after="250"/>
    </w:pPr>
  </w:style>
  <w:style w:type="paragraph" w:customStyle="1" w:styleId="Hemstlatt">
    <w:name w:val="Hemstl_att"/>
    <w:aliases w:val="HemstPunkt,HemstPunktFlera,HemställansPunkt,Förslagstext"/>
    <w:basedOn w:val="Normal"/>
    <w:next w:val="Normal"/>
    <w:rsid w:val="00F424BC"/>
    <w:pPr>
      <w:keepLines/>
      <w:numPr>
        <w:numId w:val="15"/>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442704">
      <w:bodyDiv w:val="1"/>
      <w:marLeft w:val="0"/>
      <w:marRight w:val="0"/>
      <w:marTop w:val="0"/>
      <w:marBottom w:val="0"/>
      <w:divBdr>
        <w:top w:val="none" w:sz="0" w:space="0" w:color="auto"/>
        <w:left w:val="none" w:sz="0" w:space="0" w:color="auto"/>
        <w:bottom w:val="none" w:sz="0" w:space="0" w:color="auto"/>
        <w:right w:val="none" w:sz="0" w:space="0" w:color="auto"/>
      </w:divBdr>
      <w:divsChild>
        <w:div w:id="2137022902">
          <w:marLeft w:val="0"/>
          <w:marRight w:val="0"/>
          <w:marTop w:val="0"/>
          <w:marBottom w:val="0"/>
          <w:divBdr>
            <w:top w:val="none" w:sz="0" w:space="0" w:color="auto"/>
            <w:left w:val="none" w:sz="0" w:space="0" w:color="auto"/>
            <w:bottom w:val="none" w:sz="0" w:space="0" w:color="auto"/>
            <w:right w:val="none" w:sz="0" w:space="0" w:color="auto"/>
          </w:divBdr>
          <w:divsChild>
            <w:div w:id="51586467">
              <w:marLeft w:val="375"/>
              <w:marRight w:val="0"/>
              <w:marTop w:val="0"/>
              <w:marBottom w:val="150"/>
              <w:divBdr>
                <w:top w:val="none" w:sz="0" w:space="0" w:color="auto"/>
                <w:left w:val="none" w:sz="0" w:space="0" w:color="auto"/>
                <w:bottom w:val="none" w:sz="0" w:space="0" w:color="auto"/>
                <w:right w:val="none" w:sz="0" w:space="0" w:color="auto"/>
              </w:divBdr>
            </w:div>
          </w:divsChild>
        </w:div>
      </w:divsChild>
    </w:div>
    <w:div w:id="153237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6572</Words>
  <Characters>39438</Characters>
  <Application>Microsoft Office Word</Application>
  <DocSecurity>4</DocSecurity>
  <Lines>939</Lines>
  <Paragraphs>429</Paragraphs>
  <ScaleCrop>false</ScaleCrop>
  <HeadingPairs>
    <vt:vector size="2" baseType="variant">
      <vt:variant>
        <vt:lpstr>Rubrik</vt:lpstr>
      </vt:variant>
      <vt:variant>
        <vt:i4>1</vt:i4>
      </vt:variant>
    </vt:vector>
  </HeadingPairs>
  <TitlesOfParts>
    <vt:vector size="1" baseType="lpstr">
      <vt:lpstr>N436</vt:lpstr>
    </vt:vector>
  </TitlesOfParts>
  <Company>Riksdagen</Company>
  <LinksUpToDate>false</LinksUpToDate>
  <CharactersWithSpaces>45581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N436</dc:title>
  <dc:subject>N436</dc:subject>
  <dc:creator>Riksdagen</dc:creator>
  <cp:keywords>Riksdagen</cp:keywords>
  <dc:description/>
  <cp:lastModifiedBy>Lars Brink</cp:lastModifiedBy>
  <cp:revision>2</cp:revision>
  <cp:lastPrinted>2006-01-12T11:24:00Z</cp:lastPrinted>
  <dcterms:created xsi:type="dcterms:W3CDTF">2025-12-16T20:29:00Z</dcterms:created>
  <dcterms:modified xsi:type="dcterms:W3CDTF">2025-12-16T20:29:00Z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mot2000_423_2005-10-29</vt:lpwstr>
  </property>
  <property fmtid="{D5CDD505-2E9C-101B-9397-08002B2CF9AE}" pid="3" name="version">
    <vt:lpwstr>mot2000_411_2005-09-08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Energipolitik för tillväxt och välfärd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Energipolitik för tillväxt och välfärd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Flyborg m.fl. (fp)</vt:lpwstr>
  </property>
  <property fmtid="{D5CDD505-2E9C-101B-9397-08002B2CF9AE}" pid="26" name="MotionarLista">
    <vt:lpwstr>Flyborg, Eva (fp)\Ångström, Yvonne (fp)\Sabuni, Nyamko (fp)\Thorén, Sverker (fp)\Backman, Hans (fp)\Lundström,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Yvonne Ångström (fp), Nyamko Sabuni (fp), Sverker Thorén (fp), Hans Backman (fp), 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N436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viktoria.leigard@riksdagen.se</vt:lpwstr>
  </property>
  <property fmtid="{D5CDD505-2E9C-101B-9397-08002B2CF9AE}" pid="45" name="ReservUID">
    <vt:lpwstr>birgitta lundblad</vt:lpwstr>
  </property>
  <property fmtid="{D5CDD505-2E9C-101B-9397-08002B2CF9AE}" pid="46" name="MotionID">
    <vt:lpwstr>20052006000001020112000001220075</vt:lpwstr>
  </property>
  <property fmtid="{D5CDD505-2E9C-101B-9397-08002B2CF9AE}" pid="47" name="datum">
    <vt:lpwstr>051005</vt:lpwstr>
  </property>
  <property fmtid="{D5CDD505-2E9C-101B-9397-08002B2CF9AE}" pid="48" name="avsändar-e-post">
    <vt:lpwstr>viktoria.leigard@riksdagen.se</vt:lpwstr>
  </property>
  <property fmtid="{D5CDD505-2E9C-101B-9397-08002B2CF9AE}" pid="49" name="id">
    <vt:lpwstr>20052006000001020112000001220075</vt:lpwstr>
  </property>
  <property fmtid="{D5CDD505-2E9C-101B-9397-08002B2CF9AE}" pid="50" name="nummer">
    <vt:lpwstr>436</vt:lpwstr>
  </property>
  <property fmtid="{D5CDD505-2E9C-101B-9397-08002B2CF9AE}" pid="51" name="utskottsbeteckning">
    <vt:lpwstr>N</vt:lpwstr>
  </property>
</Properties>
</file>