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2F69ED" w:rsidTr="001F7A7A">
        <w:tblPrEx>
          <w:tblCellMar>
            <w:top w:w="0" w:type="dxa"/>
            <w:bottom w:w="0" w:type="dxa"/>
          </w:tblCellMar>
        </w:tblPrEx>
        <w:trPr>
          <w:trHeight w:val="142"/>
        </w:trPr>
        <w:tc>
          <w:tcPr>
            <w:tcW w:w="2268" w:type="dxa"/>
          </w:tcPr>
          <w:p w:rsidR="00E91244" w:rsidRPr="002F69ED" w:rsidRDefault="00E91244">
            <w:pPr>
              <w:framePr w:w="4400" w:h="1644" w:wrap="notBeside" w:vAnchor="page" w:hAnchor="page" w:x="6573" w:y="721"/>
              <w:rPr>
                <w:rFonts w:ascii="TradeGothic" w:hAnsi="TradeGothic"/>
                <w:i/>
                <w:sz w:val="18"/>
              </w:rPr>
            </w:pPr>
          </w:p>
        </w:tc>
        <w:tc>
          <w:tcPr>
            <w:tcW w:w="2347" w:type="dxa"/>
            <w:gridSpan w:val="2"/>
          </w:tcPr>
          <w:p w:rsidR="00E91244" w:rsidRPr="002F69ED" w:rsidRDefault="00E91244">
            <w:pPr>
              <w:framePr w:w="4400" w:h="1644" w:wrap="notBeside" w:vAnchor="page" w:hAnchor="page" w:x="6573" w:y="721"/>
              <w:rPr>
                <w:rFonts w:ascii="TradeGothic" w:hAnsi="TradeGothic"/>
                <w:i/>
                <w:sz w:val="18"/>
              </w:rPr>
            </w:pPr>
          </w:p>
        </w:tc>
      </w:tr>
      <w:tr w:rsidR="00E91244" w:rsidRPr="002F69ED">
        <w:tblPrEx>
          <w:tblCellMar>
            <w:top w:w="0" w:type="dxa"/>
            <w:bottom w:w="0" w:type="dxa"/>
          </w:tblCellMar>
        </w:tblPrEx>
        <w:tc>
          <w:tcPr>
            <w:tcW w:w="2268" w:type="dxa"/>
          </w:tcPr>
          <w:p w:rsidR="00E91244" w:rsidRPr="002F69ED" w:rsidRDefault="00E91244">
            <w:pPr>
              <w:framePr w:w="4400" w:h="1644" w:wrap="notBeside" w:vAnchor="page" w:hAnchor="page" w:x="6573" w:y="721"/>
              <w:rPr>
                <w:rFonts w:ascii="TradeGothic" w:hAnsi="TradeGothic"/>
                <w:b/>
                <w:sz w:val="22"/>
              </w:rPr>
            </w:pPr>
            <w:r w:rsidRPr="002F69ED">
              <w:rPr>
                <w:rFonts w:ascii="TradeGothic" w:hAnsi="TradeGothic"/>
                <w:b/>
                <w:sz w:val="22"/>
              </w:rPr>
              <w:t xml:space="preserve">Kommenterad dagordning </w:t>
            </w:r>
          </w:p>
        </w:tc>
        <w:tc>
          <w:tcPr>
            <w:tcW w:w="2347" w:type="dxa"/>
            <w:gridSpan w:val="2"/>
          </w:tcPr>
          <w:p w:rsidR="00E91244" w:rsidRPr="002F69ED" w:rsidRDefault="00E91244">
            <w:pPr>
              <w:framePr w:w="4400" w:h="1644" w:wrap="notBeside" w:vAnchor="page" w:hAnchor="page" w:x="6573" w:y="721"/>
              <w:rPr>
                <w:rFonts w:ascii="TradeGothic" w:hAnsi="TradeGothic"/>
                <w:b/>
                <w:sz w:val="22"/>
              </w:rPr>
            </w:pPr>
          </w:p>
        </w:tc>
      </w:tr>
      <w:tr w:rsidR="00E91244" w:rsidRPr="002F69ED">
        <w:tblPrEx>
          <w:tblCellMar>
            <w:top w:w="0" w:type="dxa"/>
            <w:bottom w:w="0" w:type="dxa"/>
          </w:tblCellMar>
        </w:tblPrEx>
        <w:tc>
          <w:tcPr>
            <w:tcW w:w="3402" w:type="dxa"/>
            <w:gridSpan w:val="2"/>
          </w:tcPr>
          <w:p w:rsidR="00E91244" w:rsidRPr="002F69ED" w:rsidRDefault="00E91244">
            <w:pPr>
              <w:framePr w:w="4400" w:h="1644" w:wrap="notBeside" w:vAnchor="page" w:hAnchor="page" w:x="6573" w:y="721"/>
            </w:pPr>
          </w:p>
        </w:tc>
        <w:tc>
          <w:tcPr>
            <w:tcW w:w="1213" w:type="dxa"/>
          </w:tcPr>
          <w:p w:rsidR="00E91244" w:rsidRPr="002F69ED" w:rsidRDefault="00E91244">
            <w:pPr>
              <w:framePr w:w="4400" w:h="1644" w:wrap="notBeside" w:vAnchor="page" w:hAnchor="page" w:x="6573" w:y="721"/>
            </w:pPr>
          </w:p>
        </w:tc>
      </w:tr>
      <w:tr w:rsidR="00E91244" w:rsidRPr="002F69ED">
        <w:tblPrEx>
          <w:tblCellMar>
            <w:top w:w="0" w:type="dxa"/>
            <w:bottom w:w="0" w:type="dxa"/>
          </w:tblCellMar>
        </w:tblPrEx>
        <w:tc>
          <w:tcPr>
            <w:tcW w:w="2268" w:type="dxa"/>
          </w:tcPr>
          <w:p w:rsidR="00E91244" w:rsidRPr="002F69ED" w:rsidRDefault="00E91244">
            <w:pPr>
              <w:framePr w:w="4400" w:h="1644" w:wrap="notBeside" w:vAnchor="page" w:hAnchor="page" w:x="6573" w:y="721"/>
            </w:pPr>
            <w:r w:rsidRPr="002F69ED">
              <w:t>200</w:t>
            </w:r>
            <w:r w:rsidR="00063DD4" w:rsidRPr="002F69ED">
              <w:t>8-0</w:t>
            </w:r>
            <w:r w:rsidR="00DF46FA" w:rsidRPr="002F69ED">
              <w:t>5-2</w:t>
            </w:r>
            <w:r w:rsidR="00037727" w:rsidRPr="002F69ED">
              <w:t>6</w:t>
            </w:r>
          </w:p>
        </w:tc>
        <w:tc>
          <w:tcPr>
            <w:tcW w:w="2347" w:type="dxa"/>
            <w:gridSpan w:val="2"/>
          </w:tcPr>
          <w:p w:rsidR="00E91244" w:rsidRPr="002F69ED" w:rsidRDefault="00E91244">
            <w:pPr>
              <w:framePr w:w="4400" w:h="1644" w:wrap="notBeside" w:vAnchor="page" w:hAnchor="page" w:x="6573" w:y="721"/>
            </w:pPr>
          </w:p>
        </w:tc>
      </w:tr>
      <w:tr w:rsidR="00E91244" w:rsidRPr="002F69ED">
        <w:tblPrEx>
          <w:tblCellMar>
            <w:top w:w="0" w:type="dxa"/>
            <w:bottom w:w="0" w:type="dxa"/>
          </w:tblCellMar>
        </w:tblPrEx>
        <w:tc>
          <w:tcPr>
            <w:tcW w:w="2268" w:type="dxa"/>
          </w:tcPr>
          <w:p w:rsidR="00E91244" w:rsidRPr="002F69ED" w:rsidRDefault="00E91244">
            <w:pPr>
              <w:framePr w:w="4400" w:h="1644" w:wrap="notBeside" w:vAnchor="page" w:hAnchor="page" w:x="6573" w:y="721"/>
            </w:pPr>
          </w:p>
        </w:tc>
        <w:tc>
          <w:tcPr>
            <w:tcW w:w="2347" w:type="dxa"/>
            <w:gridSpan w:val="2"/>
          </w:tcPr>
          <w:p w:rsidR="00E91244" w:rsidRPr="002F69ED"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rPr>
                <w:b/>
                <w:i w:val="0"/>
                <w:sz w:val="22"/>
              </w:rPr>
            </w:pPr>
            <w:r w:rsidRPr="002F69ED">
              <w:rPr>
                <w:b/>
                <w:i w:val="0"/>
                <w:sz w:val="22"/>
              </w:rPr>
              <w:t>Finansdepartementet</w:t>
            </w: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r w:rsidRPr="002F69ED">
              <w:t>Peter Holmgren</w:t>
            </w: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p>
        </w:tc>
      </w:tr>
      <w:tr w:rsidR="00E91244" w:rsidRPr="002F69ED">
        <w:tblPrEx>
          <w:tblCellMar>
            <w:top w:w="0" w:type="dxa"/>
            <w:bottom w:w="0" w:type="dxa"/>
          </w:tblCellMar>
        </w:tblPrEx>
        <w:trPr>
          <w:trHeight w:val="284"/>
        </w:trPr>
        <w:tc>
          <w:tcPr>
            <w:tcW w:w="4911" w:type="dxa"/>
          </w:tcPr>
          <w:p w:rsidR="00E91244" w:rsidRPr="002F69ED" w:rsidRDefault="00E91244">
            <w:pPr>
              <w:pStyle w:val="Avsndare"/>
              <w:framePr w:h="2483" w:wrap="notBeside" w:x="1504"/>
            </w:pPr>
          </w:p>
        </w:tc>
      </w:tr>
    </w:tbl>
    <w:p w:rsidR="00E91244" w:rsidRPr="002F69ED" w:rsidRDefault="00E91244">
      <w:pPr>
        <w:framePr w:w="4400" w:h="2523" w:wrap="notBeside" w:vAnchor="page" w:hAnchor="page" w:x="6453" w:y="2445"/>
        <w:ind w:left="142"/>
      </w:pPr>
    </w:p>
    <w:p w:rsidR="004A5D0A" w:rsidRPr="002F69ED" w:rsidRDefault="004A5D0A">
      <w:pPr>
        <w:framePr w:w="4400" w:h="2523" w:wrap="notBeside" w:vAnchor="page" w:hAnchor="page" w:x="6453" w:y="2445"/>
        <w:ind w:left="142"/>
      </w:pPr>
    </w:p>
    <w:p w:rsidR="00E91244" w:rsidRPr="002F69ED" w:rsidRDefault="00E91244">
      <w:pPr>
        <w:pStyle w:val="RKrubrik"/>
        <w:pBdr>
          <w:bottom w:val="single" w:sz="4" w:space="1" w:color="000000"/>
        </w:pBdr>
        <w:spacing w:before="0" w:after="0"/>
        <w:rPr>
          <w:lang w:val="sv-SE"/>
        </w:rPr>
      </w:pPr>
      <w:r w:rsidRPr="002F69ED">
        <w:rPr>
          <w:lang w:val="sv-SE"/>
        </w:rPr>
        <w:t xml:space="preserve">Ekofinrådets möte den </w:t>
      </w:r>
      <w:r w:rsidR="00DF46FA" w:rsidRPr="002F69ED">
        <w:rPr>
          <w:lang w:val="sv-SE"/>
        </w:rPr>
        <w:t xml:space="preserve">3 juni </w:t>
      </w:r>
      <w:r w:rsidRPr="002F69ED">
        <w:rPr>
          <w:lang w:val="sv-SE"/>
        </w:rPr>
        <w:t>200</w:t>
      </w:r>
      <w:r w:rsidR="00063DD4" w:rsidRPr="002F69ED">
        <w:rPr>
          <w:lang w:val="sv-SE"/>
        </w:rPr>
        <w:t>8</w:t>
      </w:r>
      <w:r w:rsidRPr="002F69ED">
        <w:rPr>
          <w:lang w:val="sv-SE"/>
        </w:rPr>
        <w:t xml:space="preserve"> i </w:t>
      </w:r>
      <w:r w:rsidR="00DF46FA" w:rsidRPr="002F69ED">
        <w:rPr>
          <w:lang w:val="sv-SE"/>
        </w:rPr>
        <w:t>Luxemburg</w:t>
      </w:r>
    </w:p>
    <w:p w:rsidR="00E91244" w:rsidRPr="002F69ED" w:rsidRDefault="00E91244">
      <w:pPr>
        <w:pStyle w:val="RKrubrik"/>
        <w:pBdr>
          <w:bottom w:val="single" w:sz="4" w:space="1" w:color="000000"/>
        </w:pBdr>
        <w:spacing w:before="0" w:after="0"/>
        <w:rPr>
          <w:rFonts w:ascii="OrigGarmnd BT" w:hAnsi="OrigGarmnd BT"/>
          <w:b w:val="0"/>
          <w:lang w:val="sv-SE"/>
        </w:rPr>
      </w:pPr>
      <w:r w:rsidRPr="002F69ED">
        <w:rPr>
          <w:rFonts w:ascii="OrigGarmnd BT" w:hAnsi="OrigGarmnd BT"/>
          <w:b w:val="0"/>
          <w:lang w:val="sv-SE"/>
        </w:rPr>
        <w:t>- enligt den preliminära dagordning som framkom vid Coreper den</w:t>
      </w:r>
      <w:r w:rsidR="00377390" w:rsidRPr="002F69ED">
        <w:rPr>
          <w:rFonts w:ascii="OrigGarmnd BT" w:hAnsi="OrigGarmnd BT"/>
          <w:b w:val="0"/>
          <w:lang w:val="sv-SE"/>
        </w:rPr>
        <w:t xml:space="preserve"> </w:t>
      </w:r>
      <w:r w:rsidR="00DF46FA" w:rsidRPr="002F69ED">
        <w:rPr>
          <w:rFonts w:ascii="OrigGarmnd BT" w:hAnsi="OrigGarmnd BT"/>
          <w:b w:val="0"/>
          <w:lang w:val="sv-SE"/>
        </w:rPr>
        <w:t xml:space="preserve">22 maj </w:t>
      </w:r>
    </w:p>
    <w:p w:rsidR="00E91244" w:rsidRPr="002F69ED" w:rsidRDefault="00E91244">
      <w:pPr>
        <w:pStyle w:val="RKnormal"/>
        <w:rPr>
          <w:lang w:val="sv-SE"/>
        </w:rPr>
      </w:pPr>
    </w:p>
    <w:p w:rsidR="00E91244" w:rsidRPr="002F69ED" w:rsidRDefault="00E91244">
      <w:pPr>
        <w:pStyle w:val="RKnormal"/>
        <w:rPr>
          <w:rFonts w:ascii="OrigGarmnd BT" w:hAnsi="OrigGarmnd BT"/>
          <w:b/>
          <w:sz w:val="24"/>
          <w:lang w:val="sv-SE"/>
        </w:rPr>
      </w:pPr>
      <w:r w:rsidRPr="002F69ED">
        <w:rPr>
          <w:rFonts w:ascii="OrigGarmnd BT" w:hAnsi="OrigGarmnd BT"/>
          <w:b/>
          <w:sz w:val="24"/>
          <w:lang w:val="sv-SE"/>
        </w:rPr>
        <w:t>1.</w:t>
      </w:r>
      <w:r w:rsidRPr="002F69ED">
        <w:rPr>
          <w:rFonts w:ascii="OrigGarmnd BT" w:hAnsi="OrigGarmnd BT"/>
          <w:b/>
          <w:sz w:val="24"/>
          <w:lang w:val="sv-SE"/>
        </w:rPr>
        <w:tab/>
        <w:t>Antagande av den preliminära dagordningen</w:t>
      </w:r>
    </w:p>
    <w:p w:rsidR="00E91244" w:rsidRPr="002F69ED" w:rsidRDefault="00E91244">
      <w:pPr>
        <w:pStyle w:val="RKnormal"/>
        <w:rPr>
          <w:rFonts w:ascii="OrigGarmnd BT" w:hAnsi="OrigGarmnd BT"/>
          <w:sz w:val="24"/>
          <w:lang w:val="sv-SE"/>
        </w:rPr>
      </w:pPr>
    </w:p>
    <w:p w:rsidR="009F2BA3" w:rsidRPr="002F69ED" w:rsidRDefault="009F2BA3">
      <w:pPr>
        <w:pStyle w:val="RKnormal"/>
        <w:rPr>
          <w:rFonts w:ascii="OrigGarmnd BT" w:hAnsi="OrigGarmnd BT"/>
          <w:sz w:val="24"/>
          <w:lang w:val="sv-SE"/>
        </w:rPr>
      </w:pPr>
    </w:p>
    <w:p w:rsidR="00E91244" w:rsidRPr="002F69ED" w:rsidRDefault="00E91244">
      <w:pPr>
        <w:pStyle w:val="RKnormal"/>
        <w:rPr>
          <w:rFonts w:ascii="OrigGarmnd BT" w:hAnsi="OrigGarmnd BT"/>
          <w:b/>
          <w:sz w:val="24"/>
          <w:lang w:val="sv-SE"/>
        </w:rPr>
      </w:pPr>
      <w:r w:rsidRPr="002F69ED">
        <w:rPr>
          <w:rFonts w:ascii="OrigGarmnd BT" w:hAnsi="OrigGarmnd BT"/>
          <w:b/>
          <w:sz w:val="24"/>
          <w:lang w:val="sv-SE"/>
        </w:rPr>
        <w:t>2.</w:t>
      </w:r>
      <w:r w:rsidRPr="002F69ED">
        <w:rPr>
          <w:rFonts w:ascii="OrigGarmnd BT" w:hAnsi="OrigGarmnd BT"/>
          <w:b/>
          <w:sz w:val="24"/>
          <w:lang w:val="sv-SE"/>
        </w:rPr>
        <w:tab/>
        <w:t>Godkännande av A-punktslistan</w:t>
      </w:r>
    </w:p>
    <w:p w:rsidR="00E91244" w:rsidRPr="002F69ED" w:rsidRDefault="00E91244">
      <w:pPr>
        <w:pStyle w:val="RKnormal"/>
        <w:rPr>
          <w:rFonts w:ascii="OrigGarmnd BT" w:hAnsi="OrigGarmnd BT"/>
          <w:sz w:val="24"/>
          <w:lang w:val="sv-SE"/>
        </w:rPr>
      </w:pPr>
    </w:p>
    <w:p w:rsidR="0083591E" w:rsidRPr="002F69ED" w:rsidRDefault="0083591E">
      <w:pPr>
        <w:pStyle w:val="RKnormal"/>
        <w:rPr>
          <w:rFonts w:ascii="OrigGarmnd BT" w:hAnsi="OrigGarmnd BT"/>
          <w:sz w:val="24"/>
          <w:lang w:val="sv-SE"/>
        </w:rPr>
      </w:pPr>
    </w:p>
    <w:p w:rsidR="00E91244" w:rsidRPr="002F69ED" w:rsidRDefault="007A1C0E">
      <w:pPr>
        <w:pStyle w:val="RKnormal"/>
        <w:rPr>
          <w:rFonts w:ascii="OrigGarmnd BT" w:hAnsi="OrigGarmnd BT"/>
          <w:b/>
          <w:sz w:val="24"/>
          <w:lang w:val="sv-SE"/>
        </w:rPr>
      </w:pPr>
      <w:r w:rsidRPr="002F69ED">
        <w:rPr>
          <w:rFonts w:ascii="OrigGarmnd BT" w:hAnsi="OrigGarmnd BT"/>
          <w:b/>
          <w:sz w:val="24"/>
          <w:lang w:val="sv-SE"/>
        </w:rPr>
        <w:t xml:space="preserve">3. </w:t>
      </w:r>
      <w:r w:rsidRPr="002F69ED">
        <w:rPr>
          <w:rFonts w:ascii="OrigGarmnd BT" w:hAnsi="OrigGarmnd BT"/>
          <w:b/>
          <w:sz w:val="24"/>
          <w:lang w:val="sv-SE"/>
        </w:rPr>
        <w:tab/>
      </w:r>
      <w:r w:rsidR="003D5879" w:rsidRPr="002F69ED">
        <w:rPr>
          <w:rFonts w:ascii="OrigGarmnd BT" w:hAnsi="OrigGarmnd BT"/>
          <w:b/>
          <w:sz w:val="24"/>
          <w:lang w:val="sv-SE"/>
        </w:rPr>
        <w:t>Genomförande av Stabilitets- och tillväxtpakten</w:t>
      </w:r>
    </w:p>
    <w:p w:rsidR="00063DD4" w:rsidRPr="002F69ED" w:rsidRDefault="00063DD4" w:rsidP="00DF46FA">
      <w:pPr>
        <w:pStyle w:val="RKnormal"/>
        <w:rPr>
          <w:rFonts w:ascii="OrigGarmnd BT" w:hAnsi="OrigGarmnd BT"/>
          <w:i/>
          <w:sz w:val="24"/>
          <w:lang w:val="sv-SE"/>
        </w:rPr>
      </w:pPr>
      <w:r w:rsidRPr="002F69ED">
        <w:rPr>
          <w:rFonts w:ascii="OrigGarmnd BT" w:hAnsi="OrigGarmnd BT"/>
          <w:i/>
          <w:sz w:val="24"/>
          <w:lang w:val="sv-SE"/>
        </w:rPr>
        <w:tab/>
        <w:t>-</w:t>
      </w:r>
      <w:r w:rsidR="003D5879" w:rsidRPr="002F69ED">
        <w:rPr>
          <w:rFonts w:ascii="OrigGarmnd BT" w:hAnsi="OrigGarmnd BT"/>
          <w:i/>
          <w:sz w:val="24"/>
          <w:lang w:val="sv-SE"/>
        </w:rPr>
        <w:t xml:space="preserve"> </w:t>
      </w:r>
      <w:r w:rsidR="00DF46FA" w:rsidRPr="002F69ED">
        <w:rPr>
          <w:rFonts w:ascii="OrigGarmnd BT" w:hAnsi="OrigGarmnd BT"/>
          <w:i/>
          <w:sz w:val="24"/>
          <w:lang w:val="sv-SE"/>
        </w:rPr>
        <w:t xml:space="preserve">upphävande av </w:t>
      </w:r>
      <w:r w:rsidR="0083591E" w:rsidRPr="002F69ED">
        <w:rPr>
          <w:rFonts w:ascii="OrigGarmnd BT" w:hAnsi="OrigGarmnd BT"/>
          <w:i/>
          <w:sz w:val="24"/>
          <w:lang w:val="sv-SE"/>
        </w:rPr>
        <w:t>underskottsförfaranden</w:t>
      </w:r>
    </w:p>
    <w:p w:rsidR="007A1C0E" w:rsidRPr="002F69ED" w:rsidRDefault="007A1C0E">
      <w:pPr>
        <w:pStyle w:val="RKnormal"/>
        <w:rPr>
          <w:rFonts w:ascii="OrigGarmnd BT" w:hAnsi="OrigGarmnd BT"/>
          <w:sz w:val="24"/>
          <w:lang w:val="sv-SE"/>
        </w:rPr>
      </w:pPr>
    </w:p>
    <w:p w:rsidR="00E34612" w:rsidRPr="002F69ED" w:rsidRDefault="001154AD">
      <w:pPr>
        <w:pStyle w:val="RKnormal"/>
        <w:rPr>
          <w:rFonts w:ascii="OrigGarmnd BT" w:hAnsi="OrigGarmnd BT"/>
          <w:sz w:val="24"/>
          <w:lang w:val="sv-SE"/>
        </w:rPr>
      </w:pPr>
      <w:r w:rsidRPr="002F69ED">
        <w:rPr>
          <w:rFonts w:ascii="OrigGarmnd BT" w:hAnsi="OrigGarmnd BT"/>
          <w:sz w:val="24"/>
          <w:lang w:val="sv-SE"/>
        </w:rPr>
        <w:t xml:space="preserve">På kommissionens rekommendation ska rådet </w:t>
      </w:r>
      <w:r w:rsidR="006E033E" w:rsidRPr="002F69ED">
        <w:rPr>
          <w:rFonts w:ascii="OrigGarmnd BT" w:hAnsi="OrigGarmnd BT"/>
          <w:sz w:val="24"/>
          <w:lang w:val="sv-SE"/>
        </w:rPr>
        <w:t xml:space="preserve">besluta att upphäva tidigare beslut om att Italien, Portugal, Slovakien och Tjeckien har ett alltför stort underskott. </w:t>
      </w:r>
    </w:p>
    <w:p w:rsidR="006E033E" w:rsidRPr="002F69ED" w:rsidRDefault="006E033E">
      <w:pPr>
        <w:pStyle w:val="RKnormal"/>
        <w:ind w:left="1695" w:hanging="1695"/>
        <w:rPr>
          <w:rFonts w:ascii="OrigGarmnd BT" w:hAnsi="OrigGarmnd BT"/>
          <w:sz w:val="24"/>
          <w:lang w:val="sv-SE"/>
        </w:rPr>
      </w:pPr>
    </w:p>
    <w:p w:rsidR="001154AD" w:rsidRPr="002F69ED" w:rsidRDefault="001154AD">
      <w:pPr>
        <w:pStyle w:val="RKnormal"/>
        <w:ind w:left="1695" w:hanging="1695"/>
        <w:rPr>
          <w:rFonts w:ascii="OrigGarmnd BT" w:hAnsi="OrigGarmnd BT"/>
          <w:sz w:val="24"/>
          <w:lang w:val="sv-SE"/>
        </w:rPr>
      </w:pPr>
      <w:r w:rsidRPr="002F69ED">
        <w:rPr>
          <w:rFonts w:ascii="OrigGarmnd BT" w:hAnsi="OrigGarmnd BT"/>
          <w:sz w:val="24"/>
          <w:lang w:val="sv-SE"/>
        </w:rPr>
        <w:t>Regeringen invänd</w:t>
      </w:r>
      <w:r w:rsidR="00B044FC" w:rsidRPr="002F69ED">
        <w:rPr>
          <w:rFonts w:ascii="OrigGarmnd BT" w:hAnsi="OrigGarmnd BT"/>
          <w:sz w:val="24"/>
          <w:lang w:val="sv-SE"/>
        </w:rPr>
        <w:t xml:space="preserve">er inte </w:t>
      </w:r>
      <w:r w:rsidRPr="002F69ED">
        <w:rPr>
          <w:rFonts w:ascii="OrigGarmnd BT" w:hAnsi="OrigGarmnd BT"/>
          <w:sz w:val="24"/>
          <w:lang w:val="sv-SE"/>
        </w:rPr>
        <w:t xml:space="preserve">mot att dessa medlemsstater avförs från </w:t>
      </w:r>
    </w:p>
    <w:p w:rsidR="001154AD" w:rsidRPr="002F69ED" w:rsidRDefault="001154AD">
      <w:pPr>
        <w:pStyle w:val="RKnormal"/>
        <w:ind w:left="1695" w:hanging="1695"/>
        <w:rPr>
          <w:rFonts w:ascii="OrigGarmnd BT" w:hAnsi="OrigGarmnd BT"/>
          <w:sz w:val="24"/>
          <w:lang w:val="sv-SE"/>
        </w:rPr>
      </w:pPr>
      <w:r w:rsidRPr="002F69ED">
        <w:rPr>
          <w:rFonts w:ascii="OrigGarmnd BT" w:hAnsi="OrigGarmnd BT"/>
          <w:sz w:val="24"/>
          <w:lang w:val="sv-SE"/>
        </w:rPr>
        <w:t xml:space="preserve">”svarta listan”. </w:t>
      </w:r>
    </w:p>
    <w:p w:rsidR="006E033E" w:rsidRPr="002F69ED" w:rsidRDefault="006E033E">
      <w:pPr>
        <w:pStyle w:val="RKnormal"/>
        <w:ind w:left="1695" w:hanging="1695"/>
        <w:rPr>
          <w:rFonts w:ascii="OrigGarmnd BT" w:hAnsi="OrigGarmnd BT"/>
          <w:b/>
          <w:sz w:val="24"/>
          <w:lang w:val="sv-SE"/>
        </w:rPr>
      </w:pPr>
    </w:p>
    <w:p w:rsidR="006E033E" w:rsidRPr="002F69ED" w:rsidRDefault="006E033E">
      <w:pPr>
        <w:pStyle w:val="RKnormal"/>
        <w:ind w:left="1695" w:hanging="1695"/>
        <w:rPr>
          <w:rFonts w:ascii="OrigGarmnd BT" w:hAnsi="OrigGarmnd BT"/>
          <w:b/>
          <w:sz w:val="24"/>
          <w:lang w:val="sv-SE"/>
        </w:rPr>
      </w:pPr>
    </w:p>
    <w:p w:rsidR="00E91244" w:rsidRPr="002F69ED" w:rsidRDefault="00794D94">
      <w:pPr>
        <w:pStyle w:val="RKnormal"/>
        <w:ind w:left="1695" w:hanging="1695"/>
        <w:rPr>
          <w:rFonts w:ascii="OrigGarmnd BT" w:hAnsi="OrigGarmnd BT"/>
          <w:b/>
          <w:sz w:val="24"/>
          <w:lang w:val="sv-SE"/>
        </w:rPr>
      </w:pPr>
      <w:r w:rsidRPr="002F69ED">
        <w:rPr>
          <w:rFonts w:ascii="OrigGarmnd BT" w:hAnsi="OrigGarmnd BT"/>
          <w:b/>
          <w:sz w:val="24"/>
          <w:lang w:val="sv-SE"/>
        </w:rPr>
        <w:t>4</w:t>
      </w:r>
      <w:r w:rsidR="00E91244" w:rsidRPr="002F69ED">
        <w:rPr>
          <w:rFonts w:ascii="OrigGarmnd BT" w:hAnsi="OrigGarmnd BT"/>
          <w:b/>
          <w:sz w:val="24"/>
          <w:lang w:val="sv-SE"/>
        </w:rPr>
        <w:t>.</w:t>
      </w:r>
      <w:r w:rsidR="00E91244" w:rsidRPr="002F69ED">
        <w:rPr>
          <w:rFonts w:ascii="OrigGarmnd BT" w:hAnsi="OrigGarmnd BT"/>
          <w:b/>
          <w:sz w:val="24"/>
          <w:lang w:val="sv-SE"/>
        </w:rPr>
        <w:tab/>
      </w:r>
      <w:r w:rsidR="00DF46FA" w:rsidRPr="002F69ED">
        <w:rPr>
          <w:rFonts w:ascii="OrigGarmnd BT" w:hAnsi="OrigGarmnd BT"/>
          <w:b/>
          <w:sz w:val="24"/>
          <w:lang w:val="sv-SE"/>
        </w:rPr>
        <w:t>EMU 10 år</w:t>
      </w:r>
    </w:p>
    <w:p w:rsidR="00DF46FA" w:rsidRPr="002F69ED" w:rsidRDefault="00DF46FA">
      <w:pPr>
        <w:pStyle w:val="RKnormal"/>
        <w:ind w:left="1695" w:hanging="1695"/>
        <w:rPr>
          <w:rFonts w:ascii="OrigGarmnd BT" w:hAnsi="OrigGarmnd BT"/>
          <w:i/>
          <w:sz w:val="24"/>
          <w:lang w:val="sv-SE"/>
        </w:rPr>
      </w:pPr>
      <w:r w:rsidRPr="002F69ED">
        <w:rPr>
          <w:rFonts w:ascii="OrigGarmnd BT" w:hAnsi="OrigGarmnd BT"/>
          <w:i/>
          <w:sz w:val="24"/>
          <w:lang w:val="sv-SE"/>
        </w:rPr>
        <w:tab/>
        <w:t>- meningsutbyte</w:t>
      </w:r>
    </w:p>
    <w:p w:rsidR="006011F2" w:rsidRPr="002F69ED" w:rsidRDefault="006011F2" w:rsidP="006011F2">
      <w:pPr>
        <w:pStyle w:val="RKnormal"/>
        <w:rPr>
          <w:lang w:val="sv-SE"/>
        </w:rPr>
      </w:pPr>
    </w:p>
    <w:p w:rsidR="006011F2" w:rsidRPr="002F69ED" w:rsidRDefault="006011F2" w:rsidP="006011F2">
      <w:pPr>
        <w:pStyle w:val="RKnormal"/>
        <w:rPr>
          <w:rFonts w:ascii="OrigGarmnd BT" w:hAnsi="OrigGarmnd BT"/>
          <w:sz w:val="24"/>
          <w:szCs w:val="24"/>
          <w:lang w:val="sv-SE"/>
        </w:rPr>
      </w:pPr>
      <w:r w:rsidRPr="002F69ED">
        <w:rPr>
          <w:rFonts w:ascii="OrigGarmnd BT" w:hAnsi="OrigGarmnd BT"/>
          <w:sz w:val="24"/>
          <w:szCs w:val="24"/>
          <w:lang w:val="sv-SE"/>
        </w:rPr>
        <w:t>Ekofinrådet ska ha ett meningsutbyte om EMU 10 år baserat på ett meddelande  från kommissionen.  I meddelandet diskuteras erfarenheterna av EMU hittills, som betecknas som i mycket positiva i de flesta avseenden.  Kommissionen skisserar en politik för framtiden och förutser fortsatt diskussion om dessa frågor under 2008.  Kommissionen avser att återkomma med konkreta förslag under 2009 på basis av vad som framkommit under diskussionen.</w:t>
      </w:r>
    </w:p>
    <w:p w:rsidR="00DF46FA" w:rsidRPr="002F69ED" w:rsidRDefault="00DF46FA">
      <w:pPr>
        <w:pStyle w:val="RKnormal"/>
        <w:ind w:left="1695" w:hanging="1695"/>
        <w:rPr>
          <w:rFonts w:ascii="OrigGarmnd BT" w:hAnsi="OrigGarmnd BT"/>
          <w:b/>
          <w:sz w:val="24"/>
          <w:lang w:val="sv-SE"/>
        </w:rPr>
      </w:pPr>
    </w:p>
    <w:p w:rsidR="00DF46FA" w:rsidRPr="002F69ED" w:rsidRDefault="00DF46FA" w:rsidP="006011F2">
      <w:pPr>
        <w:pStyle w:val="RKnormal"/>
        <w:rPr>
          <w:rFonts w:ascii="OrigGarmnd BT" w:hAnsi="OrigGarmnd BT"/>
          <w:b/>
          <w:sz w:val="24"/>
          <w:lang w:val="sv-SE"/>
        </w:rPr>
      </w:pPr>
    </w:p>
    <w:p w:rsidR="0017372A" w:rsidRPr="002F69ED" w:rsidRDefault="0017372A">
      <w:pPr>
        <w:pStyle w:val="RKnormal"/>
        <w:ind w:left="1695" w:hanging="1695"/>
        <w:rPr>
          <w:rFonts w:ascii="OrigGarmnd BT" w:hAnsi="OrigGarmnd BT"/>
          <w:b/>
          <w:sz w:val="24"/>
          <w:lang w:val="sv-SE"/>
        </w:rPr>
      </w:pPr>
    </w:p>
    <w:p w:rsidR="0017372A" w:rsidRPr="002F69ED" w:rsidRDefault="0017372A">
      <w:pPr>
        <w:pStyle w:val="RKnormal"/>
        <w:ind w:left="1695" w:hanging="1695"/>
        <w:rPr>
          <w:rFonts w:ascii="OrigGarmnd BT" w:hAnsi="OrigGarmnd BT"/>
          <w:b/>
          <w:sz w:val="24"/>
          <w:lang w:val="sv-SE"/>
        </w:rPr>
      </w:pPr>
    </w:p>
    <w:p w:rsidR="0017372A" w:rsidRPr="002F69ED" w:rsidRDefault="0017372A">
      <w:pPr>
        <w:pStyle w:val="RKnormal"/>
        <w:ind w:left="1695" w:hanging="1695"/>
        <w:rPr>
          <w:rFonts w:ascii="OrigGarmnd BT" w:hAnsi="OrigGarmnd BT"/>
          <w:b/>
          <w:sz w:val="24"/>
          <w:lang w:val="sv-SE"/>
        </w:rPr>
      </w:pPr>
    </w:p>
    <w:p w:rsidR="00DF46FA"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 xml:space="preserve">5. </w:t>
      </w:r>
      <w:r w:rsidRPr="002F69ED">
        <w:rPr>
          <w:rFonts w:ascii="OrigGarmnd BT" w:hAnsi="OrigGarmnd BT"/>
          <w:b/>
          <w:sz w:val="24"/>
          <w:lang w:val="sv-SE"/>
        </w:rPr>
        <w:tab/>
        <w:t>2008 års konvergensrapporter</w:t>
      </w:r>
    </w:p>
    <w:p w:rsidR="00DF46FA" w:rsidRPr="002F69ED" w:rsidRDefault="00DF46FA">
      <w:pPr>
        <w:pStyle w:val="RKnormal"/>
        <w:ind w:left="1695" w:hanging="1695"/>
        <w:rPr>
          <w:rFonts w:ascii="OrigGarmnd BT" w:hAnsi="OrigGarmnd BT"/>
          <w:i/>
          <w:sz w:val="24"/>
          <w:lang w:val="sv-SE"/>
        </w:rPr>
      </w:pPr>
      <w:r w:rsidRPr="002F69ED">
        <w:rPr>
          <w:rFonts w:ascii="OrigGarmnd BT" w:hAnsi="OrigGarmnd BT"/>
          <w:i/>
          <w:sz w:val="24"/>
          <w:lang w:val="sv-SE"/>
        </w:rPr>
        <w:tab/>
        <w:t>- meningsutbyte</w:t>
      </w:r>
    </w:p>
    <w:p w:rsidR="00DF46FA" w:rsidRPr="002F69ED" w:rsidRDefault="00DF46FA">
      <w:pPr>
        <w:pStyle w:val="RKnormal"/>
        <w:ind w:left="1695" w:hanging="1695"/>
        <w:rPr>
          <w:rFonts w:ascii="OrigGarmnd BT" w:hAnsi="OrigGarmnd BT"/>
          <w:sz w:val="24"/>
          <w:lang w:val="sv-SE"/>
        </w:rPr>
      </w:pPr>
    </w:p>
    <w:p w:rsidR="009A38B2" w:rsidRPr="002F69ED" w:rsidRDefault="009A38B2" w:rsidP="009A38B2">
      <w:pPr>
        <w:overflowPunct/>
        <w:spacing w:line="240" w:lineRule="auto"/>
        <w:textAlignment w:val="auto"/>
      </w:pPr>
      <w:r w:rsidRPr="002F69ED">
        <w:t>Ekofinrådet ska behandla konvergensrapporterna från kommissionen och Europeiska Centralbanken (ECB) rörande Slovakien m</w:t>
      </w:r>
      <w:r w:rsidR="00C667A1" w:rsidRPr="002F69ED">
        <w:t xml:space="preserve">ot </w:t>
      </w:r>
      <w:r w:rsidRPr="002F69ED">
        <w:t xml:space="preserve">bakgrund av landets ansökan om att införa euron. Utifrån diskussionen kommer ett meddelande att skickas från Ekofinrådet till </w:t>
      </w:r>
      <w:r w:rsidR="00C667A1" w:rsidRPr="002F69ED">
        <w:t xml:space="preserve">stats- och regeringscheferna som i anslutning till </w:t>
      </w:r>
      <w:r w:rsidRPr="002F69ED">
        <w:t>Europeiska rådet s</w:t>
      </w:r>
      <w:r w:rsidR="00C667A1" w:rsidRPr="002F69ED">
        <w:t xml:space="preserve">ka </w:t>
      </w:r>
      <w:r w:rsidRPr="002F69ED">
        <w:t>behandla frågan</w:t>
      </w:r>
      <w:r w:rsidR="00C667A1" w:rsidRPr="002F69ED">
        <w:t xml:space="preserve"> och i sammansättningen ”rådet (stats- och regeringschefer)”</w:t>
      </w:r>
      <w:r w:rsidRPr="002F69ED">
        <w:t xml:space="preserve">. </w:t>
      </w:r>
    </w:p>
    <w:p w:rsidR="009A38B2" w:rsidRPr="002F69ED" w:rsidRDefault="009A38B2" w:rsidP="009A38B2">
      <w:pPr>
        <w:overflowPunct/>
        <w:spacing w:line="240" w:lineRule="auto"/>
        <w:textAlignment w:val="auto"/>
        <w:rPr>
          <w:rFonts w:cs="Helv"/>
          <w:color w:val="000000"/>
          <w:sz w:val="20"/>
          <w:lang w:eastAsia="sv-SE"/>
        </w:rPr>
      </w:pPr>
    </w:p>
    <w:p w:rsidR="009A38B2" w:rsidRPr="002F69ED" w:rsidRDefault="009A38B2" w:rsidP="009A38B2">
      <w:pPr>
        <w:overflowPunct/>
        <w:spacing w:line="240" w:lineRule="auto"/>
        <w:textAlignment w:val="auto"/>
      </w:pPr>
      <w:r w:rsidRPr="002F69ED">
        <w:rPr>
          <w:rFonts w:cs="Helv"/>
          <w:color w:val="000000"/>
          <w:szCs w:val="24"/>
          <w:lang w:eastAsia="sv-SE"/>
        </w:rPr>
        <w:t xml:space="preserve">Kommissionen anser att Slovakien uppfyller de kriterier som ställs för att få införa euron. De ekonomiska kriterier som ska uppfyllas är </w:t>
      </w:r>
      <w:r w:rsidRPr="002F69ED">
        <w:t xml:space="preserve">prisstabilitet, sunda offentliga finanser, växelkursstabilitet samt att den långa räntan inte avviker alltför mycket från räntan i euroländerna. </w:t>
      </w:r>
    </w:p>
    <w:p w:rsidR="009A38B2" w:rsidRPr="002F69ED" w:rsidRDefault="009A38B2" w:rsidP="009A38B2">
      <w:pPr>
        <w:overflowPunct/>
        <w:spacing w:line="240" w:lineRule="auto"/>
        <w:textAlignment w:val="auto"/>
      </w:pPr>
    </w:p>
    <w:p w:rsidR="009A38B2" w:rsidRPr="002F69ED" w:rsidRDefault="009A38B2" w:rsidP="009A38B2">
      <w:pPr>
        <w:overflowPunct/>
        <w:spacing w:line="240" w:lineRule="auto"/>
        <w:textAlignment w:val="auto"/>
      </w:pPr>
      <w:r w:rsidRPr="002F69ED">
        <w:t xml:space="preserve">Regeringen stöder kommissionens uppfattning. </w:t>
      </w:r>
    </w:p>
    <w:p w:rsidR="009A38B2" w:rsidRPr="002F69ED" w:rsidRDefault="009A38B2" w:rsidP="009A38B2">
      <w:pPr>
        <w:overflowPunct/>
        <w:spacing w:line="240" w:lineRule="auto"/>
        <w:textAlignment w:val="auto"/>
        <w:rPr>
          <w:rFonts w:cs="Helv"/>
          <w:color w:val="000000"/>
          <w:szCs w:val="24"/>
          <w:lang w:eastAsia="sv-SE"/>
        </w:rPr>
      </w:pPr>
    </w:p>
    <w:p w:rsidR="009A38B2" w:rsidRPr="002F69ED" w:rsidRDefault="009A38B2" w:rsidP="009A38B2">
      <w:pPr>
        <w:overflowPunct/>
        <w:spacing w:line="240" w:lineRule="auto"/>
        <w:textAlignment w:val="auto"/>
        <w:rPr>
          <w:rFonts w:cs="Helv"/>
          <w:color w:val="000000"/>
          <w:szCs w:val="24"/>
          <w:lang w:eastAsia="sv-SE"/>
        </w:rPr>
      </w:pPr>
      <w:r w:rsidRPr="002F69ED">
        <w:rPr>
          <w:rFonts w:cs="Helv"/>
          <w:color w:val="000000"/>
          <w:szCs w:val="24"/>
          <w:lang w:eastAsia="sv-SE"/>
        </w:rPr>
        <w:t xml:space="preserve">Även konvergensrapporterna för de övriga länder som har undantag för medlemskap i valutaunionen – dvs. alla EU-medlemmar som inte har infört euron undantaget Storbritannien och Danmark – ska granskas. Sverige anses inte ha uppfyllt kriterierna för växelkursstabilitet och legal konvergens. </w:t>
      </w:r>
    </w:p>
    <w:p w:rsidR="0083591E" w:rsidRPr="002F69ED" w:rsidRDefault="0083591E">
      <w:pPr>
        <w:pStyle w:val="RKnormal"/>
        <w:ind w:left="1695" w:hanging="1695"/>
        <w:rPr>
          <w:rFonts w:ascii="OrigGarmnd BT" w:hAnsi="OrigGarmnd BT"/>
          <w:b/>
          <w:sz w:val="24"/>
          <w:lang w:val="sv-SE"/>
        </w:rPr>
      </w:pPr>
    </w:p>
    <w:p w:rsidR="009A38B2" w:rsidRPr="002F69ED" w:rsidRDefault="009A38B2">
      <w:pPr>
        <w:pStyle w:val="RKnormal"/>
        <w:ind w:left="1695" w:hanging="1695"/>
        <w:rPr>
          <w:rFonts w:ascii="OrigGarmnd BT" w:hAnsi="OrigGarmnd BT"/>
          <w:b/>
          <w:sz w:val="24"/>
          <w:lang w:val="sv-SE"/>
        </w:rPr>
      </w:pPr>
    </w:p>
    <w:p w:rsidR="00DF46FA"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6.</w:t>
      </w:r>
      <w:r w:rsidRPr="002F69ED">
        <w:rPr>
          <w:rFonts w:ascii="OrigGarmnd BT" w:hAnsi="OrigGarmnd BT"/>
          <w:b/>
          <w:sz w:val="24"/>
          <w:lang w:val="sv-SE"/>
        </w:rPr>
        <w:tab/>
        <w:t xml:space="preserve">Förberedelser inför Europeiska rådets möte </w:t>
      </w:r>
    </w:p>
    <w:p w:rsidR="00DF46FA" w:rsidRPr="002F69ED" w:rsidRDefault="00DF46FA">
      <w:pPr>
        <w:pStyle w:val="RKnormal"/>
        <w:ind w:left="1695" w:hanging="1695"/>
        <w:rPr>
          <w:rFonts w:ascii="OrigGarmnd BT" w:hAnsi="OrigGarmnd BT"/>
          <w:i/>
          <w:sz w:val="24"/>
          <w:lang w:val="sv-SE"/>
        </w:rPr>
      </w:pPr>
      <w:r w:rsidRPr="002F69ED">
        <w:rPr>
          <w:rFonts w:ascii="OrigGarmnd BT" w:hAnsi="OrigGarmnd BT"/>
          <w:i/>
          <w:sz w:val="24"/>
          <w:lang w:val="sv-SE"/>
        </w:rPr>
        <w:tab/>
        <w:t>- meningsutbyte om livsmedelspriser</w:t>
      </w:r>
    </w:p>
    <w:p w:rsidR="00DF46FA" w:rsidRPr="002F69ED" w:rsidRDefault="00DF46FA">
      <w:pPr>
        <w:pStyle w:val="RKnormal"/>
        <w:ind w:left="1695" w:hanging="1695"/>
        <w:rPr>
          <w:rFonts w:ascii="OrigGarmnd BT" w:hAnsi="OrigGarmnd BT"/>
          <w:sz w:val="24"/>
          <w:lang w:val="sv-SE"/>
        </w:rPr>
      </w:pPr>
    </w:p>
    <w:p w:rsidR="009B1844" w:rsidRPr="002F69ED" w:rsidRDefault="009B1844" w:rsidP="009B1844">
      <w:pPr>
        <w:pStyle w:val="RKnormal"/>
        <w:rPr>
          <w:rFonts w:ascii="OrigGarmnd BT" w:hAnsi="OrigGarmnd BT"/>
          <w:sz w:val="24"/>
          <w:szCs w:val="24"/>
          <w:lang w:val="sv-SE"/>
        </w:rPr>
      </w:pPr>
      <w:r w:rsidRPr="002F69ED">
        <w:rPr>
          <w:rFonts w:ascii="OrigGarmnd BT" w:hAnsi="OrigGarmnd BT"/>
          <w:sz w:val="24"/>
          <w:szCs w:val="24"/>
          <w:lang w:val="sv-SE"/>
        </w:rPr>
        <w:t xml:space="preserve">Ekofinrådet ska diskutera den senaste tidens uppgång i livsmedelspriser och eventuellt förbereda ett bidrag till Europeiska rådet. </w:t>
      </w:r>
    </w:p>
    <w:p w:rsidR="009B1844" w:rsidRPr="002F69ED" w:rsidRDefault="009B1844" w:rsidP="009B1844">
      <w:pPr>
        <w:pStyle w:val="RKnormal"/>
        <w:rPr>
          <w:rFonts w:ascii="OrigGarmnd BT" w:hAnsi="OrigGarmnd BT"/>
          <w:sz w:val="24"/>
          <w:szCs w:val="24"/>
          <w:lang w:val="sv-SE"/>
        </w:rPr>
      </w:pPr>
    </w:p>
    <w:p w:rsidR="009B1844" w:rsidRPr="002F69ED" w:rsidRDefault="009B1844" w:rsidP="009B1844">
      <w:pPr>
        <w:pStyle w:val="RKnormal"/>
        <w:rPr>
          <w:rFonts w:ascii="OrigGarmnd BT" w:hAnsi="OrigGarmnd BT"/>
          <w:sz w:val="24"/>
          <w:szCs w:val="24"/>
          <w:lang w:val="sv-SE"/>
        </w:rPr>
      </w:pPr>
      <w:r w:rsidRPr="002F69ED">
        <w:rPr>
          <w:rFonts w:ascii="OrigGarmnd BT" w:hAnsi="OrigGarmnd BT"/>
          <w:sz w:val="24"/>
          <w:szCs w:val="24"/>
          <w:lang w:val="sv-SE"/>
        </w:rPr>
        <w:t xml:space="preserve">Frågan om de stigande livsmedelspriserna har tidigare behandlats av EU:s jordbruksministrar den 19 maj och kommer att tas upp av utrikesministrarna i allmänna rådet den 26-27 maj. </w:t>
      </w:r>
    </w:p>
    <w:p w:rsidR="009B1844" w:rsidRPr="002F69ED" w:rsidRDefault="009B1844" w:rsidP="009B1844">
      <w:pPr>
        <w:pStyle w:val="RKnormal"/>
        <w:rPr>
          <w:rFonts w:ascii="OrigGarmnd BT" w:hAnsi="OrigGarmnd BT"/>
          <w:sz w:val="24"/>
          <w:szCs w:val="24"/>
          <w:lang w:val="sv-SE"/>
        </w:rPr>
      </w:pPr>
    </w:p>
    <w:p w:rsidR="009B1844" w:rsidRPr="002F69ED" w:rsidRDefault="009B1844" w:rsidP="009B1844">
      <w:pPr>
        <w:pStyle w:val="RKnormal"/>
        <w:rPr>
          <w:rFonts w:ascii="OrigGarmnd BT" w:hAnsi="OrigGarmnd BT"/>
          <w:sz w:val="24"/>
          <w:szCs w:val="24"/>
          <w:lang w:val="sv-SE"/>
        </w:rPr>
      </w:pPr>
      <w:r w:rsidRPr="002F69ED">
        <w:rPr>
          <w:rFonts w:ascii="OrigGarmnd BT" w:hAnsi="OrigGarmnd BT"/>
          <w:sz w:val="24"/>
          <w:szCs w:val="24"/>
          <w:lang w:val="sv-SE"/>
        </w:rPr>
        <w:t xml:space="preserve">Regeringen välkomnar att denna fråga även tas upp av EU:s finansministrar. </w:t>
      </w:r>
    </w:p>
    <w:p w:rsidR="00DF46FA" w:rsidRPr="002F69ED" w:rsidRDefault="00DF46FA">
      <w:pPr>
        <w:pStyle w:val="RKnormal"/>
        <w:ind w:left="1695" w:hanging="1695"/>
        <w:rPr>
          <w:rFonts w:ascii="OrigGarmnd BT" w:hAnsi="OrigGarmnd BT"/>
          <w:sz w:val="24"/>
          <w:szCs w:val="24"/>
          <w:lang w:val="sv-SE"/>
        </w:rPr>
      </w:pPr>
    </w:p>
    <w:p w:rsidR="002C38A3" w:rsidRPr="002F69ED" w:rsidRDefault="002C38A3">
      <w:pPr>
        <w:pStyle w:val="RKnormal"/>
        <w:ind w:left="1695" w:hanging="1695"/>
        <w:rPr>
          <w:rFonts w:ascii="OrigGarmnd BT" w:hAnsi="OrigGarmnd BT"/>
          <w:sz w:val="24"/>
          <w:lang w:val="sv-SE"/>
        </w:rPr>
      </w:pPr>
    </w:p>
    <w:p w:rsidR="00063DD4"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7.</w:t>
      </w:r>
      <w:r w:rsidRPr="002F69ED">
        <w:rPr>
          <w:rFonts w:ascii="OrigGarmnd BT" w:hAnsi="OrigGarmnd BT"/>
          <w:b/>
          <w:sz w:val="24"/>
          <w:lang w:val="sv-SE"/>
        </w:rPr>
        <w:tab/>
        <w:t>Finansiella tjänster</w:t>
      </w:r>
    </w:p>
    <w:p w:rsidR="00DF46FA" w:rsidRPr="002F69ED" w:rsidRDefault="00DF46FA">
      <w:pPr>
        <w:pStyle w:val="RKnormal"/>
        <w:ind w:left="1695" w:hanging="1695"/>
        <w:rPr>
          <w:rFonts w:ascii="OrigGarmnd BT" w:hAnsi="OrigGarmnd BT"/>
          <w:b/>
          <w:sz w:val="24"/>
          <w:lang w:val="sv-SE"/>
        </w:rPr>
      </w:pPr>
    </w:p>
    <w:p w:rsidR="00037727"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7</w:t>
      </w:r>
      <w:r w:rsidR="00063DD4" w:rsidRPr="002F69ED">
        <w:rPr>
          <w:rFonts w:ascii="OrigGarmnd BT" w:hAnsi="OrigGarmnd BT"/>
          <w:b/>
          <w:sz w:val="24"/>
          <w:lang w:val="sv-SE"/>
        </w:rPr>
        <w:t>.</w:t>
      </w:r>
      <w:r w:rsidR="00F978C3" w:rsidRPr="002F69ED">
        <w:rPr>
          <w:rFonts w:ascii="OrigGarmnd BT" w:hAnsi="OrigGarmnd BT"/>
          <w:b/>
          <w:sz w:val="24"/>
          <w:lang w:val="sv-SE"/>
        </w:rPr>
        <w:t>1</w:t>
      </w:r>
      <w:r w:rsidR="00063DD4" w:rsidRPr="002F69ED">
        <w:rPr>
          <w:rFonts w:ascii="OrigGarmnd BT" w:hAnsi="OrigGarmnd BT"/>
          <w:b/>
          <w:sz w:val="24"/>
          <w:lang w:val="sv-SE"/>
        </w:rPr>
        <w:t xml:space="preserve">   </w:t>
      </w:r>
      <w:r w:rsidRPr="002F69ED">
        <w:rPr>
          <w:rFonts w:ascii="OrigGarmnd BT" w:hAnsi="OrigGarmnd BT"/>
          <w:b/>
          <w:sz w:val="24"/>
          <w:lang w:val="sv-SE"/>
        </w:rPr>
        <w:t>Clearing &amp; avveckling</w:t>
      </w:r>
      <w:r w:rsidR="00B571D2" w:rsidRPr="002F69ED">
        <w:rPr>
          <w:rFonts w:ascii="OrigGarmnd BT" w:hAnsi="OrigGarmnd BT"/>
          <w:b/>
          <w:sz w:val="24"/>
          <w:lang w:val="sv-SE"/>
        </w:rPr>
        <w:tab/>
      </w:r>
      <w:r w:rsidR="00B571D2" w:rsidRPr="002F69ED">
        <w:rPr>
          <w:rFonts w:ascii="OrigGarmnd BT" w:hAnsi="OrigGarmnd BT"/>
          <w:b/>
          <w:sz w:val="24"/>
          <w:lang w:val="sv-SE"/>
        </w:rPr>
        <w:tab/>
      </w:r>
      <w:r w:rsidR="00B571D2" w:rsidRPr="002F69ED">
        <w:rPr>
          <w:rFonts w:ascii="OrigGarmnd BT" w:hAnsi="OrigGarmnd BT"/>
          <w:b/>
          <w:sz w:val="24"/>
          <w:lang w:val="sv-SE"/>
        </w:rPr>
        <w:tab/>
      </w:r>
    </w:p>
    <w:p w:rsidR="00DF46FA" w:rsidRPr="002F69ED" w:rsidRDefault="00DF46FA">
      <w:pPr>
        <w:pStyle w:val="RKnormal"/>
        <w:ind w:left="1695" w:hanging="1695"/>
        <w:rPr>
          <w:rFonts w:ascii="OrigGarmnd BT" w:hAnsi="OrigGarmnd BT"/>
          <w:i/>
          <w:sz w:val="24"/>
          <w:lang w:val="sv-SE"/>
        </w:rPr>
      </w:pPr>
      <w:r w:rsidRPr="002F69ED">
        <w:rPr>
          <w:rFonts w:ascii="OrigGarmnd BT" w:hAnsi="OrigGarmnd BT"/>
          <w:i/>
          <w:sz w:val="24"/>
          <w:lang w:val="sv-SE"/>
        </w:rPr>
        <w:t xml:space="preserve">         - rådets slutsatser</w:t>
      </w:r>
    </w:p>
    <w:p w:rsidR="00DF46FA" w:rsidRPr="002F69ED" w:rsidRDefault="00DF46FA">
      <w:pPr>
        <w:pStyle w:val="RKnormal"/>
        <w:ind w:left="1695" w:hanging="1695"/>
        <w:rPr>
          <w:rFonts w:ascii="OrigGarmnd BT" w:hAnsi="OrigGarmnd BT"/>
          <w:sz w:val="24"/>
          <w:lang w:val="sv-SE"/>
        </w:rPr>
      </w:pPr>
    </w:p>
    <w:p w:rsidR="00E358FC" w:rsidRPr="002F69ED" w:rsidRDefault="00E358FC" w:rsidP="00E358FC">
      <w:pPr>
        <w:tabs>
          <w:tab w:val="left" w:pos="2835"/>
        </w:tabs>
        <w:overflowPunct/>
        <w:spacing w:line="240" w:lineRule="auto"/>
        <w:textAlignment w:val="auto"/>
        <w:rPr>
          <w:rFonts w:cs="OrigGarmnd BT"/>
          <w:color w:val="000000"/>
          <w:szCs w:val="24"/>
        </w:rPr>
      </w:pPr>
      <w:r w:rsidRPr="002F69ED">
        <w:rPr>
          <w:rFonts w:cs="OrigGarmnd BT"/>
          <w:color w:val="000000"/>
          <w:szCs w:val="24"/>
        </w:rPr>
        <w:t xml:space="preserve">Rådet ska anta slutsatser om de pågående förhandlingarna rörande Clearing &amp; avveckling. </w:t>
      </w:r>
    </w:p>
    <w:p w:rsidR="00E358FC" w:rsidRPr="002F69ED" w:rsidRDefault="00E358FC" w:rsidP="00E358FC">
      <w:pPr>
        <w:tabs>
          <w:tab w:val="left" w:pos="2835"/>
        </w:tabs>
        <w:overflowPunct/>
        <w:spacing w:line="240" w:lineRule="auto"/>
        <w:textAlignment w:val="auto"/>
        <w:rPr>
          <w:rFonts w:cs="OrigGarmnd BT"/>
          <w:color w:val="000000"/>
          <w:szCs w:val="24"/>
        </w:rPr>
      </w:pPr>
    </w:p>
    <w:p w:rsidR="00E358FC" w:rsidRPr="002F69ED" w:rsidRDefault="00E358FC" w:rsidP="00E358FC">
      <w:pPr>
        <w:tabs>
          <w:tab w:val="left" w:pos="2835"/>
        </w:tabs>
        <w:overflowPunct/>
        <w:spacing w:line="240" w:lineRule="auto"/>
        <w:textAlignment w:val="auto"/>
        <w:rPr>
          <w:rFonts w:cs="OrigGarmnd BT"/>
          <w:color w:val="000000"/>
          <w:szCs w:val="24"/>
        </w:rPr>
      </w:pPr>
      <w:r w:rsidRPr="002F69ED">
        <w:rPr>
          <w:rFonts w:cs="OrigGarmnd BT"/>
          <w:color w:val="000000"/>
          <w:szCs w:val="24"/>
        </w:rPr>
        <w:t>Frågan rör den huvudsakliga inriktningen av det fortsatta arbetet med att avveckla hinder för gränsöverskridande avveckling av värdepappersaffärer. Arbetet omfattar fyra områden: (1) säkerhets- och sundhetskrav (s.k. ESCB/CESR-rekommendationer för reglering och tillsyn), (2) genomförandet av branschens egen uppförandekod, (3) avvecklandet av legala och skattemässiga hinder (s.k. Giovannini-barriärer) samt (4) utvecklingen av TARGET2-Securities (T2S).</w:t>
      </w:r>
    </w:p>
    <w:p w:rsidR="00E358FC" w:rsidRPr="002F69ED" w:rsidRDefault="00E358FC" w:rsidP="00E358FC">
      <w:pPr>
        <w:tabs>
          <w:tab w:val="left" w:pos="2835"/>
        </w:tabs>
        <w:overflowPunct/>
        <w:spacing w:line="240" w:lineRule="auto"/>
        <w:textAlignment w:val="auto"/>
        <w:rPr>
          <w:rFonts w:cs="OrigGarmnd BT"/>
          <w:color w:val="000000"/>
          <w:szCs w:val="24"/>
        </w:rPr>
      </w:pPr>
    </w:p>
    <w:p w:rsidR="00E358FC" w:rsidRPr="002F69ED" w:rsidRDefault="00E358FC" w:rsidP="00E358FC">
      <w:pPr>
        <w:tabs>
          <w:tab w:val="left" w:pos="2835"/>
        </w:tabs>
        <w:overflowPunct/>
        <w:spacing w:line="240" w:lineRule="auto"/>
        <w:textAlignment w:val="auto"/>
        <w:rPr>
          <w:rFonts w:cs="OrigGarmnd BT"/>
          <w:color w:val="000000"/>
          <w:szCs w:val="24"/>
        </w:rPr>
      </w:pPr>
      <w:r w:rsidRPr="002F69ED">
        <w:rPr>
          <w:rFonts w:cs="OrigGarmnd BT"/>
          <w:color w:val="000000"/>
          <w:szCs w:val="24"/>
        </w:rPr>
        <w:t xml:space="preserve">Från svensk sida välkomnas den överenskommelse som uppnåtts gällande ESCB/CESR-rekommendationer, medan långtgående krav på fristående nationella och internationella clearingorganisationer är mer besvärande att i förväg utfästa sig om deltagande i ett framtida T2S, eftersom förutsättningarna för ett sådant deltagande inte är fullt kända.    </w:t>
      </w:r>
    </w:p>
    <w:p w:rsidR="00E358FC" w:rsidRPr="002F69ED" w:rsidRDefault="00E358FC" w:rsidP="00E358FC">
      <w:pPr>
        <w:tabs>
          <w:tab w:val="left" w:pos="2835"/>
        </w:tabs>
        <w:overflowPunct/>
        <w:spacing w:line="240" w:lineRule="auto"/>
        <w:textAlignment w:val="auto"/>
        <w:rPr>
          <w:rFonts w:cs="OrigGarmnd BT"/>
          <w:color w:val="000000"/>
          <w:szCs w:val="24"/>
        </w:rPr>
      </w:pPr>
    </w:p>
    <w:p w:rsidR="00E358FC" w:rsidRPr="002F69ED" w:rsidRDefault="00E358FC" w:rsidP="00E358FC">
      <w:pPr>
        <w:tabs>
          <w:tab w:val="left" w:pos="2835"/>
        </w:tabs>
        <w:overflowPunct/>
        <w:spacing w:line="240" w:lineRule="auto"/>
        <w:textAlignment w:val="auto"/>
        <w:rPr>
          <w:rFonts w:cs="OrigGarmnd BT"/>
          <w:color w:val="FF0000"/>
          <w:szCs w:val="24"/>
        </w:rPr>
      </w:pPr>
    </w:p>
    <w:p w:rsidR="00DF46FA"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7.2   Solvens II</w:t>
      </w:r>
    </w:p>
    <w:p w:rsidR="00DF46FA" w:rsidRPr="002F69ED" w:rsidRDefault="00DF46FA">
      <w:pPr>
        <w:pStyle w:val="RKnormal"/>
        <w:ind w:left="1695" w:hanging="1695"/>
        <w:rPr>
          <w:rFonts w:ascii="OrigGarmnd BT" w:hAnsi="OrigGarmnd BT"/>
          <w:i/>
          <w:sz w:val="24"/>
          <w:lang w:val="sv-SE"/>
        </w:rPr>
      </w:pPr>
      <w:r w:rsidRPr="002F69ED">
        <w:rPr>
          <w:rFonts w:ascii="OrigGarmnd BT" w:hAnsi="OrigGarmnd BT"/>
          <w:i/>
          <w:sz w:val="24"/>
          <w:lang w:val="sv-SE"/>
        </w:rPr>
        <w:t xml:space="preserve">         - lägesrapport</w:t>
      </w:r>
    </w:p>
    <w:p w:rsidR="00EA3AFC" w:rsidRPr="002F69ED" w:rsidRDefault="00EA3AFC" w:rsidP="00EA3AFC">
      <w:pPr>
        <w:pStyle w:val="RKnormal"/>
        <w:rPr>
          <w:lang w:val="sv-SE"/>
        </w:rPr>
      </w:pPr>
    </w:p>
    <w:p w:rsidR="00EA3AFC" w:rsidRPr="002F69ED" w:rsidRDefault="00EA3AFC" w:rsidP="00EA3AFC">
      <w:pPr>
        <w:pStyle w:val="RKnormal"/>
        <w:rPr>
          <w:rFonts w:ascii="OrigGarmnd BT" w:hAnsi="OrigGarmnd BT"/>
          <w:sz w:val="24"/>
          <w:szCs w:val="24"/>
          <w:lang w:val="sv-SE"/>
        </w:rPr>
      </w:pPr>
      <w:r w:rsidRPr="002F69ED">
        <w:rPr>
          <w:rFonts w:ascii="OrigGarmnd BT" w:hAnsi="OrigGarmnd BT"/>
          <w:sz w:val="24"/>
          <w:szCs w:val="24"/>
          <w:lang w:val="sv-SE"/>
        </w:rPr>
        <w:t xml:space="preserve">En informationspunkt där ordförandeskapet ska </w:t>
      </w:r>
      <w:r w:rsidR="00846663" w:rsidRPr="002F69ED">
        <w:rPr>
          <w:rFonts w:ascii="OrigGarmnd BT" w:hAnsi="OrigGarmnd BT"/>
          <w:sz w:val="24"/>
          <w:szCs w:val="24"/>
          <w:lang w:val="sv-SE"/>
        </w:rPr>
        <w:t xml:space="preserve">redovisa </w:t>
      </w:r>
      <w:r w:rsidRPr="002F69ED">
        <w:rPr>
          <w:rFonts w:ascii="OrigGarmnd BT" w:hAnsi="OrigGarmnd BT"/>
          <w:sz w:val="24"/>
          <w:szCs w:val="24"/>
          <w:lang w:val="sv-SE"/>
        </w:rPr>
        <w:t xml:space="preserve">status i förhandlingarna om nytt direktiv för försäkrings- och </w:t>
      </w:r>
    </w:p>
    <w:p w:rsidR="00EA3AFC" w:rsidRPr="002F69ED" w:rsidRDefault="00EA3AFC" w:rsidP="00EA3AFC">
      <w:pPr>
        <w:pStyle w:val="RKnormal"/>
        <w:rPr>
          <w:rFonts w:ascii="OrigGarmnd BT" w:hAnsi="OrigGarmnd BT"/>
          <w:sz w:val="24"/>
          <w:szCs w:val="24"/>
          <w:lang w:val="sv-SE"/>
        </w:rPr>
      </w:pPr>
      <w:r w:rsidRPr="002F69ED">
        <w:rPr>
          <w:rFonts w:ascii="OrigGarmnd BT" w:hAnsi="OrigGarmnd BT"/>
          <w:sz w:val="24"/>
          <w:szCs w:val="24"/>
          <w:lang w:val="sv-SE"/>
        </w:rPr>
        <w:t xml:space="preserve">återförsäkringsverksamhet, Solvens II. </w:t>
      </w:r>
    </w:p>
    <w:p w:rsidR="00EA3AFC" w:rsidRPr="002F69ED" w:rsidRDefault="00EA3AFC" w:rsidP="00EA3AFC">
      <w:pPr>
        <w:pStyle w:val="RKnormal"/>
        <w:rPr>
          <w:rFonts w:ascii="OrigGarmnd BT" w:hAnsi="OrigGarmnd BT"/>
          <w:sz w:val="24"/>
          <w:szCs w:val="24"/>
          <w:lang w:val="sv-SE"/>
        </w:rPr>
      </w:pPr>
    </w:p>
    <w:p w:rsidR="00EA3AFC" w:rsidRPr="002F69ED" w:rsidRDefault="00EA3AFC" w:rsidP="00EA3AFC">
      <w:pPr>
        <w:pStyle w:val="RKnormal"/>
        <w:rPr>
          <w:rFonts w:ascii="OrigGarmnd BT" w:hAnsi="OrigGarmnd BT"/>
          <w:sz w:val="24"/>
          <w:szCs w:val="24"/>
          <w:lang w:val="sv-SE"/>
        </w:rPr>
      </w:pPr>
      <w:r w:rsidRPr="002F69ED">
        <w:rPr>
          <w:rFonts w:ascii="OrigGarmnd BT" w:hAnsi="OrigGarmnd BT"/>
          <w:sz w:val="24"/>
          <w:szCs w:val="24"/>
          <w:lang w:val="sv-SE"/>
        </w:rPr>
        <w:t xml:space="preserve">Solvens II utgörs dels av en konsolidering av befintliga direktiv på försäkringsområdet, dels av reformerade solvensregler för försäkringsföretag. Solvensregler syftar till att säkerställa att försäkringsföretagen kan uppfylla sina åtaganden gentemot försäkringstagarna och övriga ersättningsberättigade. Genom Solvens II vill man stärka skyddet för försäkringstagarna och den inre marknadens effektivitet, baserat på en mer riskkänslig reglering som tar sin utgångspunkt i företagens verksamhet som helhet samt bygger på en i högre grad förebyggande tillsyn. I förslaget ingår en reformering av tillsynen av företag med dotterbolag inom olika medlemsstater (försäkringsgrupper) och särskilda regler om kapitalkrav för dessa. </w:t>
      </w:r>
    </w:p>
    <w:p w:rsidR="00EA3AFC" w:rsidRPr="002F69ED" w:rsidRDefault="00EA3AFC" w:rsidP="00EA3AFC">
      <w:pPr>
        <w:pStyle w:val="RKnormal"/>
        <w:rPr>
          <w:rFonts w:ascii="OrigGarmnd BT" w:hAnsi="OrigGarmnd BT"/>
          <w:sz w:val="24"/>
          <w:szCs w:val="24"/>
          <w:lang w:val="sv-SE"/>
        </w:rPr>
      </w:pPr>
    </w:p>
    <w:p w:rsidR="00EA3AFC" w:rsidRPr="002F69ED" w:rsidRDefault="00EA3AFC" w:rsidP="008F4ABE">
      <w:pPr>
        <w:overflowPunct/>
        <w:spacing w:line="240" w:lineRule="auto"/>
        <w:textAlignment w:val="auto"/>
      </w:pPr>
      <w:r w:rsidRPr="002F69ED">
        <w:t>Regeringen är positiv till direktivförslaget och stöder de grundläggande principerna. Särskilt viktigt för svenskt vidkommande är att överskottsmedel (</w:t>
      </w:r>
      <w:r w:rsidR="008F4ABE" w:rsidRPr="002F69ED">
        <w:rPr>
          <w:rStyle w:val="RKnormalChar"/>
          <w:rFonts w:ascii="OrigGarmnd BT" w:hAnsi="OrigGarmnd BT"/>
          <w:lang w:val="sv-SE"/>
        </w:rPr>
        <w:t>i Sverige framförallt s.k. konsolideringsfonder)</w:t>
      </w:r>
      <w:r w:rsidRPr="002F69ED">
        <w:t xml:space="preserve"> i ömsesidigt drivna försäkringsföretag även fortsättningsvis får hanteras som eget kapital. </w:t>
      </w:r>
    </w:p>
    <w:p w:rsidR="00DF46FA" w:rsidRPr="002F69ED" w:rsidRDefault="00DF46FA">
      <w:pPr>
        <w:pStyle w:val="RKnormal"/>
        <w:ind w:left="1695" w:hanging="1695"/>
        <w:rPr>
          <w:rFonts w:ascii="OrigGarmnd BT" w:hAnsi="OrigGarmnd BT"/>
          <w:sz w:val="24"/>
          <w:szCs w:val="24"/>
          <w:lang w:val="sv-SE"/>
        </w:rPr>
      </w:pPr>
    </w:p>
    <w:p w:rsidR="00DF46FA" w:rsidRPr="002F69ED" w:rsidRDefault="00DF46FA">
      <w:pPr>
        <w:pStyle w:val="RKnormal"/>
        <w:ind w:left="1695" w:hanging="1695"/>
        <w:rPr>
          <w:rFonts w:ascii="OrigGarmnd BT" w:hAnsi="OrigGarmnd BT"/>
          <w:sz w:val="24"/>
          <w:lang w:val="sv-SE"/>
        </w:rPr>
      </w:pPr>
    </w:p>
    <w:p w:rsidR="004650CA"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7.3   System för insättargarantier</w:t>
      </w:r>
      <w:r w:rsidR="00E34612" w:rsidRPr="002F69ED">
        <w:rPr>
          <w:rFonts w:ascii="OrigGarmnd BT" w:hAnsi="OrigGarmnd BT"/>
          <w:b/>
          <w:sz w:val="24"/>
          <w:lang w:val="sv-SE"/>
        </w:rPr>
        <w:tab/>
      </w:r>
      <w:r w:rsidR="00E34612" w:rsidRPr="002F69ED">
        <w:rPr>
          <w:rFonts w:ascii="OrigGarmnd BT" w:hAnsi="OrigGarmnd BT"/>
          <w:b/>
          <w:sz w:val="24"/>
          <w:lang w:val="sv-SE"/>
        </w:rPr>
        <w:tab/>
      </w:r>
    </w:p>
    <w:p w:rsidR="00DF46FA" w:rsidRPr="002F69ED" w:rsidRDefault="00DF46FA">
      <w:pPr>
        <w:pStyle w:val="RKnormal"/>
        <w:ind w:left="1695" w:hanging="1695"/>
        <w:rPr>
          <w:rFonts w:ascii="OrigGarmnd BT" w:hAnsi="OrigGarmnd BT"/>
          <w:sz w:val="24"/>
          <w:lang w:val="sv-SE"/>
        </w:rPr>
      </w:pPr>
      <w:r w:rsidRPr="002F69ED">
        <w:rPr>
          <w:rFonts w:ascii="OrigGarmnd BT" w:hAnsi="OrigGarmnd BT"/>
          <w:i/>
          <w:sz w:val="24"/>
          <w:lang w:val="sv-SE"/>
        </w:rPr>
        <w:t xml:space="preserve">        - </w:t>
      </w:r>
      <w:r w:rsidR="008A064F" w:rsidRPr="002F69ED">
        <w:rPr>
          <w:rFonts w:ascii="OrigGarmnd BT" w:hAnsi="OrigGarmnd BT"/>
          <w:i/>
          <w:sz w:val="24"/>
          <w:lang w:val="sv-SE"/>
        </w:rPr>
        <w:t>riktlinjedebatt</w:t>
      </w:r>
      <w:r w:rsidRPr="002F69ED">
        <w:rPr>
          <w:rFonts w:ascii="OrigGarmnd BT" w:hAnsi="OrigGarmnd BT"/>
          <w:i/>
          <w:sz w:val="24"/>
          <w:lang w:val="sv-SE"/>
        </w:rPr>
        <w:t xml:space="preserve">    </w:t>
      </w:r>
    </w:p>
    <w:p w:rsidR="00DF46FA" w:rsidRPr="002F69ED" w:rsidRDefault="00DF46FA">
      <w:pPr>
        <w:pStyle w:val="RKnormal"/>
        <w:ind w:left="1695" w:hanging="1695"/>
        <w:rPr>
          <w:rFonts w:ascii="OrigGarmnd BT" w:hAnsi="OrigGarmnd BT"/>
          <w:sz w:val="24"/>
          <w:lang w:val="sv-SE"/>
        </w:rPr>
      </w:pPr>
    </w:p>
    <w:p w:rsidR="00D14937" w:rsidRPr="002F69ED" w:rsidRDefault="00D14937" w:rsidP="00D14937">
      <w:pPr>
        <w:pStyle w:val="RKnormal"/>
        <w:rPr>
          <w:rFonts w:ascii="OrigGarmnd BT" w:hAnsi="OrigGarmnd BT"/>
          <w:sz w:val="24"/>
          <w:szCs w:val="24"/>
          <w:lang w:val="sv-SE"/>
        </w:rPr>
      </w:pPr>
      <w:r w:rsidRPr="002F69ED">
        <w:rPr>
          <w:rFonts w:ascii="OrigGarmnd BT" w:hAnsi="OrigGarmnd BT"/>
          <w:sz w:val="24"/>
          <w:szCs w:val="24"/>
          <w:lang w:val="sv-SE"/>
        </w:rPr>
        <w:t xml:space="preserve">Rådet ska ha en riktlinjedebatt i syfte att förse sina beredningsorgan (EFK och FSC ) samt kommissionen med politisk vägledning inför de underlag som ska presenteras under hösten 2008. </w:t>
      </w:r>
    </w:p>
    <w:p w:rsidR="00D14937" w:rsidRPr="002F69ED" w:rsidRDefault="00D14937" w:rsidP="00D14937">
      <w:pPr>
        <w:pStyle w:val="RKnormal"/>
        <w:rPr>
          <w:rFonts w:ascii="OrigGarmnd BT" w:hAnsi="OrigGarmnd BT"/>
          <w:sz w:val="24"/>
          <w:szCs w:val="24"/>
          <w:lang w:val="sv-SE"/>
        </w:rPr>
      </w:pPr>
    </w:p>
    <w:p w:rsidR="00D14937" w:rsidRPr="002F69ED" w:rsidRDefault="00D14937" w:rsidP="00D14937">
      <w:pPr>
        <w:pStyle w:val="RKnormal"/>
        <w:rPr>
          <w:rFonts w:ascii="OrigGarmnd BT" w:hAnsi="OrigGarmnd BT"/>
          <w:sz w:val="24"/>
          <w:szCs w:val="24"/>
          <w:lang w:val="sv-SE"/>
        </w:rPr>
      </w:pPr>
      <w:r w:rsidRPr="002F69ED">
        <w:rPr>
          <w:rFonts w:ascii="OrigGarmnd BT" w:hAnsi="OrigGarmnd BT"/>
          <w:sz w:val="24"/>
          <w:szCs w:val="24"/>
          <w:lang w:val="sv-SE"/>
        </w:rPr>
        <w:t xml:space="preserve">Insättningsgarantin bygger på ett EG-direktiv (94/19/EEG). Direktivet är ett minimidirektiv, vilket har medfört att det i dag finns en mängd olika insättningsgarantisystem inom EU. Olikheter avseende avgifter, ersättningsnivå och insättningsdefinition ger upphov till konkurrenssnedvridning och kan utgöra etableringshinder för utländska institut som vill driva verksamhet i filialform. Detta har lett till att Sverige förespråkat ytterligare harmonisering av regelverket. </w:t>
      </w:r>
    </w:p>
    <w:p w:rsidR="00D14937" w:rsidRPr="002F69ED" w:rsidRDefault="00D14937" w:rsidP="00D14937">
      <w:pPr>
        <w:pStyle w:val="RKnormal"/>
        <w:rPr>
          <w:rFonts w:ascii="OrigGarmnd BT" w:hAnsi="OrigGarmnd BT"/>
          <w:sz w:val="24"/>
          <w:szCs w:val="24"/>
          <w:lang w:val="sv-SE"/>
        </w:rPr>
      </w:pPr>
    </w:p>
    <w:p w:rsidR="00D14937" w:rsidRPr="002F69ED" w:rsidRDefault="00D14937" w:rsidP="00D14937">
      <w:pPr>
        <w:pStyle w:val="RKnormal"/>
        <w:rPr>
          <w:rFonts w:ascii="OrigGarmnd BT" w:hAnsi="OrigGarmnd BT"/>
          <w:sz w:val="24"/>
          <w:szCs w:val="24"/>
          <w:lang w:val="sv-SE"/>
        </w:rPr>
      </w:pPr>
      <w:r w:rsidRPr="002F69ED">
        <w:rPr>
          <w:rFonts w:ascii="OrigGarmnd BT" w:hAnsi="OrigGarmnd BT"/>
          <w:sz w:val="24"/>
          <w:szCs w:val="24"/>
          <w:lang w:val="sv-SE"/>
        </w:rPr>
        <w:t xml:space="preserve">Den övergripande frågan som ska diskuteras är huruvida en reformering bör ske på EU-nivå  eller om en reformering på global nivå är tillräcklig. Därutöver ska ett antal frågor diskuteras som bl.a. behandlar medlemsstaternas erfarenheter av sina egna insättningssystem, vilka frågor som är mest angelägna att harmonisera, hur man ser på befintliga skillnader mellan systemen m.m. </w:t>
      </w:r>
    </w:p>
    <w:p w:rsidR="00D14937" w:rsidRPr="002F69ED" w:rsidRDefault="00D14937" w:rsidP="00D14937">
      <w:pPr>
        <w:pStyle w:val="RKnormal"/>
        <w:rPr>
          <w:rFonts w:ascii="OrigGarmnd BT" w:hAnsi="OrigGarmnd BT"/>
          <w:sz w:val="24"/>
          <w:szCs w:val="24"/>
          <w:lang w:val="sv-SE"/>
        </w:rPr>
      </w:pPr>
    </w:p>
    <w:p w:rsidR="00D14937" w:rsidRPr="002F69ED" w:rsidRDefault="00D14937" w:rsidP="00D14937">
      <w:pPr>
        <w:pStyle w:val="RKnormal"/>
        <w:rPr>
          <w:rFonts w:ascii="OrigGarmnd BT" w:hAnsi="OrigGarmnd BT"/>
          <w:sz w:val="24"/>
          <w:szCs w:val="24"/>
          <w:lang w:val="sv-SE"/>
        </w:rPr>
      </w:pPr>
      <w:r w:rsidRPr="002F69ED">
        <w:rPr>
          <w:rFonts w:ascii="OrigGarmnd BT" w:hAnsi="OrigGarmnd BT"/>
          <w:sz w:val="24"/>
          <w:szCs w:val="24"/>
          <w:lang w:val="sv-SE"/>
        </w:rPr>
        <w:t xml:space="preserve">Regeringen välkomnar debatten. Sverige har sedan länge pekat på behovet av en snar reformering av insättningsgarantidirektivet och mer harmoniserade insättningsgarantisystem inom EU. </w:t>
      </w:r>
    </w:p>
    <w:p w:rsidR="0083591E" w:rsidRPr="002F69ED" w:rsidRDefault="0083591E">
      <w:pPr>
        <w:pStyle w:val="RKnormal"/>
        <w:ind w:left="1695" w:hanging="1695"/>
        <w:rPr>
          <w:rFonts w:ascii="OrigGarmnd BT" w:hAnsi="OrigGarmnd BT"/>
          <w:b/>
          <w:sz w:val="24"/>
          <w:lang w:val="sv-SE"/>
        </w:rPr>
      </w:pPr>
    </w:p>
    <w:p w:rsidR="00D14937" w:rsidRPr="002F69ED" w:rsidRDefault="00D14937">
      <w:pPr>
        <w:pStyle w:val="RKnormal"/>
        <w:ind w:left="1695" w:hanging="1695"/>
        <w:rPr>
          <w:rFonts w:ascii="OrigGarmnd BT" w:hAnsi="OrigGarmnd BT"/>
          <w:b/>
          <w:sz w:val="24"/>
          <w:lang w:val="sv-SE"/>
        </w:rPr>
      </w:pPr>
    </w:p>
    <w:p w:rsidR="00DF46FA"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8.</w:t>
      </w:r>
      <w:r w:rsidRPr="002F69ED">
        <w:rPr>
          <w:rFonts w:ascii="OrigGarmnd BT" w:hAnsi="OrigGarmnd BT"/>
          <w:b/>
          <w:sz w:val="24"/>
          <w:lang w:val="sv-SE"/>
        </w:rPr>
        <w:tab/>
        <w:t>Skatteärenden</w:t>
      </w:r>
    </w:p>
    <w:p w:rsidR="00DF46FA" w:rsidRPr="002F69ED" w:rsidRDefault="00DF46FA">
      <w:pPr>
        <w:pStyle w:val="RKnormal"/>
        <w:ind w:left="1695" w:hanging="1695"/>
        <w:rPr>
          <w:rFonts w:ascii="OrigGarmnd BT" w:hAnsi="OrigGarmnd BT"/>
          <w:sz w:val="24"/>
          <w:lang w:val="sv-SE"/>
        </w:rPr>
      </w:pPr>
    </w:p>
    <w:p w:rsidR="00DF46FA"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8.1   Moms på finansiella tjänster</w:t>
      </w:r>
    </w:p>
    <w:p w:rsidR="00DF46FA" w:rsidRPr="002F69ED" w:rsidRDefault="00DF46FA">
      <w:pPr>
        <w:pStyle w:val="RKnormal"/>
        <w:ind w:left="1695" w:hanging="1695"/>
        <w:rPr>
          <w:rFonts w:ascii="OrigGarmnd BT" w:hAnsi="OrigGarmnd BT"/>
          <w:i/>
          <w:sz w:val="24"/>
          <w:lang w:val="sv-SE"/>
        </w:rPr>
      </w:pPr>
      <w:r w:rsidRPr="002F69ED">
        <w:rPr>
          <w:rFonts w:ascii="OrigGarmnd BT" w:hAnsi="OrigGarmnd BT"/>
          <w:i/>
          <w:sz w:val="24"/>
          <w:lang w:val="sv-SE"/>
        </w:rPr>
        <w:t xml:space="preserve">        - lägesrapport</w:t>
      </w:r>
    </w:p>
    <w:p w:rsidR="00DF46FA" w:rsidRPr="002F69ED" w:rsidRDefault="00DF46FA">
      <w:pPr>
        <w:pStyle w:val="RKnormal"/>
        <w:ind w:left="1695" w:hanging="1695"/>
        <w:rPr>
          <w:rFonts w:ascii="OrigGarmnd BT" w:hAnsi="OrigGarmnd BT"/>
          <w:sz w:val="24"/>
          <w:lang w:val="sv-SE"/>
        </w:rPr>
      </w:pPr>
    </w:p>
    <w:p w:rsidR="00B571D2" w:rsidRPr="002F69ED" w:rsidRDefault="00B571D2" w:rsidP="00B571D2">
      <w:pPr>
        <w:pStyle w:val="RKnormal"/>
        <w:rPr>
          <w:rFonts w:ascii="OrigGarmnd BT" w:hAnsi="OrigGarmnd BT"/>
          <w:sz w:val="24"/>
          <w:szCs w:val="24"/>
          <w:lang w:val="sv-SE"/>
        </w:rPr>
      </w:pPr>
      <w:r w:rsidRPr="002F69ED">
        <w:rPr>
          <w:rFonts w:ascii="OrigGarmnd BT" w:hAnsi="OrigGarmnd BT"/>
          <w:sz w:val="24"/>
          <w:szCs w:val="24"/>
          <w:lang w:val="sv-SE"/>
        </w:rPr>
        <w:t>Det slovenska ordförandeskapet ska lämna en lägesrapport om arbetet med kommissionens lagförslag om mervärdesskatt och finansiella tjänster och försäkringstjänster. Rådet inbjuds att notera lägesrapporten och inbjuda det inkommande ordförandeskapet att fortsätta arbetet och återrapportera till rådet vid utgången av 2008.</w:t>
      </w:r>
    </w:p>
    <w:p w:rsidR="00B571D2" w:rsidRPr="002F69ED" w:rsidRDefault="00B571D2" w:rsidP="00B571D2">
      <w:pPr>
        <w:pStyle w:val="RKnormal"/>
        <w:rPr>
          <w:rFonts w:ascii="OrigGarmnd BT" w:hAnsi="OrigGarmnd BT"/>
          <w:sz w:val="24"/>
          <w:szCs w:val="24"/>
          <w:lang w:val="sv-SE"/>
        </w:rPr>
      </w:pPr>
    </w:p>
    <w:p w:rsidR="00B571D2" w:rsidRPr="002F69ED" w:rsidRDefault="006211DD" w:rsidP="00B571D2">
      <w:pPr>
        <w:pStyle w:val="RKnormal"/>
        <w:rPr>
          <w:rFonts w:ascii="OrigGarmnd BT" w:hAnsi="OrigGarmnd BT"/>
          <w:i/>
          <w:iCs/>
          <w:sz w:val="24"/>
          <w:szCs w:val="24"/>
          <w:lang w:val="sv-SE"/>
        </w:rPr>
      </w:pPr>
      <w:r w:rsidRPr="002F69ED">
        <w:rPr>
          <w:rFonts w:ascii="OrigGarmnd BT" w:hAnsi="OrigGarmnd BT"/>
          <w:sz w:val="24"/>
          <w:szCs w:val="24"/>
          <w:lang w:val="sv-SE"/>
        </w:rPr>
        <w:t>Lagf</w:t>
      </w:r>
      <w:r w:rsidR="00B571D2" w:rsidRPr="002F69ED">
        <w:rPr>
          <w:rFonts w:ascii="OrigGarmnd BT" w:hAnsi="OrigGarmnd BT"/>
          <w:sz w:val="24"/>
          <w:szCs w:val="24"/>
          <w:lang w:val="sv-SE"/>
        </w:rPr>
        <w:t xml:space="preserve">örslaget bygger på ett fortsatt undantag från mervärdesskatt för finansiella tjänster och försäkringstjänster och består av tre delar; </w:t>
      </w:r>
      <w:r w:rsidR="00B571D2" w:rsidRPr="002F69ED">
        <w:rPr>
          <w:rFonts w:ascii="OrigGarmnd BT" w:hAnsi="OrigGarmnd BT"/>
          <w:sz w:val="24"/>
          <w:szCs w:val="24"/>
          <w:u w:val="single"/>
          <w:lang w:val="sv-SE"/>
        </w:rPr>
        <w:t>dels</w:t>
      </w:r>
      <w:r w:rsidR="00B571D2" w:rsidRPr="002F69ED">
        <w:rPr>
          <w:rFonts w:ascii="OrigGarmnd BT" w:hAnsi="OrigGarmnd BT"/>
          <w:sz w:val="24"/>
          <w:szCs w:val="24"/>
          <w:lang w:val="sv-SE"/>
        </w:rPr>
        <w:t xml:space="preserve"> föreslås</w:t>
      </w:r>
      <w:r w:rsidR="00B571D2" w:rsidRPr="002F69ED">
        <w:rPr>
          <w:rFonts w:ascii="OrigGarmnd BT" w:hAnsi="OrigGarmnd BT"/>
          <w:i/>
          <w:iCs/>
          <w:sz w:val="24"/>
          <w:szCs w:val="24"/>
          <w:lang w:val="sv-SE"/>
        </w:rPr>
        <w:t xml:space="preserve"> </w:t>
      </w:r>
      <w:r w:rsidR="00B571D2" w:rsidRPr="002F69ED">
        <w:rPr>
          <w:rFonts w:ascii="OrigGarmnd BT" w:hAnsi="OrigGarmnd BT"/>
          <w:iCs/>
          <w:sz w:val="24"/>
          <w:szCs w:val="24"/>
          <w:lang w:val="sv-SE"/>
        </w:rPr>
        <w:t xml:space="preserve">tydligare definitioner av de undantagna tjänsterna, vilket leder till ökad harmonisering inom EU, </w:t>
      </w:r>
      <w:r w:rsidR="00B571D2" w:rsidRPr="002F69ED">
        <w:rPr>
          <w:rFonts w:ascii="OrigGarmnd BT" w:hAnsi="OrigGarmnd BT"/>
          <w:iCs/>
          <w:sz w:val="24"/>
          <w:szCs w:val="24"/>
          <w:u w:val="single"/>
          <w:lang w:val="sv-SE"/>
        </w:rPr>
        <w:t>dels</w:t>
      </w:r>
      <w:r w:rsidR="00B571D2" w:rsidRPr="002F69ED">
        <w:rPr>
          <w:rFonts w:ascii="OrigGarmnd BT" w:hAnsi="OrigGarmnd BT"/>
          <w:iCs/>
          <w:sz w:val="24"/>
          <w:szCs w:val="24"/>
          <w:lang w:val="sv-SE"/>
        </w:rPr>
        <w:t xml:space="preserve"> föreslås att undantag införs för viss </w:t>
      </w:r>
      <w:r w:rsidR="00B571D2" w:rsidRPr="002F69ED">
        <w:rPr>
          <w:rFonts w:ascii="OrigGarmnd BT" w:hAnsi="OrigGarmnd BT"/>
          <w:i/>
          <w:iCs/>
          <w:sz w:val="24"/>
          <w:szCs w:val="24"/>
          <w:lang w:val="sv-SE"/>
        </w:rPr>
        <w:t>outsourcing</w:t>
      </w:r>
      <w:r w:rsidR="00B571D2" w:rsidRPr="002F69ED">
        <w:rPr>
          <w:rFonts w:ascii="OrigGarmnd BT" w:hAnsi="OrigGarmnd BT"/>
          <w:iCs/>
          <w:sz w:val="24"/>
          <w:szCs w:val="24"/>
          <w:lang w:val="sv-SE"/>
        </w:rPr>
        <w:t xml:space="preserve"> av tjänster och </w:t>
      </w:r>
      <w:r w:rsidR="00B571D2" w:rsidRPr="002F69ED">
        <w:rPr>
          <w:rFonts w:ascii="OrigGarmnd BT" w:hAnsi="OrigGarmnd BT"/>
          <w:iCs/>
          <w:sz w:val="24"/>
          <w:szCs w:val="24"/>
          <w:u w:val="single"/>
          <w:lang w:val="sv-SE"/>
        </w:rPr>
        <w:t>dels</w:t>
      </w:r>
      <w:r w:rsidR="00B571D2" w:rsidRPr="002F69ED">
        <w:rPr>
          <w:rFonts w:ascii="OrigGarmnd BT" w:hAnsi="OrigGarmnd BT"/>
          <w:iCs/>
          <w:sz w:val="24"/>
          <w:szCs w:val="24"/>
          <w:lang w:val="sv-SE"/>
        </w:rPr>
        <w:t xml:space="preserve"> föreslås en valmöjlighet för finansiella företag att beskatta vissa transaktioner samt en möjlighet till kostnadsdelning i vissa fall. Se vidare f</w:t>
      </w:r>
      <w:r w:rsidR="00B571D2" w:rsidRPr="002F69ED">
        <w:rPr>
          <w:rFonts w:ascii="OrigGarmnd BT" w:hAnsi="OrigGarmnd BT"/>
          <w:sz w:val="24"/>
          <w:szCs w:val="24"/>
          <w:lang w:val="sv-SE"/>
        </w:rPr>
        <w:t>aktapromemoria 2007/08:FPM55.</w:t>
      </w:r>
    </w:p>
    <w:p w:rsidR="00B571D2" w:rsidRPr="002F69ED" w:rsidRDefault="00B571D2" w:rsidP="00B571D2">
      <w:pPr>
        <w:pStyle w:val="RKnormal"/>
        <w:rPr>
          <w:rFonts w:ascii="OrigGarmnd BT" w:hAnsi="OrigGarmnd BT"/>
          <w:iCs/>
          <w:sz w:val="24"/>
          <w:szCs w:val="24"/>
          <w:lang w:val="sv-SE"/>
        </w:rPr>
      </w:pPr>
    </w:p>
    <w:p w:rsidR="00B571D2" w:rsidRPr="002F69ED" w:rsidRDefault="00B571D2" w:rsidP="00B571D2">
      <w:pPr>
        <w:pStyle w:val="RKnormal"/>
        <w:rPr>
          <w:rFonts w:ascii="OrigGarmnd BT" w:hAnsi="OrigGarmnd BT"/>
          <w:sz w:val="24"/>
          <w:szCs w:val="24"/>
          <w:lang w:val="sv-SE"/>
        </w:rPr>
      </w:pPr>
      <w:r w:rsidRPr="002F69ED">
        <w:rPr>
          <w:rFonts w:ascii="OrigGarmnd BT" w:hAnsi="OrigGarmnd BT"/>
          <w:sz w:val="24"/>
          <w:szCs w:val="24"/>
          <w:lang w:val="sv-SE"/>
        </w:rPr>
        <w:t xml:space="preserve">Syftet med lagförslaget är att få en mera enhetlig tillämpning av reglerna om finansiella tjänster och försäkringstjänster inom EU. Lagförslaget har behandlats i rådsarbetsgruppen under våren 2008 och resultatet av detta arbetet ska nu delges finansministrarna. Frankrike har deklarerat att man har för avsikt att fortsätta arbetet med direktivförslaget under sitt ordförandeskap. Därefter återstår arbete med de delar som ska tas in i en tillämpningsförordning. </w:t>
      </w:r>
    </w:p>
    <w:p w:rsidR="00B571D2" w:rsidRPr="002F69ED" w:rsidRDefault="00B571D2" w:rsidP="00B571D2">
      <w:pPr>
        <w:pStyle w:val="RKnormal"/>
        <w:rPr>
          <w:rFonts w:ascii="OrigGarmnd BT" w:hAnsi="OrigGarmnd BT"/>
          <w:iCs/>
          <w:sz w:val="24"/>
          <w:szCs w:val="24"/>
          <w:lang w:val="sv-SE"/>
        </w:rPr>
      </w:pPr>
    </w:p>
    <w:p w:rsidR="009723F0" w:rsidRPr="002F69ED" w:rsidRDefault="009723F0" w:rsidP="009723F0">
      <w:pPr>
        <w:pStyle w:val="RKnormal"/>
        <w:rPr>
          <w:rFonts w:ascii="OrigGarmnd BT" w:hAnsi="OrigGarmnd BT"/>
          <w:iCs/>
          <w:sz w:val="24"/>
          <w:szCs w:val="24"/>
          <w:lang w:val="sv-SE"/>
        </w:rPr>
      </w:pPr>
      <w:r w:rsidRPr="002F69ED">
        <w:rPr>
          <w:rFonts w:ascii="OrigGarmnd BT" w:hAnsi="OrigGarmnd BT"/>
          <w:iCs/>
          <w:sz w:val="24"/>
          <w:szCs w:val="24"/>
          <w:lang w:val="sv-SE"/>
        </w:rPr>
        <w:t>Regeringen har ing</w:t>
      </w:r>
      <w:r w:rsidR="001154AD" w:rsidRPr="002F69ED">
        <w:rPr>
          <w:rFonts w:ascii="OrigGarmnd BT" w:hAnsi="OrigGarmnd BT"/>
          <w:iCs/>
          <w:sz w:val="24"/>
          <w:szCs w:val="24"/>
          <w:lang w:val="sv-SE"/>
        </w:rPr>
        <w:t xml:space="preserve">et att invända mot </w:t>
      </w:r>
      <w:r w:rsidRPr="002F69ED">
        <w:rPr>
          <w:rFonts w:ascii="OrigGarmnd BT" w:hAnsi="OrigGarmnd BT"/>
          <w:iCs/>
          <w:sz w:val="24"/>
          <w:szCs w:val="24"/>
          <w:lang w:val="sv-SE"/>
        </w:rPr>
        <w:t>lägesrapporten.</w:t>
      </w:r>
    </w:p>
    <w:p w:rsidR="00DF46FA" w:rsidRPr="002F69ED" w:rsidRDefault="00DF46FA">
      <w:pPr>
        <w:pStyle w:val="RKnormal"/>
        <w:ind w:left="1695" w:hanging="1695"/>
        <w:rPr>
          <w:rFonts w:ascii="OrigGarmnd BT" w:hAnsi="OrigGarmnd BT"/>
          <w:sz w:val="24"/>
          <w:lang w:val="sv-SE"/>
        </w:rPr>
      </w:pPr>
    </w:p>
    <w:p w:rsidR="0076332F" w:rsidRPr="002F69ED" w:rsidRDefault="0076332F">
      <w:pPr>
        <w:pStyle w:val="RKnormal"/>
        <w:ind w:left="1695" w:hanging="1695"/>
        <w:rPr>
          <w:rFonts w:ascii="OrigGarmnd BT" w:hAnsi="OrigGarmnd BT"/>
          <w:sz w:val="24"/>
          <w:lang w:val="sv-SE"/>
        </w:rPr>
      </w:pPr>
    </w:p>
    <w:p w:rsidR="00405381"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8.2   Allmänna regler för punktskatter</w:t>
      </w:r>
      <w:r w:rsidR="00E34612" w:rsidRPr="002F69ED">
        <w:rPr>
          <w:rFonts w:ascii="OrigGarmnd BT" w:hAnsi="OrigGarmnd BT"/>
          <w:b/>
          <w:sz w:val="24"/>
          <w:lang w:val="sv-SE"/>
        </w:rPr>
        <w:tab/>
      </w:r>
      <w:r w:rsidR="00E34612" w:rsidRPr="002F69ED">
        <w:rPr>
          <w:rFonts w:ascii="OrigGarmnd BT" w:hAnsi="OrigGarmnd BT"/>
          <w:b/>
          <w:sz w:val="24"/>
          <w:lang w:val="sv-SE"/>
        </w:rPr>
        <w:tab/>
      </w:r>
    </w:p>
    <w:p w:rsidR="00DF46FA" w:rsidRPr="002F69ED" w:rsidRDefault="00DF46FA">
      <w:pPr>
        <w:pStyle w:val="RKnormal"/>
        <w:ind w:left="1695" w:hanging="1695"/>
        <w:rPr>
          <w:rFonts w:ascii="OrigGarmnd BT" w:hAnsi="OrigGarmnd BT"/>
          <w:i/>
          <w:sz w:val="24"/>
          <w:lang w:val="sv-SE"/>
        </w:rPr>
      </w:pPr>
      <w:r w:rsidRPr="002F69ED">
        <w:rPr>
          <w:rFonts w:ascii="OrigGarmnd BT" w:hAnsi="OrigGarmnd BT"/>
          <w:i/>
          <w:sz w:val="24"/>
          <w:lang w:val="sv-SE"/>
        </w:rPr>
        <w:t xml:space="preserve">        -</w:t>
      </w:r>
      <w:r w:rsidR="001561F8" w:rsidRPr="002F69ED">
        <w:rPr>
          <w:rFonts w:ascii="OrigGarmnd BT" w:hAnsi="OrigGarmnd BT"/>
          <w:i/>
          <w:sz w:val="24"/>
          <w:lang w:val="sv-SE"/>
        </w:rPr>
        <w:t xml:space="preserve"> lägesrappor</w:t>
      </w:r>
      <w:r w:rsidR="003A50FF" w:rsidRPr="002F69ED">
        <w:rPr>
          <w:rFonts w:ascii="OrigGarmnd BT" w:hAnsi="OrigGarmnd BT"/>
          <w:i/>
          <w:sz w:val="24"/>
          <w:lang w:val="sv-SE"/>
        </w:rPr>
        <w:t>t</w:t>
      </w:r>
    </w:p>
    <w:p w:rsidR="00DF46FA" w:rsidRPr="002F69ED" w:rsidRDefault="00DF46FA">
      <w:pPr>
        <w:pStyle w:val="RKnormal"/>
        <w:ind w:left="1695" w:hanging="1695"/>
        <w:rPr>
          <w:rFonts w:ascii="OrigGarmnd BT" w:hAnsi="OrigGarmnd BT"/>
          <w:sz w:val="24"/>
          <w:lang w:val="sv-SE"/>
        </w:rPr>
      </w:pPr>
    </w:p>
    <w:p w:rsidR="00702543" w:rsidRPr="002F69ED" w:rsidRDefault="00702543" w:rsidP="00702543">
      <w:pPr>
        <w:rPr>
          <w:szCs w:val="24"/>
        </w:rPr>
      </w:pPr>
      <w:r w:rsidRPr="002F69ED">
        <w:t xml:space="preserve">Rådet ska ha en riktlinjedebatt om ordförandeskapets </w:t>
      </w:r>
      <w:r w:rsidRPr="002F69ED">
        <w:rPr>
          <w:szCs w:val="24"/>
        </w:rPr>
        <w:t xml:space="preserve">kompromissförslag till direktiv om vissa punktskattefrågor. </w:t>
      </w:r>
    </w:p>
    <w:p w:rsidR="00702543" w:rsidRPr="002F69ED" w:rsidRDefault="00702543" w:rsidP="00702543"/>
    <w:p w:rsidR="00702543" w:rsidRPr="002F69ED" w:rsidRDefault="00702543" w:rsidP="00702543">
      <w:r w:rsidRPr="002F69ED">
        <w:t>Kommissionen har lagt fram ett förslag till nytt direktiv om allmänna regler för punktskatt (se Fakta-PM 2007/08:FPM93). Direktivet ska ersätta det s.k. cirkulationsdirektivet (92/12/EEG). Förslaget innehåller den rättsliga grunden för det kommande elektroniska tran</w:t>
      </w:r>
      <w:r w:rsidRPr="002F69ED">
        <w:softHyphen/>
        <w:t xml:space="preserve">sportkontrollsystemet på punktskatteområdet, </w:t>
      </w:r>
      <w:r w:rsidRPr="002F69ED">
        <w:rPr>
          <w:i/>
        </w:rPr>
        <w:t>Excise Movement Control System</w:t>
      </w:r>
      <w:r w:rsidRPr="002F69ED">
        <w:t xml:space="preserve"> (EMCS). Direktivförslaget innefattar även ändring av artiklarna 7–10 i cirkulations</w:t>
      </w:r>
      <w:r w:rsidRPr="002F69ED">
        <w:softHyphen/>
        <w:t xml:space="preserve">direktivet, om beskattning av privat införsel av alkohol, tobak och energiprodukter. </w:t>
      </w:r>
    </w:p>
    <w:p w:rsidR="00702543" w:rsidRPr="002F69ED" w:rsidRDefault="00702543" w:rsidP="00702543"/>
    <w:p w:rsidR="00702543" w:rsidRPr="002F69ED" w:rsidRDefault="00702543" w:rsidP="00702543">
      <w:r w:rsidRPr="002F69ED">
        <w:t>När det gäller ändringar av artiklarna 7–10 har ord</w:t>
      </w:r>
      <w:r w:rsidRPr="002F69ED">
        <w:softHyphen/>
        <w:t>förande</w:t>
      </w:r>
      <w:r w:rsidRPr="002F69ED">
        <w:softHyphen/>
        <w:t>skapet föreslagit att diskussionen i stället sker utifrån det kompromissförslag som togs fram under 2005. I detta kompromissförslag bibehålls – till skillnad från i förslaget ovan – de indikativa nivåerna för alkohol och tobak samt möjlig</w:t>
      </w:r>
      <w:r w:rsidRPr="002F69ED">
        <w:softHyphen/>
        <w:t xml:space="preserve">heten att beskatta motor- och uppvärmningsbränsle vid privat införsel med ovanligt transportsätt. Vidare bibehålls principen om att endast varor som en privatperson själv transporterar för sitt eget bruk anses som privat införsel och därmed är befriade från beskattning i hemlandet. </w:t>
      </w:r>
    </w:p>
    <w:p w:rsidR="00702543" w:rsidRPr="002F69ED" w:rsidRDefault="00702543" w:rsidP="00702543"/>
    <w:p w:rsidR="00702543" w:rsidRPr="002F69ED" w:rsidRDefault="00702543" w:rsidP="00702543">
      <w:r w:rsidRPr="002F69ED">
        <w:t>Den svenska inställningen är att det är av stor vikt att skattebedrägerier</w:t>
      </w:r>
      <w:r w:rsidRPr="002F69ED">
        <w:softHyphen/>
        <w:t>na på punktskatteområdet kan bekämpas. Regeringen stödjer därför kommis</w:t>
      </w:r>
      <w:r w:rsidRPr="002F69ED">
        <w:softHyphen/>
        <w:t>sionen i EMCS-frågan och anser att det är angeläget att beslut fattas så snart som möjligt. Vidare anser regeringen att det är betydelsefullt med för</w:t>
      </w:r>
      <w:r w:rsidRPr="002F69ED">
        <w:softHyphen/>
        <w:t>bättrad kontroll beträffande s.k. distans</w:t>
      </w:r>
      <w:r w:rsidRPr="002F69ED">
        <w:softHyphen/>
        <w:t>försäljning till privatpersoner, avseende att punktskatt betalas i köparens hemland. Sverige anser också att de indikativa nivåerna ska behållas och helst sänkas samt att beskatt</w:t>
      </w:r>
      <w:r w:rsidRPr="002F69ED">
        <w:softHyphen/>
        <w:t>ningsmöjligheten vid införsel av bränsle för eget privat bruk bör behållas i sin nuvarande utformning.</w:t>
      </w:r>
    </w:p>
    <w:p w:rsidR="00702543" w:rsidRPr="002F69ED" w:rsidRDefault="00702543" w:rsidP="00702543">
      <w:pPr>
        <w:pStyle w:val="RKnormal"/>
        <w:ind w:left="1695" w:hanging="1695"/>
        <w:rPr>
          <w:rFonts w:ascii="OrigGarmnd BT" w:hAnsi="OrigGarmnd BT"/>
          <w:sz w:val="24"/>
          <w:lang w:val="sv-SE"/>
        </w:rPr>
      </w:pPr>
    </w:p>
    <w:p w:rsidR="003A50FF" w:rsidRPr="002F69ED" w:rsidRDefault="003A50FF">
      <w:pPr>
        <w:pStyle w:val="RKnormal"/>
        <w:ind w:left="1695" w:hanging="1695"/>
        <w:rPr>
          <w:rFonts w:ascii="OrigGarmnd BT" w:hAnsi="OrigGarmnd BT"/>
          <w:sz w:val="24"/>
          <w:lang w:val="sv-SE"/>
        </w:rPr>
      </w:pPr>
    </w:p>
    <w:p w:rsidR="00DF46FA" w:rsidRPr="002F69ED" w:rsidRDefault="00DF46FA">
      <w:pPr>
        <w:pStyle w:val="RKnormal"/>
        <w:ind w:left="1695" w:hanging="1695"/>
        <w:rPr>
          <w:rFonts w:ascii="OrigGarmnd BT" w:hAnsi="OrigGarmnd BT"/>
          <w:sz w:val="24"/>
          <w:lang w:val="sv-SE"/>
        </w:rPr>
      </w:pPr>
      <w:r w:rsidRPr="002F69ED">
        <w:rPr>
          <w:rFonts w:ascii="OrigGarmnd BT" w:hAnsi="OrigGarmnd BT"/>
          <w:b/>
          <w:sz w:val="24"/>
          <w:lang w:val="sv-SE"/>
        </w:rPr>
        <w:t>8.3   Uppförandekoden för företagsbeskattning</w:t>
      </w:r>
      <w:r w:rsidR="00E34612" w:rsidRPr="002F69ED">
        <w:rPr>
          <w:rFonts w:ascii="OrigGarmnd BT" w:hAnsi="OrigGarmnd BT"/>
          <w:b/>
          <w:sz w:val="24"/>
          <w:lang w:val="sv-SE"/>
        </w:rPr>
        <w:tab/>
      </w:r>
    </w:p>
    <w:p w:rsidR="00DF46FA" w:rsidRPr="002F69ED" w:rsidRDefault="00DF46FA">
      <w:pPr>
        <w:pStyle w:val="RKnormal"/>
        <w:ind w:left="1695" w:hanging="1695"/>
        <w:rPr>
          <w:rFonts w:ascii="OrigGarmnd BT" w:hAnsi="OrigGarmnd BT"/>
          <w:i/>
          <w:sz w:val="24"/>
          <w:lang w:val="sv-SE"/>
        </w:rPr>
      </w:pPr>
      <w:r w:rsidRPr="002F69ED">
        <w:rPr>
          <w:rFonts w:ascii="OrigGarmnd BT" w:hAnsi="OrigGarmnd BT"/>
          <w:i/>
          <w:sz w:val="24"/>
          <w:lang w:val="sv-SE"/>
        </w:rPr>
        <w:t xml:space="preserve">        - rådets slutsatser om arbetsgruppens rapport  </w:t>
      </w:r>
    </w:p>
    <w:p w:rsidR="00DF46FA" w:rsidRPr="002F69ED" w:rsidRDefault="00DF46FA">
      <w:pPr>
        <w:pStyle w:val="RKnormal"/>
        <w:ind w:left="1695" w:hanging="1695"/>
        <w:rPr>
          <w:rFonts w:ascii="OrigGarmnd BT" w:hAnsi="OrigGarmnd BT"/>
          <w:b/>
          <w:sz w:val="24"/>
          <w:lang w:val="sv-SE"/>
        </w:rPr>
      </w:pPr>
      <w:r w:rsidRPr="002F69ED">
        <w:rPr>
          <w:rFonts w:ascii="OrigGarmnd BT" w:hAnsi="OrigGarmnd BT"/>
          <w:b/>
          <w:sz w:val="24"/>
          <w:lang w:val="sv-SE"/>
        </w:rPr>
        <w:t xml:space="preserve"> </w:t>
      </w:r>
    </w:p>
    <w:p w:rsidR="00DF46FA" w:rsidRPr="002F69ED" w:rsidRDefault="00663974" w:rsidP="00663974">
      <w:pPr>
        <w:pStyle w:val="RKnormal"/>
        <w:tabs>
          <w:tab w:val="clear" w:pos="1701"/>
          <w:tab w:val="left" w:pos="0"/>
        </w:tabs>
        <w:rPr>
          <w:rFonts w:ascii="OrigGarmnd BT" w:hAnsi="OrigGarmnd BT"/>
          <w:sz w:val="24"/>
          <w:lang w:val="sv-SE"/>
        </w:rPr>
      </w:pPr>
      <w:r w:rsidRPr="002F69ED">
        <w:rPr>
          <w:rFonts w:ascii="OrigGarmnd BT" w:hAnsi="OrigGarmnd BT"/>
          <w:sz w:val="24"/>
          <w:lang w:val="sv-SE"/>
        </w:rPr>
        <w:t xml:space="preserve">Rådet ska anta slutsatser baserade på den halvårsvisa redovisningen från den arbetsgrupp som har att genomföra uppförandekoden för företagsbeskattning. Koden skall verka för att identifiera och avveckla skadlig konkurrens på företagsbeskattningens områden.  </w:t>
      </w:r>
    </w:p>
    <w:p w:rsidR="00663974" w:rsidRPr="002F69ED" w:rsidRDefault="00663974">
      <w:pPr>
        <w:pStyle w:val="RKnormal"/>
        <w:ind w:left="1695" w:hanging="1695"/>
        <w:rPr>
          <w:rFonts w:ascii="OrigGarmnd BT" w:hAnsi="OrigGarmnd BT"/>
          <w:sz w:val="24"/>
          <w:lang w:val="sv-SE"/>
        </w:rPr>
      </w:pPr>
    </w:p>
    <w:p w:rsidR="00663974" w:rsidRPr="002F69ED" w:rsidRDefault="00663974" w:rsidP="00663974">
      <w:pPr>
        <w:pStyle w:val="RKnormal"/>
        <w:ind w:left="1695" w:hanging="1695"/>
        <w:rPr>
          <w:rFonts w:ascii="OrigGarmnd BT" w:hAnsi="OrigGarmnd BT"/>
          <w:sz w:val="24"/>
          <w:lang w:val="sv-SE"/>
        </w:rPr>
      </w:pPr>
      <w:r w:rsidRPr="002F69ED">
        <w:rPr>
          <w:rFonts w:ascii="OrigGarmnd BT" w:hAnsi="OrigGarmnd BT"/>
          <w:sz w:val="24"/>
          <w:lang w:val="sv-SE"/>
        </w:rPr>
        <w:t>Varken gruppens rapport eller utkast till slutsatser föreligger.</w:t>
      </w:r>
    </w:p>
    <w:p w:rsidR="00663974" w:rsidRPr="002F69ED" w:rsidRDefault="00663974" w:rsidP="00663974">
      <w:pPr>
        <w:pStyle w:val="RKnormal"/>
        <w:ind w:left="1695" w:hanging="1695"/>
        <w:rPr>
          <w:rFonts w:ascii="OrigGarmnd BT" w:hAnsi="OrigGarmnd BT"/>
          <w:sz w:val="24"/>
          <w:lang w:val="sv-SE"/>
        </w:rPr>
      </w:pPr>
    </w:p>
    <w:p w:rsidR="00663974" w:rsidRPr="002F69ED" w:rsidRDefault="00663974" w:rsidP="00663974">
      <w:pPr>
        <w:pStyle w:val="RKnormal"/>
        <w:ind w:left="1695" w:hanging="1695"/>
        <w:rPr>
          <w:rFonts w:ascii="OrigGarmnd BT" w:hAnsi="OrigGarmnd BT"/>
          <w:sz w:val="24"/>
          <w:lang w:val="sv-SE"/>
        </w:rPr>
      </w:pPr>
    </w:p>
    <w:p w:rsidR="00B63FB8" w:rsidRPr="002F69ED" w:rsidRDefault="00DF46FA" w:rsidP="00663974">
      <w:pPr>
        <w:pStyle w:val="RKnormal"/>
        <w:ind w:left="1695" w:hanging="1695"/>
        <w:rPr>
          <w:rFonts w:ascii="OrigGarmnd BT" w:hAnsi="OrigGarmnd BT"/>
          <w:b/>
          <w:sz w:val="24"/>
          <w:szCs w:val="24"/>
          <w:lang w:val="sv-SE"/>
        </w:rPr>
      </w:pPr>
      <w:r w:rsidRPr="002F69ED">
        <w:rPr>
          <w:rFonts w:ascii="OrigGarmnd BT" w:hAnsi="OrigGarmnd BT"/>
          <w:b/>
          <w:sz w:val="24"/>
          <w:szCs w:val="24"/>
          <w:lang w:val="sv-SE"/>
        </w:rPr>
        <w:t>9.</w:t>
      </w:r>
      <w:r w:rsidRPr="002F69ED">
        <w:rPr>
          <w:rFonts w:ascii="OrigGarmnd BT" w:hAnsi="OrigGarmnd BT"/>
          <w:b/>
          <w:sz w:val="24"/>
          <w:szCs w:val="24"/>
          <w:lang w:val="sv-SE"/>
        </w:rPr>
        <w:tab/>
        <w:t>(ev.) Övriga ärenden</w:t>
      </w:r>
    </w:p>
    <w:p w:rsidR="00DF46FA" w:rsidRPr="002F69ED" w:rsidRDefault="00DF46FA" w:rsidP="00B63FB8">
      <w:pPr>
        <w:pStyle w:val="RKnormal"/>
        <w:rPr>
          <w:rFonts w:ascii="OrigGarmnd BT" w:hAnsi="OrigGarmnd BT"/>
          <w:sz w:val="24"/>
          <w:szCs w:val="24"/>
          <w:lang w:val="sv-SE"/>
        </w:rPr>
      </w:pPr>
    </w:p>
    <w:p w:rsidR="00DF46FA" w:rsidRPr="002F69ED" w:rsidRDefault="00DF46FA" w:rsidP="00B63FB8">
      <w:pPr>
        <w:pStyle w:val="RKnormal"/>
        <w:rPr>
          <w:rFonts w:ascii="OrigGarmnd BT" w:hAnsi="OrigGarmnd BT"/>
          <w:sz w:val="24"/>
          <w:szCs w:val="24"/>
          <w:lang w:val="sv-SE"/>
        </w:rPr>
      </w:pPr>
      <w:r w:rsidRPr="002F69ED">
        <w:rPr>
          <w:rFonts w:ascii="OrigGarmnd BT" w:hAnsi="OrigGarmnd BT"/>
          <w:sz w:val="24"/>
          <w:szCs w:val="24"/>
          <w:lang w:val="sv-SE"/>
        </w:rPr>
        <w:t>Inga övriga ärenden har hittills an</w:t>
      </w:r>
      <w:r w:rsidR="000A488D" w:rsidRPr="002F69ED">
        <w:rPr>
          <w:rFonts w:ascii="OrigGarmnd BT" w:hAnsi="OrigGarmnd BT"/>
          <w:sz w:val="24"/>
          <w:szCs w:val="24"/>
          <w:lang w:val="sv-SE"/>
        </w:rPr>
        <w:t>n</w:t>
      </w:r>
      <w:r w:rsidRPr="002F69ED">
        <w:rPr>
          <w:rFonts w:ascii="OrigGarmnd BT" w:hAnsi="OrigGarmnd BT"/>
          <w:sz w:val="24"/>
          <w:szCs w:val="24"/>
          <w:lang w:val="sv-SE"/>
        </w:rPr>
        <w:t>onserats.</w:t>
      </w:r>
    </w:p>
    <w:p w:rsidR="00702543" w:rsidRPr="002F69ED" w:rsidRDefault="00702543" w:rsidP="00B63FB8">
      <w:pPr>
        <w:pStyle w:val="RKnormal"/>
        <w:rPr>
          <w:rFonts w:ascii="OrigGarmnd BT" w:hAnsi="OrigGarmnd BT"/>
          <w:sz w:val="24"/>
          <w:szCs w:val="24"/>
          <w:lang w:val="sv-SE"/>
        </w:rPr>
      </w:pPr>
    </w:p>
    <w:p w:rsidR="003210B5" w:rsidRPr="002F69ED" w:rsidRDefault="00DF46FA" w:rsidP="00DF46FA">
      <w:pPr>
        <w:pStyle w:val="RKnormal"/>
        <w:jc w:val="center"/>
        <w:rPr>
          <w:rFonts w:ascii="OrigGarmnd BT" w:hAnsi="OrigGarmnd BT"/>
          <w:sz w:val="24"/>
          <w:szCs w:val="24"/>
          <w:lang w:val="sv-SE"/>
        </w:rPr>
      </w:pPr>
      <w:r w:rsidRPr="002F69ED">
        <w:rPr>
          <w:rFonts w:ascii="OrigGarmnd BT" w:hAnsi="OrigGarmnd BT"/>
          <w:sz w:val="24"/>
          <w:szCs w:val="24"/>
          <w:lang w:val="sv-SE"/>
        </w:rPr>
        <w:t>___________________</w:t>
      </w:r>
    </w:p>
    <w:sectPr w:rsidR="003210B5" w:rsidRPr="002F69ED">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AFE" w:rsidRPr="002F69ED" w:rsidRDefault="00025AFE">
      <w:r w:rsidRPr="002F69ED">
        <w:separator/>
      </w:r>
    </w:p>
  </w:endnote>
  <w:endnote w:type="continuationSeparator" w:id="0">
    <w:p w:rsidR="00025AFE" w:rsidRPr="002F69ED" w:rsidRDefault="00025AFE">
      <w:r w:rsidRPr="002F6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AFE" w:rsidRPr="002F69ED" w:rsidRDefault="00025AFE">
      <w:r w:rsidRPr="002F69ED">
        <w:separator/>
      </w:r>
    </w:p>
  </w:footnote>
  <w:footnote w:type="continuationSeparator" w:id="0">
    <w:p w:rsidR="00025AFE" w:rsidRPr="002F69ED" w:rsidRDefault="00025AFE">
      <w:r w:rsidRPr="002F6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24A" w:rsidRPr="002F69ED" w:rsidRDefault="00DC024A">
    <w:pPr>
      <w:pStyle w:val="Sidhuvud"/>
      <w:framePr w:wrap="around" w:vAnchor="text" w:hAnchor="margin" w:xAlign="right" w:y="1"/>
      <w:rPr>
        <w:rStyle w:val="Sidnummer"/>
      </w:rPr>
    </w:pPr>
    <w:r w:rsidRPr="002F69ED">
      <w:rPr>
        <w:rStyle w:val="Sidnummer"/>
      </w:rPr>
      <w:fldChar w:fldCharType="begin" w:fldLock="1"/>
    </w:r>
    <w:r w:rsidRPr="002F69ED">
      <w:rPr>
        <w:rStyle w:val="Sidnummer"/>
      </w:rPr>
      <w:instrText xml:space="preserve">PAGE  </w:instrText>
    </w:r>
    <w:r w:rsidRPr="002F69ED">
      <w:rPr>
        <w:rStyle w:val="Sidnummer"/>
      </w:rPr>
      <w:fldChar w:fldCharType="separate"/>
    </w:r>
    <w:r w:rsidRPr="002F69ED">
      <w:rPr>
        <w:rStyle w:val="Sidnummer"/>
      </w:rPr>
      <w:t>6</w:t>
    </w:r>
    <w:r w:rsidRPr="002F69ED">
      <w:rPr>
        <w:rStyle w:val="Sidnummer"/>
      </w:rPr>
      <w:fldChar w:fldCharType="end"/>
    </w:r>
  </w:p>
  <w:p w:rsidR="00DC024A" w:rsidRPr="002F69ED" w:rsidRDefault="00DC024A">
    <w:pPr>
      <w:pStyle w:val="Sidhuvud"/>
      <w:ind w:right="360"/>
    </w:pPr>
  </w:p>
  <w:p w:rsidR="00DC024A" w:rsidRPr="002F69ED" w:rsidRDefault="00DC02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24A" w:rsidRPr="002F69ED" w:rsidRDefault="00DC024A">
    <w:pPr>
      <w:pStyle w:val="Sidhuvud"/>
      <w:framePr w:wrap="around" w:vAnchor="text" w:hAnchor="margin" w:xAlign="right" w:y="1"/>
      <w:rPr>
        <w:rStyle w:val="Sidnummer"/>
      </w:rPr>
    </w:pPr>
    <w:r w:rsidRPr="002F69ED">
      <w:rPr>
        <w:rStyle w:val="Sidnummer"/>
      </w:rPr>
      <w:fldChar w:fldCharType="begin" w:fldLock="1"/>
    </w:r>
    <w:r w:rsidRPr="002F69ED">
      <w:rPr>
        <w:rStyle w:val="Sidnummer"/>
      </w:rPr>
      <w:instrText xml:space="preserve">PAGE  </w:instrText>
    </w:r>
    <w:r w:rsidRPr="002F69ED">
      <w:rPr>
        <w:rStyle w:val="Sidnummer"/>
      </w:rPr>
      <w:fldChar w:fldCharType="separate"/>
    </w:r>
    <w:r w:rsidRPr="002F69ED">
      <w:rPr>
        <w:rStyle w:val="Sidnummer"/>
      </w:rPr>
      <w:t>5</w:t>
    </w:r>
    <w:r w:rsidRPr="002F69ED">
      <w:rPr>
        <w:rStyle w:val="Sidnummer"/>
      </w:rPr>
      <w:fldChar w:fldCharType="end"/>
    </w:r>
  </w:p>
  <w:p w:rsidR="00DC024A" w:rsidRPr="002F69ED" w:rsidRDefault="00DC024A">
    <w:pPr>
      <w:pStyle w:val="Sidhuvud"/>
      <w:ind w:right="360"/>
    </w:pPr>
  </w:p>
  <w:p w:rsidR="00DC024A" w:rsidRPr="002F69ED" w:rsidRDefault="00DC02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24A" w:rsidRPr="002F69ED" w:rsidRDefault="002F69ED">
    <w:pPr>
      <w:framePr w:w="2948" w:h="1321" w:hRule="exact" w:wrap="notBeside" w:vAnchor="page" w:hAnchor="page" w:x="1362" w:y="653"/>
    </w:pPr>
    <w:r w:rsidRPr="002F69E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C024A" w:rsidRPr="002F69ED" w:rsidRDefault="00DC024A">
    <w:pPr>
      <w:pStyle w:val="RKrubrik"/>
      <w:keepNext w:val="0"/>
      <w:tabs>
        <w:tab w:val="clear" w:pos="1134"/>
      </w:tabs>
      <w:spacing w:before="0" w:after="0" w:line="320" w:lineRule="atLeast"/>
      <w:rPr>
        <w:lang w:val="sv-SE"/>
      </w:rPr>
    </w:pPr>
  </w:p>
  <w:p w:rsidR="00DC024A" w:rsidRPr="002F69ED" w:rsidRDefault="00DC024A">
    <w:pPr>
      <w:rPr>
        <w:rFonts w:ascii="TradeGothic" w:hAnsi="TradeGothic"/>
        <w:b/>
        <w:spacing w:val="12"/>
        <w:sz w:val="22"/>
      </w:rPr>
    </w:pPr>
  </w:p>
  <w:p w:rsidR="00DC024A" w:rsidRPr="002F69ED" w:rsidRDefault="00DC024A">
    <w:pPr>
      <w:pStyle w:val="RKrubrik"/>
      <w:keepNext w:val="0"/>
      <w:tabs>
        <w:tab w:val="clear" w:pos="1134"/>
      </w:tabs>
      <w:spacing w:before="0" w:after="0" w:line="320" w:lineRule="atLeast"/>
      <w:rPr>
        <w:lang w:val="sv-SE"/>
      </w:rPr>
    </w:pPr>
  </w:p>
  <w:p w:rsidR="00DC024A" w:rsidRPr="002F69ED" w:rsidRDefault="00DC024A">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98DBF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3366B0"/>
    <w:multiLevelType w:val="hybridMultilevel"/>
    <w:tmpl w:val="641AC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D526F"/>
    <w:multiLevelType w:val="hybridMultilevel"/>
    <w:tmpl w:val="83A02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EEB2C21"/>
    <w:multiLevelType w:val="hybridMultilevel"/>
    <w:tmpl w:val="3D7AF8FE"/>
    <w:lvl w:ilvl="0" w:tplc="AA843FA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386BCD"/>
    <w:multiLevelType w:val="hybridMultilevel"/>
    <w:tmpl w:val="86E20C4E"/>
    <w:lvl w:ilvl="0" w:tplc="AA843FA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4255899">
    <w:abstractNumId w:val="8"/>
  </w:num>
  <w:num w:numId="2" w16cid:durableId="1448356536">
    <w:abstractNumId w:val="5"/>
  </w:num>
  <w:num w:numId="3" w16cid:durableId="2141609449">
    <w:abstractNumId w:val="6"/>
  </w:num>
  <w:num w:numId="4" w16cid:durableId="1924755471">
    <w:abstractNumId w:val="10"/>
  </w:num>
  <w:num w:numId="5" w16cid:durableId="991759426">
    <w:abstractNumId w:val="3"/>
  </w:num>
  <w:num w:numId="6" w16cid:durableId="1672949899">
    <w:abstractNumId w:val="9"/>
  </w:num>
  <w:num w:numId="7" w16cid:durableId="339822038">
    <w:abstractNumId w:val="7"/>
  </w:num>
  <w:num w:numId="8" w16cid:durableId="1860846860">
    <w:abstractNumId w:val="12"/>
  </w:num>
  <w:num w:numId="9" w16cid:durableId="369843543">
    <w:abstractNumId w:val="1"/>
  </w:num>
  <w:num w:numId="10" w16cid:durableId="721488874">
    <w:abstractNumId w:val="11"/>
  </w:num>
  <w:num w:numId="11" w16cid:durableId="979312108">
    <w:abstractNumId w:val="4"/>
  </w:num>
  <w:num w:numId="12" w16cid:durableId="419637984">
    <w:abstractNumId w:val="2"/>
  </w:num>
  <w:num w:numId="13" w16cid:durableId="2479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127EF"/>
    <w:rsid w:val="00025AFE"/>
    <w:rsid w:val="00037727"/>
    <w:rsid w:val="00042E5C"/>
    <w:rsid w:val="00063341"/>
    <w:rsid w:val="00063DD4"/>
    <w:rsid w:val="0007562A"/>
    <w:rsid w:val="00076C5F"/>
    <w:rsid w:val="00092744"/>
    <w:rsid w:val="000A4797"/>
    <w:rsid w:val="000A488D"/>
    <w:rsid w:val="000F30BC"/>
    <w:rsid w:val="000F35D7"/>
    <w:rsid w:val="00102FC3"/>
    <w:rsid w:val="00103847"/>
    <w:rsid w:val="001154AD"/>
    <w:rsid w:val="001307DC"/>
    <w:rsid w:val="00136E27"/>
    <w:rsid w:val="00150101"/>
    <w:rsid w:val="001561F8"/>
    <w:rsid w:val="001628CD"/>
    <w:rsid w:val="0017372A"/>
    <w:rsid w:val="001A3A7E"/>
    <w:rsid w:val="001F05BA"/>
    <w:rsid w:val="001F7A7A"/>
    <w:rsid w:val="00210A77"/>
    <w:rsid w:val="002219FD"/>
    <w:rsid w:val="00226A75"/>
    <w:rsid w:val="002425D2"/>
    <w:rsid w:val="002437B4"/>
    <w:rsid w:val="00253B2D"/>
    <w:rsid w:val="002920E4"/>
    <w:rsid w:val="00294B85"/>
    <w:rsid w:val="002C37E4"/>
    <w:rsid w:val="002C38A3"/>
    <w:rsid w:val="002C413F"/>
    <w:rsid w:val="002C441E"/>
    <w:rsid w:val="002D6A0B"/>
    <w:rsid w:val="002F08A8"/>
    <w:rsid w:val="002F69ED"/>
    <w:rsid w:val="003202A8"/>
    <w:rsid w:val="003210B5"/>
    <w:rsid w:val="00322815"/>
    <w:rsid w:val="00330420"/>
    <w:rsid w:val="00344B5F"/>
    <w:rsid w:val="00351B1B"/>
    <w:rsid w:val="003651C7"/>
    <w:rsid w:val="00377390"/>
    <w:rsid w:val="003A4D48"/>
    <w:rsid w:val="003A50FF"/>
    <w:rsid w:val="003C2547"/>
    <w:rsid w:val="003D5879"/>
    <w:rsid w:val="00400AEF"/>
    <w:rsid w:val="00404892"/>
    <w:rsid w:val="00405381"/>
    <w:rsid w:val="00415F86"/>
    <w:rsid w:val="00424620"/>
    <w:rsid w:val="004650CA"/>
    <w:rsid w:val="00470004"/>
    <w:rsid w:val="00477595"/>
    <w:rsid w:val="00485F47"/>
    <w:rsid w:val="00494DE2"/>
    <w:rsid w:val="004A3D82"/>
    <w:rsid w:val="004A5D0A"/>
    <w:rsid w:val="004A6BB5"/>
    <w:rsid w:val="004E47B7"/>
    <w:rsid w:val="005268DE"/>
    <w:rsid w:val="00531A54"/>
    <w:rsid w:val="005376BC"/>
    <w:rsid w:val="005473CF"/>
    <w:rsid w:val="00560203"/>
    <w:rsid w:val="005839E0"/>
    <w:rsid w:val="00584DAF"/>
    <w:rsid w:val="005A3989"/>
    <w:rsid w:val="005B7141"/>
    <w:rsid w:val="005C366F"/>
    <w:rsid w:val="005E431A"/>
    <w:rsid w:val="005E626C"/>
    <w:rsid w:val="005F1C30"/>
    <w:rsid w:val="006011F2"/>
    <w:rsid w:val="0061001C"/>
    <w:rsid w:val="00611103"/>
    <w:rsid w:val="006211DD"/>
    <w:rsid w:val="00651DE3"/>
    <w:rsid w:val="006609D5"/>
    <w:rsid w:val="00663974"/>
    <w:rsid w:val="0068101A"/>
    <w:rsid w:val="006B48CA"/>
    <w:rsid w:val="006C4DEC"/>
    <w:rsid w:val="006E033E"/>
    <w:rsid w:val="006E095C"/>
    <w:rsid w:val="006F08DE"/>
    <w:rsid w:val="00702543"/>
    <w:rsid w:val="007054FA"/>
    <w:rsid w:val="00705B0E"/>
    <w:rsid w:val="00707275"/>
    <w:rsid w:val="00720CDD"/>
    <w:rsid w:val="00731750"/>
    <w:rsid w:val="007321CA"/>
    <w:rsid w:val="007502B2"/>
    <w:rsid w:val="00754B18"/>
    <w:rsid w:val="0076332F"/>
    <w:rsid w:val="00763B3A"/>
    <w:rsid w:val="007665F1"/>
    <w:rsid w:val="00784216"/>
    <w:rsid w:val="00794D94"/>
    <w:rsid w:val="007A1C0E"/>
    <w:rsid w:val="007A4CB0"/>
    <w:rsid w:val="007B43EE"/>
    <w:rsid w:val="007C46C4"/>
    <w:rsid w:val="007F19D1"/>
    <w:rsid w:val="007F3137"/>
    <w:rsid w:val="00803234"/>
    <w:rsid w:val="00823F7E"/>
    <w:rsid w:val="0083591E"/>
    <w:rsid w:val="00840E7C"/>
    <w:rsid w:val="00846663"/>
    <w:rsid w:val="00852466"/>
    <w:rsid w:val="0087521E"/>
    <w:rsid w:val="0089764B"/>
    <w:rsid w:val="008A064F"/>
    <w:rsid w:val="008A54E9"/>
    <w:rsid w:val="008C298D"/>
    <w:rsid w:val="008C71E3"/>
    <w:rsid w:val="008E0D4B"/>
    <w:rsid w:val="008E7E24"/>
    <w:rsid w:val="008F3632"/>
    <w:rsid w:val="008F4ABE"/>
    <w:rsid w:val="008F6582"/>
    <w:rsid w:val="00914B7A"/>
    <w:rsid w:val="0091654A"/>
    <w:rsid w:val="009467BC"/>
    <w:rsid w:val="009556E4"/>
    <w:rsid w:val="009723F0"/>
    <w:rsid w:val="009A38B2"/>
    <w:rsid w:val="009B1844"/>
    <w:rsid w:val="009C3F7D"/>
    <w:rsid w:val="009E2571"/>
    <w:rsid w:val="009F2BA3"/>
    <w:rsid w:val="009F3419"/>
    <w:rsid w:val="009F5365"/>
    <w:rsid w:val="00A0456D"/>
    <w:rsid w:val="00A11BE3"/>
    <w:rsid w:val="00A17420"/>
    <w:rsid w:val="00A34131"/>
    <w:rsid w:val="00A61F7D"/>
    <w:rsid w:val="00A64275"/>
    <w:rsid w:val="00A66857"/>
    <w:rsid w:val="00A707D8"/>
    <w:rsid w:val="00A7370A"/>
    <w:rsid w:val="00A800FD"/>
    <w:rsid w:val="00A82F86"/>
    <w:rsid w:val="00A85734"/>
    <w:rsid w:val="00A927CE"/>
    <w:rsid w:val="00AB6803"/>
    <w:rsid w:val="00AC6E89"/>
    <w:rsid w:val="00B044FC"/>
    <w:rsid w:val="00B532D3"/>
    <w:rsid w:val="00B571D2"/>
    <w:rsid w:val="00B63FB8"/>
    <w:rsid w:val="00B745B2"/>
    <w:rsid w:val="00B80D6C"/>
    <w:rsid w:val="00B85255"/>
    <w:rsid w:val="00B979CA"/>
    <w:rsid w:val="00BA59F7"/>
    <w:rsid w:val="00BA5E24"/>
    <w:rsid w:val="00BB709E"/>
    <w:rsid w:val="00BD361D"/>
    <w:rsid w:val="00BF3C86"/>
    <w:rsid w:val="00C21BA9"/>
    <w:rsid w:val="00C35D5C"/>
    <w:rsid w:val="00C41917"/>
    <w:rsid w:val="00C44A1F"/>
    <w:rsid w:val="00C52414"/>
    <w:rsid w:val="00C667A1"/>
    <w:rsid w:val="00C67134"/>
    <w:rsid w:val="00C70305"/>
    <w:rsid w:val="00C71D9E"/>
    <w:rsid w:val="00C85E61"/>
    <w:rsid w:val="00C863C7"/>
    <w:rsid w:val="00C90DC0"/>
    <w:rsid w:val="00CA3F70"/>
    <w:rsid w:val="00CA62E9"/>
    <w:rsid w:val="00CB2153"/>
    <w:rsid w:val="00CC7F6E"/>
    <w:rsid w:val="00CE3177"/>
    <w:rsid w:val="00D01188"/>
    <w:rsid w:val="00D0544B"/>
    <w:rsid w:val="00D142EA"/>
    <w:rsid w:val="00D14937"/>
    <w:rsid w:val="00D238EE"/>
    <w:rsid w:val="00D342A0"/>
    <w:rsid w:val="00D35929"/>
    <w:rsid w:val="00D51BC8"/>
    <w:rsid w:val="00D67EDF"/>
    <w:rsid w:val="00D74F4E"/>
    <w:rsid w:val="00D973ED"/>
    <w:rsid w:val="00DA0761"/>
    <w:rsid w:val="00DA1C11"/>
    <w:rsid w:val="00DA4CDB"/>
    <w:rsid w:val="00DB78E8"/>
    <w:rsid w:val="00DC024A"/>
    <w:rsid w:val="00DC28B0"/>
    <w:rsid w:val="00DE1945"/>
    <w:rsid w:val="00DF46FA"/>
    <w:rsid w:val="00E0203D"/>
    <w:rsid w:val="00E1244B"/>
    <w:rsid w:val="00E14E0B"/>
    <w:rsid w:val="00E20007"/>
    <w:rsid w:val="00E25E3B"/>
    <w:rsid w:val="00E312FA"/>
    <w:rsid w:val="00E32EE7"/>
    <w:rsid w:val="00E34612"/>
    <w:rsid w:val="00E358FC"/>
    <w:rsid w:val="00E527E6"/>
    <w:rsid w:val="00E91244"/>
    <w:rsid w:val="00E9350E"/>
    <w:rsid w:val="00EA3AFC"/>
    <w:rsid w:val="00EB7E38"/>
    <w:rsid w:val="00EE0AC8"/>
    <w:rsid w:val="00EE4A7B"/>
    <w:rsid w:val="00F50C2A"/>
    <w:rsid w:val="00F978C3"/>
    <w:rsid w:val="00FA4CBA"/>
    <w:rsid w:val="00FC251A"/>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564CAE-6410-4B21-B655-A77115B9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 w:type="paragraph" w:styleId="Punktlista">
    <w:name w:val="List Bullet"/>
    <w:basedOn w:val="Normal"/>
    <w:rsid w:val="002C38A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1318</Words>
  <Characters>8705</Characters>
  <Application>Microsoft Office Word</Application>
  <DocSecurity>4</DocSecurity>
  <Lines>256</Lines>
  <Paragraphs>76</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2008-05-23T07:11:00Z</cp:lastPrinted>
  <dcterms:created xsi:type="dcterms:W3CDTF">2025-12-17T13:26:00Z</dcterms:created>
  <dcterms:modified xsi:type="dcterms:W3CDTF">2025-12-17T13:26:00Z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