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105CE" w:rsidRDefault="00AA32B0" w14:paraId="511117D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B826C9A5E0D4A4F9C5270E80C8005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eb5aec-8dee-4ad5-bcf5-4c1a88138e82"/>
        <w:id w:val="-72435312"/>
        <w:lock w:val="sdtLocked"/>
      </w:sdtPr>
      <w:sdtEndPr/>
      <w:sdtContent>
        <w:p w:rsidR="00BC0D18" w:rsidRDefault="00EB62DD" w14:paraId="00EC21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presentera förslag på åtgärder för att motverka missbruk av rättsprocesser i syfte att fortsätta utöva kontroll eller trakasserier efter en våldsam relation,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5A68387E4A04F01AD31337C49A56B68"/>
        </w:placeholder>
        <w:text/>
      </w:sdtPr>
      <w:sdtEndPr/>
      <w:sdtContent>
        <w:p w:rsidRPr="009B062B" w:rsidR="006D79C9" w:rsidP="00333E95" w:rsidRDefault="006D79C9" w14:paraId="7A08B0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B7BCB" w:rsidP="00AA32B0" w:rsidRDefault="002B7BCB" w14:paraId="559D2572" w14:textId="040B5407">
      <w:pPr>
        <w:pStyle w:val="Normalutanindragellerluft"/>
      </w:pPr>
      <w:r>
        <w:t>Mäns våld mot kvinnor är ett allvarligt samhällsproblem som kräver åtgärder på många plan. Även efter att en kvinna lämnat en våldsam relation kan utsattheten fortsätta – inte fysiskt, men genom rättssystemet.</w:t>
      </w:r>
    </w:p>
    <w:p w:rsidR="002B7BCB" w:rsidP="00AA32B0" w:rsidRDefault="002B7BCB" w14:paraId="08B25FA8" w14:textId="77777777">
      <w:r>
        <w:t>Detta sker när förövaren använder möjligheten till upprepade civilrättsliga processer – exempelvis skadeståndskrav eller överklaganden – som ett sätt att utöva fortsatt makt och kontroll. Trots kontaktförbud har mannen laglig rätt att agera åklagare och kvinnan tvingas infinna sig. Fenomenet har uppmärksammats av kvinnojourer, jurister och i media, bland annat i en artikelserie i Göteborgs-Posten.</w:t>
      </w:r>
    </w:p>
    <w:p w:rsidR="002B7BCB" w:rsidP="00AA32B0" w:rsidRDefault="002B7BCB" w14:paraId="3E0C7052" w14:textId="77777777">
      <w:r>
        <w:t>Konsekvensen blir långvarig psykisk press, ekonomisk ruin och fördröjda processer som drabbar både kvinnor och barn. Samhällets kostnader blir också stora.</w:t>
      </w:r>
    </w:p>
    <w:p w:rsidR="002B7BCB" w:rsidP="00AA32B0" w:rsidRDefault="002B7BCB" w14:paraId="7E3DCDC8" w14:textId="77777777">
      <w:r>
        <w:t xml:space="preserve">Rätten till domstolsprövning är en grundläggande princip i en rättsstat. Samtidigt måste systemet skydda mot upprepade och uppenbart ogrundade processer som används </w:t>
      </w:r>
      <w:r w:rsidRPr="00AA32B0">
        <w:rPr>
          <w:spacing w:val="-1"/>
        </w:rPr>
        <w:t xml:space="preserve">som </w:t>
      </w:r>
      <w:r w:rsidRPr="00AA32B0">
        <w:rPr>
          <w:spacing w:val="-1"/>
        </w:rPr>
        <w:lastRenderedPageBreak/>
        <w:t>ett verktyg för fortsatt våld. I ett av fallen som beskrivs i artikelserien ”Våld i lagens</w:t>
      </w:r>
      <w:r>
        <w:t xml:space="preserve"> namn” har en kvinna anmälts 250 gånger. Trots trauma och kontaktförbud åläggs hon att varje gång infinna sig personligen.</w:t>
      </w:r>
    </w:p>
    <w:p w:rsidR="002B7BCB" w:rsidP="00AA32B0" w:rsidRDefault="002B7BCB" w14:paraId="240C6340" w14:textId="54FD063F">
      <w:r>
        <w:t xml:space="preserve">Regeringen bör därför snarast ta initiativ till åtgärder som råder bot </w:t>
      </w:r>
      <w:r w:rsidR="00EB62DD">
        <w:t xml:space="preserve">på </w:t>
      </w:r>
      <w:r>
        <w:t xml:space="preserve">det eftervåld som staten medverkar till. Möjliga åtgärder kan vara </w:t>
      </w:r>
    </w:p>
    <w:p w:rsidR="002B7BCB" w:rsidP="00AA32B0" w:rsidRDefault="002B7BCB" w14:paraId="132AB5EF" w14:textId="77777777">
      <w:pPr>
        <w:pStyle w:val="ListaPunkt"/>
      </w:pPr>
      <w:r>
        <w:t>stärkt möjlighet för domstolar att avvisa uppenbart trakasserande processer,</w:t>
      </w:r>
    </w:p>
    <w:p w:rsidR="002B7BCB" w:rsidP="00AA32B0" w:rsidRDefault="002B7BCB" w14:paraId="68923D5B" w14:textId="77777777">
      <w:pPr>
        <w:pStyle w:val="ListaPunkt"/>
      </w:pPr>
      <w:r>
        <w:t>skärpta kostnadsansvar eller processförbud vid missbruk,</w:t>
      </w:r>
    </w:p>
    <w:p w:rsidR="002B7BCB" w:rsidP="00AA32B0" w:rsidRDefault="002B7BCB" w14:paraId="4D48BA5A" w14:textId="77777777">
      <w:pPr>
        <w:pStyle w:val="ListaPunkt"/>
      </w:pPr>
      <w:r>
        <w:t>förstärkt juridiskt och ekonomiskt stöd för utsatta kvinnor,</w:t>
      </w:r>
    </w:p>
    <w:p w:rsidR="002B7BCB" w:rsidP="00AA32B0" w:rsidRDefault="002B7BCB" w14:paraId="7A21F6EB" w14:textId="77777777">
      <w:pPr>
        <w:pStyle w:val="ListaPunkt"/>
      </w:pPr>
      <w:r>
        <w:t>bättre samordning mellan domstolar och socialtjänst.</w:t>
      </w:r>
    </w:p>
    <w:p w:rsidR="002B7BCB" w:rsidP="00AA32B0" w:rsidRDefault="002B7BCB" w14:paraId="2327B099" w14:textId="77777777">
      <w:pPr>
        <w:pStyle w:val="Normalutanindragellerluft"/>
      </w:pPr>
      <w:r>
        <w:t xml:space="preserve">Omfattande åtgärder är nödvändiga för att skydda brottsoffer och att grundläggande rättssäkerhetsprinciper inte ska stå emot detta. </w:t>
      </w:r>
    </w:p>
    <w:p w:rsidR="002B7BCB" w:rsidP="00AA32B0" w:rsidRDefault="002B7BCB" w14:paraId="44AEB4F3" w14:textId="77777777">
      <w:r>
        <w:t>Ingen kvinna ska behöva leva i rädsla – inte i hemmet, inte på arbetsplatsen och inte i skuggan av rättsväsendet.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D9EA78E1A941C4ABAEBA125B7AE37B"/>
        </w:placeholder>
      </w:sdtPr>
      <w:sdtEndPr/>
      <w:sdtContent>
        <w:p w:rsidR="00B105CE" w:rsidP="00E92B37" w:rsidRDefault="00B105CE" w14:paraId="2DED1DFB" w14:textId="77777777"/>
        <w:p w:rsidR="00B105CE" w:rsidP="00E92B37" w:rsidRDefault="00AA32B0" w14:paraId="0C3FEFD3" w14:textId="1A042A5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0D18" w14:paraId="1AC6173E" w14:textId="77777777">
        <w:trPr>
          <w:cantSplit/>
        </w:trPr>
        <w:tc>
          <w:tcPr>
            <w:tcW w:w="50" w:type="pct"/>
            <w:vAlign w:val="bottom"/>
          </w:tcPr>
          <w:p w:rsidR="00BC0D18" w:rsidRDefault="00EB62DD" w14:paraId="1AD48CC1" w14:textId="77777777">
            <w:pPr>
              <w:pStyle w:val="Underskrifter"/>
              <w:spacing w:after="0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 w:rsidR="00BC0D18" w:rsidRDefault="00BC0D18" w14:paraId="6728941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70C28AA" w14:textId="0BE01AA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5C37" w14:textId="77777777" w:rsidR="002B7BCB" w:rsidRDefault="002B7BCB" w:rsidP="000C1CAD">
      <w:pPr>
        <w:spacing w:line="240" w:lineRule="auto"/>
      </w:pPr>
      <w:r>
        <w:separator/>
      </w:r>
    </w:p>
  </w:endnote>
  <w:endnote w:type="continuationSeparator" w:id="0">
    <w:p w14:paraId="126167A2" w14:textId="77777777" w:rsidR="002B7BCB" w:rsidRDefault="002B7B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6F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ED0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B7DA" w14:textId="57C8F425" w:rsidR="00262EA3" w:rsidRPr="00E92B37" w:rsidRDefault="00262EA3" w:rsidP="00E92B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BB51" w14:textId="77777777" w:rsidR="002B7BCB" w:rsidRDefault="002B7BCB" w:rsidP="000C1CAD">
      <w:pPr>
        <w:spacing w:line="240" w:lineRule="auto"/>
      </w:pPr>
      <w:r>
        <w:separator/>
      </w:r>
    </w:p>
  </w:footnote>
  <w:footnote w:type="continuationSeparator" w:id="0">
    <w:p w14:paraId="6AA8A19C" w14:textId="77777777" w:rsidR="002B7BCB" w:rsidRDefault="002B7B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321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748BA7" wp14:editId="721E63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F0C429" w14:textId="17FAEAD8" w:rsidR="00262EA3" w:rsidRDefault="00AA32B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62ACF372FE480CADC8E4FEDC1FAD27"/>
                              </w:placeholder>
                              <w:text/>
                            </w:sdtPr>
                            <w:sdtEndPr/>
                            <w:sdtContent>
                              <w:r w:rsidR="002B7BC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A3733DBED8427F90D4410E48E7AD3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748B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0F0C429" w14:textId="17FAEAD8" w:rsidR="00262EA3" w:rsidRDefault="00AA32B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62ACF372FE480CADC8E4FEDC1FAD27"/>
                        </w:placeholder>
                        <w:text/>
                      </w:sdtPr>
                      <w:sdtEndPr/>
                      <w:sdtContent>
                        <w:r w:rsidR="002B7BC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A3733DBED8427F90D4410E48E7AD3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D8DFD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1991" w14:textId="77777777" w:rsidR="00262EA3" w:rsidRDefault="00262EA3" w:rsidP="008563AC">
    <w:pPr>
      <w:jc w:val="right"/>
    </w:pPr>
  </w:p>
  <w:p w14:paraId="1FB0D3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EFED" w14:textId="77777777" w:rsidR="00262EA3" w:rsidRDefault="00AA32B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E0E8CA" wp14:editId="594F44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3F100C" w14:textId="5829CAEC" w:rsidR="00262EA3" w:rsidRDefault="00AA32B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92B3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7BC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B5751A3" w14:textId="77777777" w:rsidR="00262EA3" w:rsidRPr="008227B3" w:rsidRDefault="00AA32B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E39350" w14:textId="2D5851EE" w:rsidR="00262EA3" w:rsidRPr="008227B3" w:rsidRDefault="00AA32B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2B3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2B37">
          <w:t>:2606</w:t>
        </w:r>
      </w:sdtContent>
    </w:sdt>
  </w:p>
  <w:p w14:paraId="48972746" w14:textId="325E882A" w:rsidR="00262EA3" w:rsidRDefault="00AA32B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E62ACF372FE480CADC8E4FEDC1FAD27"/>
        </w:placeholder>
        <w15:appearance w15:val="hidden"/>
        <w:text/>
      </w:sdtPr>
      <w:sdtEndPr/>
      <w:sdtContent>
        <w:r w:rsidR="00E92B37">
          <w:t>av Helena Vilhelmsson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CA3733DBED8427F90D4410E48E7AD33"/>
      </w:placeholder>
      <w:text/>
    </w:sdtPr>
    <w:sdtEndPr/>
    <w:sdtContent>
      <w:p w14:paraId="69CA7FA5" w14:textId="6461F9D2" w:rsidR="00262EA3" w:rsidRDefault="002B7BCB" w:rsidP="00283E0F">
        <w:pPr>
          <w:pStyle w:val="FSHRub2"/>
        </w:pPr>
        <w:r>
          <w:t>Åtgärder mot eftervåldet och statens medverkan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8FC74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E4FC275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0368128">
    <w:abstractNumId w:val="9"/>
  </w:num>
  <w:num w:numId="2" w16cid:durableId="1063605272">
    <w:abstractNumId w:val="8"/>
  </w:num>
  <w:num w:numId="3" w16cid:durableId="1981035441">
    <w:abstractNumId w:val="16"/>
  </w:num>
  <w:num w:numId="4" w16cid:durableId="745960762">
    <w:abstractNumId w:val="14"/>
  </w:num>
  <w:num w:numId="5" w16cid:durableId="1698579641">
    <w:abstractNumId w:val="17"/>
  </w:num>
  <w:num w:numId="6" w16cid:durableId="512691609">
    <w:abstractNumId w:val="18"/>
  </w:num>
  <w:num w:numId="7" w16cid:durableId="529414722">
    <w:abstractNumId w:val="11"/>
  </w:num>
  <w:num w:numId="8" w16cid:durableId="1177621587">
    <w:abstractNumId w:val="12"/>
  </w:num>
  <w:num w:numId="9" w16cid:durableId="1401832674">
    <w:abstractNumId w:val="15"/>
  </w:num>
  <w:num w:numId="10" w16cid:durableId="1807434259">
    <w:abstractNumId w:val="22"/>
  </w:num>
  <w:num w:numId="11" w16cid:durableId="1190147865">
    <w:abstractNumId w:val="21"/>
  </w:num>
  <w:num w:numId="12" w16cid:durableId="1902249348">
    <w:abstractNumId w:val="21"/>
  </w:num>
  <w:num w:numId="13" w16cid:durableId="1006056007">
    <w:abstractNumId w:val="3"/>
  </w:num>
  <w:num w:numId="14" w16cid:durableId="1013263892">
    <w:abstractNumId w:val="2"/>
  </w:num>
  <w:num w:numId="15" w16cid:durableId="1801874244">
    <w:abstractNumId w:val="1"/>
  </w:num>
  <w:num w:numId="16" w16cid:durableId="1971940034">
    <w:abstractNumId w:val="0"/>
  </w:num>
  <w:num w:numId="17" w16cid:durableId="1771504025">
    <w:abstractNumId w:val="7"/>
  </w:num>
  <w:num w:numId="18" w16cid:durableId="276183455">
    <w:abstractNumId w:val="6"/>
  </w:num>
  <w:num w:numId="19" w16cid:durableId="817385142">
    <w:abstractNumId w:val="5"/>
  </w:num>
  <w:num w:numId="20" w16cid:durableId="33508434">
    <w:abstractNumId w:val="4"/>
  </w:num>
  <w:num w:numId="21" w16cid:durableId="1657105495">
    <w:abstractNumId w:val="21"/>
  </w:num>
  <w:num w:numId="22" w16cid:durableId="920412150">
    <w:abstractNumId w:val="21"/>
  </w:num>
  <w:num w:numId="23" w16cid:durableId="264728835">
    <w:abstractNumId w:val="21"/>
  </w:num>
  <w:num w:numId="24" w16cid:durableId="1392920423">
    <w:abstractNumId w:val="21"/>
  </w:num>
  <w:num w:numId="25" w16cid:durableId="1195852362">
    <w:abstractNumId w:val="21"/>
  </w:num>
  <w:num w:numId="26" w16cid:durableId="1873952488">
    <w:abstractNumId w:val="22"/>
  </w:num>
  <w:num w:numId="27" w16cid:durableId="991955968">
    <w:abstractNumId w:val="22"/>
  </w:num>
  <w:num w:numId="28" w16cid:durableId="540364091">
    <w:abstractNumId w:val="22"/>
  </w:num>
  <w:num w:numId="29" w16cid:durableId="227544797">
    <w:abstractNumId w:val="22"/>
  </w:num>
  <w:num w:numId="30" w16cid:durableId="257447494">
    <w:abstractNumId w:val="21"/>
  </w:num>
  <w:num w:numId="31" w16cid:durableId="1661040401">
    <w:abstractNumId w:val="21"/>
  </w:num>
  <w:num w:numId="32" w16cid:durableId="1252393538">
    <w:abstractNumId w:val="22"/>
  </w:num>
  <w:num w:numId="33" w16cid:durableId="1770392689">
    <w:abstractNumId w:val="21"/>
  </w:num>
  <w:num w:numId="34" w16cid:durableId="1373843901">
    <w:abstractNumId w:val="18"/>
  </w:num>
  <w:num w:numId="35" w16cid:durableId="574239040">
    <w:abstractNumId w:val="18"/>
    <w:lvlOverride w:ilvl="0">
      <w:startOverride w:val="1"/>
    </w:lvlOverride>
  </w:num>
  <w:num w:numId="36" w16cid:durableId="1764641885">
    <w:abstractNumId w:val="19"/>
  </w:num>
  <w:num w:numId="37" w16cid:durableId="2101095919">
    <w:abstractNumId w:val="18"/>
    <w:lvlOverride w:ilvl="0">
      <w:startOverride w:val="1"/>
    </w:lvlOverride>
  </w:num>
  <w:num w:numId="38" w16cid:durableId="1919172326">
    <w:abstractNumId w:val="13"/>
  </w:num>
  <w:num w:numId="39" w16cid:durableId="902179861">
    <w:abstractNumId w:val="10"/>
  </w:num>
  <w:num w:numId="40" w16cid:durableId="194746845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B7BC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5EBE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CD0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BCB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875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83B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2B0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5CE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D18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B37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DD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96A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AB8AC0"/>
  <w15:chartTrackingRefBased/>
  <w15:docId w15:val="{1E090C11-F996-41A2-AF7E-2D1C4490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826C9A5E0D4A4F9C5270E80C800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A6BFF-D5AB-44CD-A24E-D2E9349D4ED3}"/>
      </w:docPartPr>
      <w:docPartBody>
        <w:p w:rsidR="00C15660" w:rsidRDefault="00C15660">
          <w:pPr>
            <w:pStyle w:val="DB826C9A5E0D4A4F9C5270E80C8005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A68387E4A04F01AD31337C49A56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50AE5-C0E6-41F2-9D85-135599DD781F}"/>
      </w:docPartPr>
      <w:docPartBody>
        <w:p w:rsidR="00C15660" w:rsidRDefault="00C15660">
          <w:pPr>
            <w:pStyle w:val="D5A68387E4A04F01AD31337C49A56B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62ACF372FE480CADC8E4FEDC1FA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7FD7B-B862-4C2C-AEC0-C97E37C58DDC}"/>
      </w:docPartPr>
      <w:docPartBody>
        <w:p w:rsidR="00C15660" w:rsidRDefault="00C15660">
          <w:pPr>
            <w:pStyle w:val="8E62ACF372FE480CADC8E4FEDC1FAD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A3733DBED8427F90D4410E48E7A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8E0C5-F19E-4C51-9FB2-2508A38DA560}"/>
      </w:docPartPr>
      <w:docPartBody>
        <w:p w:rsidR="00C15660" w:rsidRDefault="00C15660">
          <w:pPr>
            <w:pStyle w:val="0CA3733DBED8427F90D4410E48E7AD33"/>
          </w:pPr>
          <w:r>
            <w:t xml:space="preserve"> </w:t>
          </w:r>
        </w:p>
      </w:docPartBody>
    </w:docPart>
    <w:docPart>
      <w:docPartPr>
        <w:name w:val="54D9EA78E1A941C4ABAEBA125B7AE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A8525A-2D73-49D3-B285-0B2F19470722}"/>
      </w:docPartPr>
      <w:docPartBody>
        <w:p w:rsidR="008D5DE7" w:rsidRDefault="008D5D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60"/>
    <w:rsid w:val="00523875"/>
    <w:rsid w:val="0068783B"/>
    <w:rsid w:val="00C1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B826C9A5E0D4A4F9C5270E80C8005B5">
    <w:name w:val="DB826C9A5E0D4A4F9C5270E80C8005B5"/>
  </w:style>
  <w:style w:type="paragraph" w:customStyle="1" w:styleId="D5A68387E4A04F01AD31337C49A56B68">
    <w:name w:val="D5A68387E4A04F01AD31337C49A56B68"/>
  </w:style>
  <w:style w:type="paragraph" w:customStyle="1" w:styleId="8E62ACF372FE480CADC8E4FEDC1FAD27">
    <w:name w:val="8E62ACF372FE480CADC8E4FEDC1FAD27"/>
  </w:style>
  <w:style w:type="paragraph" w:customStyle="1" w:styleId="0CA3733DBED8427F90D4410E48E7AD33">
    <w:name w:val="0CA3733DBED8427F90D4410E48E7A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DAFF6-0662-48FE-936D-75396669E565}"/>
</file>

<file path=customXml/itemProps2.xml><?xml version="1.0" encoding="utf-8"?>
<ds:datastoreItem xmlns:ds="http://schemas.openxmlformats.org/officeDocument/2006/customXml" ds:itemID="{F9E74A2E-C07E-4E85-B2E0-B17414980B33}"/>
</file>

<file path=customXml/itemProps3.xml><?xml version="1.0" encoding="utf-8"?>
<ds:datastoreItem xmlns:ds="http://schemas.openxmlformats.org/officeDocument/2006/customXml" ds:itemID="{29A90C73-B990-4C2D-A062-D9FD387619F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1831</Characters>
  <Application>Microsoft Office Word</Application>
  <DocSecurity>0</DocSecurity>
  <Lines>39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Åtgärder mot eftervåldet och statens medverkan i eftervåldet</vt:lpstr>
      <vt:lpstr>
      </vt:lpstr>
    </vt:vector>
  </TitlesOfParts>
  <Company>Sveriges riksdag</Company>
  <LinksUpToDate>false</LinksUpToDate>
  <CharactersWithSpaces>2112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