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CA29C5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CA29C5" w:rsidRDefault="00AC2646">
            <w:pPr>
              <w:pStyle w:val="HuvudRubrik"/>
            </w:pPr>
            <w:r w:rsidRPr="00CA29C5">
              <w:t>Försvarsutskottets yttrande</w:t>
            </w:r>
          </w:p>
          <w:p w:rsidR="00F53A97" w:rsidRPr="00CA29C5" w:rsidRDefault="00EE3171">
            <w:pPr>
              <w:pStyle w:val="HuvudRubrikRad2"/>
            </w:pPr>
            <w:bookmarkStart w:id="0" w:name="BetänkandeNr"/>
            <w:bookmarkEnd w:id="0"/>
            <w:r w:rsidRPr="00CA29C5">
              <w:t>2005/06</w:t>
            </w:r>
            <w:r w:rsidR="00F53A97" w:rsidRPr="00CA29C5">
              <w:t>:</w:t>
            </w:r>
            <w:r w:rsidRPr="00CA29C5">
              <w:t>FöU2y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CA29C5" w:rsidRDefault="00CA29C5">
            <w:pPr>
              <w:spacing w:line="230" w:lineRule="auto"/>
              <w:jc w:val="center"/>
            </w:pPr>
            <w:r w:rsidRPr="00CA29C5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CA29C5" w:rsidRDefault="00F53A97">
            <w:pPr>
              <w:pStyle w:val="Normaltindrag"/>
              <w:jc w:val="center"/>
            </w:pPr>
          </w:p>
          <w:p w:rsidR="00F53A97" w:rsidRPr="00CA29C5" w:rsidRDefault="00F53A97">
            <w:pPr>
              <w:pStyle w:val="UtskriftsdatumSida1"/>
              <w:framePr w:wrap="around"/>
            </w:pPr>
          </w:p>
        </w:tc>
      </w:tr>
      <w:tr w:rsidR="00F53A97" w:rsidRPr="00CA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CA29C5" w:rsidRDefault="00AC2646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CA29C5">
              <w:rPr>
                <w:noProof w:val="0"/>
              </w:rPr>
              <w:t>Riksdagen i en ny tid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CA29C5" w:rsidRDefault="00F53A97"/>
        </w:tc>
      </w:tr>
      <w:tr w:rsidR="00F53A97" w:rsidRPr="00CA29C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CA29C5" w:rsidRDefault="00F53A97"/>
        </w:tc>
        <w:tc>
          <w:tcPr>
            <w:tcW w:w="3012" w:type="dxa"/>
          </w:tcPr>
          <w:p w:rsidR="00F53A97" w:rsidRPr="00CA29C5" w:rsidRDefault="00F53A97"/>
        </w:tc>
        <w:tc>
          <w:tcPr>
            <w:tcW w:w="1418" w:type="dxa"/>
          </w:tcPr>
          <w:p w:rsidR="00F53A97" w:rsidRPr="00CA29C5" w:rsidRDefault="00F53A97"/>
        </w:tc>
      </w:tr>
    </w:tbl>
    <w:p w:rsidR="00AC2646" w:rsidRPr="00CA29C5" w:rsidRDefault="00AC2646" w:rsidP="00996115">
      <w:pPr>
        <w:pStyle w:val="Rubrik1"/>
        <w:rPr>
          <w:noProof w:val="0"/>
        </w:rPr>
      </w:pPr>
      <w:r w:rsidRPr="00CA29C5">
        <w:rPr>
          <w:noProof w:val="0"/>
        </w:rPr>
        <w:t>Till konstitutionsutskottet</w:t>
      </w:r>
    </w:p>
    <w:p w:rsidR="0001652C" w:rsidRPr="00CA29C5" w:rsidRDefault="0001652C" w:rsidP="0001652C">
      <w:r w:rsidRPr="00CA29C5">
        <w:t>Konstitutionsutskottet har berett bl.a. försvarsutskottet tillfälle att yttra sig över Riksdagsstyrelsens framställning 2005/06:RS3 Riksdagen i en ny tid</w:t>
      </w:r>
      <w:r w:rsidR="00663EF0" w:rsidRPr="00CA29C5">
        <w:t>,</w:t>
      </w:r>
      <w:r w:rsidRPr="00CA29C5">
        <w:t xml:space="preserve"> jämte följdmotioner</w:t>
      </w:r>
      <w:r w:rsidR="004C7A12" w:rsidRPr="00CA29C5">
        <w:t>.</w:t>
      </w:r>
    </w:p>
    <w:p w:rsidR="0001652C" w:rsidRPr="00CA29C5" w:rsidRDefault="0001652C" w:rsidP="0001652C">
      <w:pPr>
        <w:pStyle w:val="Normaltindrag"/>
      </w:pPr>
    </w:p>
    <w:p w:rsidR="00663EF0" w:rsidRPr="00CA29C5" w:rsidRDefault="00663EF0" w:rsidP="00663EF0">
      <w:r w:rsidRPr="00CA29C5">
        <w:t xml:space="preserve">Försvarsutskottet </w:t>
      </w:r>
      <w:r w:rsidR="00E01D5C" w:rsidRPr="00CA29C5">
        <w:t xml:space="preserve">yttrar sig i </w:t>
      </w:r>
      <w:r w:rsidRPr="00CA29C5">
        <w:t>följande tre frågor:</w:t>
      </w:r>
    </w:p>
    <w:p w:rsidR="00663EF0" w:rsidRPr="00CA29C5" w:rsidRDefault="00663EF0" w:rsidP="00663EF0">
      <w:pPr>
        <w:pStyle w:val="Normaltindrag"/>
        <w:numPr>
          <w:ilvl w:val="0"/>
          <w:numId w:val="12"/>
        </w:numPr>
      </w:pPr>
      <w:r w:rsidRPr="00CA29C5">
        <w:t>Försvarsutskottets beredningsansvar</w:t>
      </w:r>
    </w:p>
    <w:p w:rsidR="00663EF0" w:rsidRPr="00CA29C5" w:rsidRDefault="00B267FA" w:rsidP="00663EF0">
      <w:pPr>
        <w:pStyle w:val="Normaltindrag"/>
        <w:numPr>
          <w:ilvl w:val="0"/>
          <w:numId w:val="12"/>
        </w:numPr>
      </w:pPr>
      <w:r w:rsidRPr="00CA29C5">
        <w:t>Beredningen av EU-</w:t>
      </w:r>
      <w:r w:rsidR="00663EF0" w:rsidRPr="00CA29C5">
        <w:t>ärenden</w:t>
      </w:r>
    </w:p>
    <w:p w:rsidR="00663EF0" w:rsidRPr="00CA29C5" w:rsidRDefault="00663EF0" w:rsidP="00663EF0">
      <w:pPr>
        <w:pStyle w:val="Normaltindrag"/>
        <w:numPr>
          <w:ilvl w:val="0"/>
          <w:numId w:val="12"/>
        </w:numPr>
      </w:pPr>
      <w:r w:rsidRPr="00CA29C5">
        <w:t xml:space="preserve">Tolkresurser vid interparlamentariskt </w:t>
      </w:r>
      <w:r w:rsidR="00AF24A8" w:rsidRPr="00CA29C5">
        <w:t>sam</w:t>
      </w:r>
      <w:r w:rsidRPr="00CA29C5">
        <w:t>arbete</w:t>
      </w:r>
      <w:r w:rsidR="00996115" w:rsidRPr="00CA29C5">
        <w:t>.</w:t>
      </w:r>
    </w:p>
    <w:p w:rsidR="00663EF0" w:rsidRPr="00CA29C5" w:rsidRDefault="00663EF0" w:rsidP="00663EF0">
      <w:pPr>
        <w:pStyle w:val="R2"/>
      </w:pPr>
      <w:r w:rsidRPr="00CA29C5">
        <w:t>Försvarsutskottets beredningsansvar</w:t>
      </w:r>
    </w:p>
    <w:p w:rsidR="00513553" w:rsidRPr="00CA29C5" w:rsidRDefault="00513553" w:rsidP="00513553">
      <w:r w:rsidRPr="00CA29C5">
        <w:t>Genom den säkerhetspolitiska omgestaltningen i Europa har det skapats bättre möjlighet att uppnå en bredare helhetssyn på nationella hot och samhä</w:t>
      </w:r>
      <w:r w:rsidRPr="00CA29C5">
        <w:t>l</w:t>
      </w:r>
      <w:r w:rsidRPr="00CA29C5">
        <w:t>lets säkerhet, och nå en effektivare användning av samhällets resurser än tidigare. Samhällets säkerhet och krisberedskap är i</w:t>
      </w:r>
      <w:r w:rsidR="002A2971" w:rsidRPr="00CA29C5">
        <w:t xml:space="preserve"> </w:t>
      </w:r>
      <w:r w:rsidRPr="00CA29C5">
        <w:t>dag inte relatera</w:t>
      </w:r>
      <w:r w:rsidR="00996115" w:rsidRPr="00CA29C5">
        <w:t>de</w:t>
      </w:r>
      <w:r w:rsidRPr="00CA29C5">
        <w:t xml:space="preserve"> till krigsförhå</w:t>
      </w:r>
      <w:r w:rsidRPr="00CA29C5">
        <w:t>l</w:t>
      </w:r>
      <w:r w:rsidRPr="00CA29C5">
        <w:t>landen i samma utsträckning som tidigare. Ett bredare spektrum av hot än tidigare har legat till grund för de senaste årens försvarspolitiska ställningst</w:t>
      </w:r>
      <w:r w:rsidRPr="00CA29C5">
        <w:t>a</w:t>
      </w:r>
      <w:r w:rsidRPr="00CA29C5">
        <w:t xml:space="preserve">ganden. </w:t>
      </w:r>
    </w:p>
    <w:p w:rsidR="00DC7AFD" w:rsidRPr="00CA29C5" w:rsidRDefault="00DC7AFD" w:rsidP="00DC7AFD">
      <w:r w:rsidRPr="00CA29C5">
        <w:t xml:space="preserve">Försvarsutskottet har </w:t>
      </w:r>
      <w:r w:rsidR="0032740B" w:rsidRPr="00CA29C5">
        <w:t xml:space="preserve">kommit att få </w:t>
      </w:r>
      <w:r w:rsidRPr="00CA29C5">
        <w:t xml:space="preserve">en central roll i riksdagens </w:t>
      </w:r>
      <w:r w:rsidR="00513553" w:rsidRPr="00CA29C5">
        <w:t xml:space="preserve">beredning </w:t>
      </w:r>
      <w:r w:rsidRPr="00CA29C5">
        <w:t xml:space="preserve">av </w:t>
      </w:r>
      <w:r w:rsidR="00513553" w:rsidRPr="00CA29C5">
        <w:t xml:space="preserve">de övergripande </w:t>
      </w:r>
      <w:r w:rsidRPr="00CA29C5">
        <w:t>sårbarhetsfrågorna</w:t>
      </w:r>
      <w:r w:rsidR="00513553" w:rsidRPr="00CA29C5">
        <w:t>.</w:t>
      </w:r>
      <w:r w:rsidRPr="00CA29C5">
        <w:t xml:space="preserve"> </w:t>
      </w:r>
      <w:r w:rsidR="00513553" w:rsidRPr="00CA29C5">
        <w:t>U</w:t>
      </w:r>
      <w:r w:rsidRPr="00CA29C5">
        <w:t>tskottet anser</w:t>
      </w:r>
      <w:r w:rsidR="00513553" w:rsidRPr="00CA29C5">
        <w:t xml:space="preserve"> emellertid</w:t>
      </w:r>
      <w:r w:rsidRPr="00CA29C5">
        <w:t>, liksom rik</w:t>
      </w:r>
      <w:r w:rsidRPr="00CA29C5">
        <w:t>s</w:t>
      </w:r>
      <w:r w:rsidRPr="00CA29C5">
        <w:t>dag</w:t>
      </w:r>
      <w:r w:rsidRPr="00CA29C5">
        <w:t>s</w:t>
      </w:r>
      <w:r w:rsidRPr="00CA29C5">
        <w:t xml:space="preserve">kommittén, att mer kan göras så att </w:t>
      </w:r>
      <w:r w:rsidR="00513553" w:rsidRPr="00CA29C5">
        <w:t>riksdagens arbete med frågor som rör samhällets säkerhet främjar en helhetssyn</w:t>
      </w:r>
      <w:r w:rsidRPr="00CA29C5">
        <w:t>. Ett utskott med säkerhet och b</w:t>
      </w:r>
      <w:r w:rsidRPr="00CA29C5">
        <w:t>e</w:t>
      </w:r>
      <w:r w:rsidRPr="00CA29C5">
        <w:t xml:space="preserve">redskap som ett viktigt ansvarsområde kan bereda ärenden som rör nationell säkerhet och </w:t>
      </w:r>
      <w:r w:rsidR="00513553" w:rsidRPr="00CA29C5">
        <w:t>hantering av nationella kriser</w:t>
      </w:r>
      <w:r w:rsidRPr="00CA29C5">
        <w:t xml:space="preserve"> i ett bredare pe</w:t>
      </w:r>
      <w:r w:rsidRPr="00CA29C5">
        <w:t>r</w:t>
      </w:r>
      <w:r w:rsidRPr="00CA29C5">
        <w:t xml:space="preserve">spektiv. </w:t>
      </w:r>
    </w:p>
    <w:p w:rsidR="00513553" w:rsidRPr="00CA29C5" w:rsidRDefault="00DC7AFD" w:rsidP="00513553">
      <w:pPr>
        <w:pStyle w:val="Normaltindrag"/>
      </w:pPr>
      <w:r w:rsidRPr="00CA29C5">
        <w:t xml:space="preserve">En utveckling där säkerhetsfrågorna </w:t>
      </w:r>
      <w:r w:rsidR="00513553" w:rsidRPr="00CA29C5">
        <w:t xml:space="preserve">bereds </w:t>
      </w:r>
      <w:r w:rsidRPr="00CA29C5">
        <w:t>mer samlat ligger också i li</w:t>
      </w:r>
      <w:r w:rsidRPr="00CA29C5">
        <w:t>n</w:t>
      </w:r>
      <w:r w:rsidRPr="00CA29C5">
        <w:t>je med utvecklingen inom EU, där ett mer helhetsorienterat system för uni</w:t>
      </w:r>
      <w:r w:rsidRPr="00CA29C5">
        <w:t>o</w:t>
      </w:r>
      <w:r w:rsidRPr="00CA29C5">
        <w:t>nens fortlöpande säk</w:t>
      </w:r>
      <w:r w:rsidR="00BF0FDF" w:rsidRPr="00CA29C5">
        <w:t>erhetsarbete håller på att växa</w:t>
      </w:r>
      <w:r w:rsidR="002A2971" w:rsidRPr="00CA29C5">
        <w:t xml:space="preserve"> fram, med bl.</w:t>
      </w:r>
      <w:r w:rsidRPr="00CA29C5">
        <w:t>a</w:t>
      </w:r>
      <w:r w:rsidR="002A2971" w:rsidRPr="00CA29C5">
        <w:t>.</w:t>
      </w:r>
      <w:r w:rsidRPr="00CA29C5">
        <w:t xml:space="preserve"> fler sektors</w:t>
      </w:r>
      <w:r w:rsidR="00996115" w:rsidRPr="00CA29C5">
        <w:t>-</w:t>
      </w:r>
      <w:r w:rsidRPr="00CA29C5">
        <w:t>övergripande handlingsplaner och samordningsfunktioner. Därmed underlä</w:t>
      </w:r>
      <w:r w:rsidRPr="00CA29C5">
        <w:t>t</w:t>
      </w:r>
      <w:r w:rsidRPr="00CA29C5">
        <w:t xml:space="preserve">tas inte bara det nationella arbetet med säkerhetsfrågorna, utan även ett aktivt och pådrivande engagemang i utvecklingen av EU:s säkerhetsarbete. </w:t>
      </w:r>
    </w:p>
    <w:p w:rsidR="00062E39" w:rsidRPr="00CA29C5" w:rsidRDefault="00062E39" w:rsidP="00513553">
      <w:r w:rsidRPr="00CA29C5">
        <w:lastRenderedPageBreak/>
        <w:t>Riksdagskommittén</w:t>
      </w:r>
      <w:r w:rsidR="00364F2A" w:rsidRPr="00CA29C5">
        <w:t xml:space="preserve">s förslag </w:t>
      </w:r>
      <w:r w:rsidR="00BF0FDF" w:rsidRPr="00CA29C5">
        <w:t>att till försvarsutskottet föra</w:t>
      </w:r>
      <w:r w:rsidR="001144EA" w:rsidRPr="00CA29C5">
        <w:t xml:space="preserve"> beredningen av vissa ärend</w:t>
      </w:r>
      <w:r w:rsidR="001144EA" w:rsidRPr="00CA29C5">
        <w:t>e</w:t>
      </w:r>
      <w:r w:rsidR="001144EA" w:rsidRPr="00CA29C5">
        <w:t>grupper med anknytning till samhällets sårbarhet</w:t>
      </w:r>
      <w:r w:rsidR="00364F2A" w:rsidRPr="00CA29C5">
        <w:t xml:space="preserve"> välkomnas</w:t>
      </w:r>
      <w:r w:rsidR="00513553" w:rsidRPr="00CA29C5">
        <w:t xml:space="preserve"> därför</w:t>
      </w:r>
      <w:r w:rsidR="001144EA" w:rsidRPr="00CA29C5">
        <w:t xml:space="preserve">. </w:t>
      </w:r>
      <w:r w:rsidRPr="00CA29C5">
        <w:rPr>
          <w:szCs w:val="19"/>
        </w:rPr>
        <w:t>Även om det är svårt att till ett utskott överföra beredningen av alla</w:t>
      </w:r>
      <w:r w:rsidRPr="00CA29C5">
        <w:t xml:space="preserve"> </w:t>
      </w:r>
      <w:r w:rsidRPr="00CA29C5">
        <w:rPr>
          <w:szCs w:val="19"/>
        </w:rPr>
        <w:t>ärenden som gäller skydd mot olyc</w:t>
      </w:r>
      <w:r w:rsidRPr="00CA29C5">
        <w:rPr>
          <w:szCs w:val="19"/>
        </w:rPr>
        <w:t>k</w:t>
      </w:r>
      <w:r w:rsidRPr="00CA29C5">
        <w:rPr>
          <w:szCs w:val="19"/>
        </w:rPr>
        <w:t>or</w:t>
      </w:r>
      <w:r w:rsidR="0070436F" w:rsidRPr="00CA29C5">
        <w:rPr>
          <w:szCs w:val="19"/>
        </w:rPr>
        <w:t>,</w:t>
      </w:r>
      <w:r w:rsidRPr="00CA29C5">
        <w:rPr>
          <w:szCs w:val="19"/>
        </w:rPr>
        <w:t xml:space="preserve"> eller syftar till att minska samhällets</w:t>
      </w:r>
      <w:r w:rsidRPr="00CA29C5">
        <w:t xml:space="preserve"> </w:t>
      </w:r>
      <w:r w:rsidRPr="00CA29C5">
        <w:rPr>
          <w:szCs w:val="19"/>
        </w:rPr>
        <w:t>sårbarhet</w:t>
      </w:r>
      <w:r w:rsidR="0070436F" w:rsidRPr="00CA29C5">
        <w:rPr>
          <w:szCs w:val="19"/>
        </w:rPr>
        <w:t>,</w:t>
      </w:r>
      <w:r w:rsidRPr="00CA29C5">
        <w:rPr>
          <w:szCs w:val="19"/>
        </w:rPr>
        <w:t xml:space="preserve"> ligger det ett värde i att </w:t>
      </w:r>
      <w:r w:rsidR="00513553" w:rsidRPr="00CA29C5">
        <w:rPr>
          <w:szCs w:val="19"/>
        </w:rPr>
        <w:t xml:space="preserve">ett </w:t>
      </w:r>
      <w:r w:rsidRPr="00CA29C5">
        <w:rPr>
          <w:szCs w:val="19"/>
        </w:rPr>
        <w:t>utskott har ansvaret för beredningen av</w:t>
      </w:r>
      <w:r w:rsidRPr="00CA29C5">
        <w:t xml:space="preserve"> </w:t>
      </w:r>
      <w:r w:rsidRPr="00CA29C5">
        <w:rPr>
          <w:i/>
          <w:szCs w:val="19"/>
        </w:rPr>
        <w:t>de öve</w:t>
      </w:r>
      <w:r w:rsidRPr="00CA29C5">
        <w:rPr>
          <w:i/>
          <w:szCs w:val="19"/>
        </w:rPr>
        <w:t>r</w:t>
      </w:r>
      <w:r w:rsidRPr="00CA29C5">
        <w:rPr>
          <w:i/>
          <w:szCs w:val="19"/>
        </w:rPr>
        <w:t>gripande frågorna</w:t>
      </w:r>
      <w:r w:rsidRPr="00CA29C5">
        <w:rPr>
          <w:szCs w:val="19"/>
        </w:rPr>
        <w:t xml:space="preserve"> på dessa områden.</w:t>
      </w:r>
      <w:r w:rsidR="001C230B" w:rsidRPr="00CA29C5">
        <w:rPr>
          <w:szCs w:val="19"/>
        </w:rPr>
        <w:t xml:space="preserve"> Riksdagskommitténs förslag </w:t>
      </w:r>
      <w:r w:rsidR="00E108A6" w:rsidRPr="00CA29C5">
        <w:rPr>
          <w:szCs w:val="19"/>
        </w:rPr>
        <w:t xml:space="preserve">till omfördelning av ansvaret för vissa ärendegrupper </w:t>
      </w:r>
      <w:r w:rsidR="001C230B" w:rsidRPr="00CA29C5">
        <w:rPr>
          <w:szCs w:val="19"/>
        </w:rPr>
        <w:t>f</w:t>
      </w:r>
      <w:r w:rsidR="00AC1DC9" w:rsidRPr="00CA29C5">
        <w:rPr>
          <w:szCs w:val="19"/>
        </w:rPr>
        <w:t>r</w:t>
      </w:r>
      <w:r w:rsidR="001C230B" w:rsidRPr="00CA29C5">
        <w:rPr>
          <w:szCs w:val="19"/>
        </w:rPr>
        <w:t>ämjar en helhetssyn och en effektivare användning av statens medel.</w:t>
      </w:r>
    </w:p>
    <w:p w:rsidR="00A42283" w:rsidRPr="00CA29C5" w:rsidRDefault="001144EA" w:rsidP="00062E39">
      <w:pPr>
        <w:pStyle w:val="Normaltindrag"/>
      </w:pPr>
      <w:r w:rsidRPr="00CA29C5">
        <w:t xml:space="preserve">Utskottet biträder </w:t>
      </w:r>
      <w:r w:rsidR="00C44B77" w:rsidRPr="00CA29C5">
        <w:t xml:space="preserve">sålunda </w:t>
      </w:r>
      <w:r w:rsidRPr="00CA29C5">
        <w:t xml:space="preserve">förslaget att </w:t>
      </w:r>
      <w:r w:rsidR="00A42283" w:rsidRPr="00CA29C5">
        <w:t>från miljö- och jordbruksutskottets b</w:t>
      </w:r>
      <w:r w:rsidR="00A42283" w:rsidRPr="00CA29C5">
        <w:t>e</w:t>
      </w:r>
      <w:r w:rsidR="00A42283" w:rsidRPr="00CA29C5">
        <w:t xml:space="preserve">redningsområde ärenden rörande </w:t>
      </w:r>
      <w:r w:rsidR="00A42283" w:rsidRPr="00CA29C5">
        <w:rPr>
          <w:i/>
          <w:iCs/>
        </w:rPr>
        <w:t>kärnteknisk säkerhet och strålningsskydd,</w:t>
      </w:r>
      <w:r w:rsidR="00A42283" w:rsidRPr="00CA29C5">
        <w:t xml:space="preserve"> från näringsutskottet </w:t>
      </w:r>
      <w:r w:rsidR="00A42283" w:rsidRPr="00CA29C5">
        <w:rPr>
          <w:i/>
          <w:iCs/>
        </w:rPr>
        <w:t xml:space="preserve">elsäkerhetsfrågor </w:t>
      </w:r>
      <w:r w:rsidR="00A42283" w:rsidRPr="00CA29C5">
        <w:t>samt från trafikutskottet frågor röra</w:t>
      </w:r>
      <w:r w:rsidR="00A42283" w:rsidRPr="00CA29C5">
        <w:t>n</w:t>
      </w:r>
      <w:r w:rsidR="00A42283" w:rsidRPr="00CA29C5">
        <w:t xml:space="preserve">de </w:t>
      </w:r>
      <w:r w:rsidR="00A42283" w:rsidRPr="00CA29C5">
        <w:rPr>
          <w:i/>
          <w:iCs/>
        </w:rPr>
        <w:t xml:space="preserve">IT-säkerhet </w:t>
      </w:r>
      <w:r w:rsidR="00A42283" w:rsidRPr="00CA29C5">
        <w:t>och budge</w:t>
      </w:r>
      <w:r w:rsidR="00A42283" w:rsidRPr="00CA29C5">
        <w:t>t</w:t>
      </w:r>
      <w:r w:rsidR="00A42283" w:rsidRPr="00CA29C5">
        <w:t>ansvaret för S</w:t>
      </w:r>
      <w:r w:rsidR="00A42283" w:rsidRPr="00CA29C5">
        <w:rPr>
          <w:i/>
          <w:iCs/>
        </w:rPr>
        <w:t xml:space="preserve">tatens haverikommission </w:t>
      </w:r>
      <w:r w:rsidR="00A42283" w:rsidRPr="00CA29C5">
        <w:t xml:space="preserve">och </w:t>
      </w:r>
      <w:r w:rsidR="00A42283" w:rsidRPr="00CA29C5">
        <w:rPr>
          <w:i/>
          <w:iCs/>
        </w:rPr>
        <w:t>SOS</w:t>
      </w:r>
      <w:r w:rsidR="00A42283" w:rsidRPr="00CA29C5">
        <w:t xml:space="preserve"> </w:t>
      </w:r>
      <w:r w:rsidR="00A42283" w:rsidRPr="00CA29C5">
        <w:rPr>
          <w:i/>
          <w:iCs/>
        </w:rPr>
        <w:t>Alarm Sverige AB.</w:t>
      </w:r>
      <w:r w:rsidRPr="00CA29C5">
        <w:t xml:space="preserve"> </w:t>
      </w:r>
      <w:r w:rsidR="00A42283" w:rsidRPr="00CA29C5">
        <w:t>Beredningsansvaret för speciell lagstiftning som syftar till att minska samhällets sårbarhet tillförs försvarsutskottets</w:t>
      </w:r>
      <w:r w:rsidR="00A61D8B" w:rsidRPr="00CA29C5">
        <w:t xml:space="preserve"> </w:t>
      </w:r>
      <w:r w:rsidR="00A42283" w:rsidRPr="00CA29C5">
        <w:t>beredningso</w:t>
      </w:r>
      <w:r w:rsidR="00A42283" w:rsidRPr="00CA29C5">
        <w:t>m</w:t>
      </w:r>
      <w:r w:rsidR="00A42283" w:rsidRPr="00CA29C5">
        <w:t>råde.</w:t>
      </w:r>
    </w:p>
    <w:p w:rsidR="003507BC" w:rsidRPr="00CA29C5" w:rsidRDefault="003507BC" w:rsidP="00C44B77">
      <w:pPr>
        <w:pStyle w:val="Normaltindrag"/>
      </w:pPr>
      <w:r w:rsidRPr="00CA29C5">
        <w:t xml:space="preserve">Även fortsättningsvis bör dock andra utskott bereda ärenden om säkerhet och beredskap inom </w:t>
      </w:r>
      <w:r w:rsidRPr="00CA29C5">
        <w:rPr>
          <w:i/>
        </w:rPr>
        <w:t>sina</w:t>
      </w:r>
      <w:r w:rsidRPr="00CA29C5">
        <w:t xml:space="preserve"> respektive a</w:t>
      </w:r>
      <w:r w:rsidRPr="00CA29C5">
        <w:t>n</w:t>
      </w:r>
      <w:r w:rsidRPr="00CA29C5">
        <w:t>svarsområden.</w:t>
      </w:r>
    </w:p>
    <w:p w:rsidR="00364F2A" w:rsidRPr="00CA29C5" w:rsidRDefault="00364F2A" w:rsidP="00513553">
      <w:r w:rsidRPr="00CA29C5">
        <w:t xml:space="preserve">Resurser som avsätts för totalförsvarsändamål inom </w:t>
      </w:r>
      <w:r w:rsidRPr="00CA29C5">
        <w:rPr>
          <w:i/>
        </w:rPr>
        <w:t>utgiftsområde 6 Fö</w:t>
      </w:r>
      <w:r w:rsidRPr="00CA29C5">
        <w:rPr>
          <w:i/>
        </w:rPr>
        <w:t>r</w:t>
      </w:r>
      <w:r w:rsidRPr="00CA29C5">
        <w:rPr>
          <w:i/>
        </w:rPr>
        <w:t>svar och beredskap mot sårbarhet</w:t>
      </w:r>
      <w:r w:rsidRPr="00CA29C5">
        <w:t>, kan redan i</w:t>
      </w:r>
      <w:r w:rsidR="00996115" w:rsidRPr="00CA29C5">
        <w:t xml:space="preserve"> </w:t>
      </w:r>
      <w:r w:rsidRPr="00CA29C5">
        <w:t>dag disponeras för åtgä</w:t>
      </w:r>
      <w:r w:rsidRPr="00CA29C5">
        <w:t>r</w:t>
      </w:r>
      <w:r w:rsidRPr="00CA29C5">
        <w:t>der för att möta andra hot än de som har sitt ursprung i krig och krigsfara</w:t>
      </w:r>
      <w:r w:rsidR="002A2971" w:rsidRPr="00CA29C5">
        <w:t xml:space="preserve">. </w:t>
      </w:r>
      <w:r w:rsidR="00C60D05" w:rsidRPr="00CA29C5">
        <w:t>Utskottet delar rik</w:t>
      </w:r>
      <w:r w:rsidR="00C60D05" w:rsidRPr="00CA29C5">
        <w:t>s</w:t>
      </w:r>
      <w:r w:rsidR="00C60D05" w:rsidRPr="00CA29C5">
        <w:t>dagskommitténs bedömning att den föreslag</w:t>
      </w:r>
      <w:r w:rsidR="00BF0FDF" w:rsidRPr="00CA29C5">
        <w:t>na</w:t>
      </w:r>
      <w:r w:rsidR="00C60D05" w:rsidRPr="00CA29C5">
        <w:t xml:space="preserve"> förändringen av ärendeförde</w:t>
      </w:r>
      <w:r w:rsidR="00C60D05" w:rsidRPr="00CA29C5">
        <w:t>l</w:t>
      </w:r>
      <w:r w:rsidR="00C60D05" w:rsidRPr="00CA29C5">
        <w:t xml:space="preserve">ningen mellan utskotten även </w:t>
      </w:r>
      <w:r w:rsidR="00E108A6" w:rsidRPr="00CA29C5">
        <w:t xml:space="preserve">bör få </w:t>
      </w:r>
      <w:r w:rsidR="00C60D05" w:rsidRPr="00CA29C5">
        <w:t>konsekvenser för innehållet i utgiftsområd</w:t>
      </w:r>
      <w:r w:rsidR="00C60D05" w:rsidRPr="00CA29C5">
        <w:t>e</w:t>
      </w:r>
      <w:r w:rsidR="00C60D05" w:rsidRPr="00CA29C5">
        <w:t xml:space="preserve">na. </w:t>
      </w:r>
      <w:r w:rsidRPr="00CA29C5">
        <w:t xml:space="preserve">Utskottet </w:t>
      </w:r>
      <w:r w:rsidR="00C60D05" w:rsidRPr="00CA29C5">
        <w:t xml:space="preserve">är inte främmande för att </w:t>
      </w:r>
      <w:r w:rsidR="0032740B" w:rsidRPr="00CA29C5">
        <w:t xml:space="preserve">även </w:t>
      </w:r>
      <w:r w:rsidRPr="00CA29C5">
        <w:t>utgifts</w:t>
      </w:r>
      <w:r w:rsidR="00C60D05" w:rsidRPr="00CA29C5">
        <w:t>områdets indelning i politikområden</w:t>
      </w:r>
      <w:r w:rsidR="0032740B" w:rsidRPr="00CA29C5">
        <w:t>,</w:t>
      </w:r>
      <w:r w:rsidR="00C60D05" w:rsidRPr="00CA29C5">
        <w:t xml:space="preserve"> bör </w:t>
      </w:r>
      <w:r w:rsidRPr="00CA29C5">
        <w:t>ses över för att möjliggöra en mer relevant sty</w:t>
      </w:r>
      <w:r w:rsidRPr="00CA29C5">
        <w:t>r</w:t>
      </w:r>
      <w:r w:rsidRPr="00CA29C5">
        <w:t>ning av verksamhet som syftar till att stärka samhällets säkerhet.</w:t>
      </w:r>
    </w:p>
    <w:p w:rsidR="002C194A" w:rsidRPr="00CA29C5" w:rsidRDefault="002C194A" w:rsidP="002C194A">
      <w:r w:rsidRPr="00CA29C5">
        <w:t xml:space="preserve">Sverige medverkan i </w:t>
      </w:r>
      <w:r w:rsidR="00E108A6" w:rsidRPr="00CA29C5">
        <w:t xml:space="preserve">utvecklingen av </w:t>
      </w:r>
      <w:r w:rsidRPr="00CA29C5">
        <w:t xml:space="preserve">EU:s </w:t>
      </w:r>
      <w:r w:rsidR="00EE3171" w:rsidRPr="00CA29C5">
        <w:t xml:space="preserve">mellanstatliga </w:t>
      </w:r>
      <w:r w:rsidR="008E3BFE" w:rsidRPr="00CA29C5">
        <w:t xml:space="preserve">utrikes-, </w:t>
      </w:r>
      <w:r w:rsidRPr="00CA29C5">
        <w:t xml:space="preserve">säkerhets- och försvarspolitik och vårt deltagande i </w:t>
      </w:r>
      <w:r w:rsidR="00E108A6" w:rsidRPr="00CA29C5">
        <w:t xml:space="preserve">FN:s, </w:t>
      </w:r>
      <w:r w:rsidRPr="00CA29C5">
        <w:t xml:space="preserve">EU:s </w:t>
      </w:r>
      <w:r w:rsidR="00E108A6" w:rsidRPr="00CA29C5">
        <w:t xml:space="preserve">och Natos </w:t>
      </w:r>
      <w:r w:rsidR="008E3BFE" w:rsidRPr="00CA29C5">
        <w:t>fredsfrämja</w:t>
      </w:r>
      <w:r w:rsidR="008E3BFE" w:rsidRPr="00CA29C5">
        <w:t>n</w:t>
      </w:r>
      <w:r w:rsidR="008E3BFE" w:rsidRPr="00CA29C5">
        <w:t xml:space="preserve">de insatser medför </w:t>
      </w:r>
      <w:r w:rsidRPr="00CA29C5">
        <w:t>betydande konsekvenser för Sveriges fö</w:t>
      </w:r>
      <w:r w:rsidRPr="00CA29C5">
        <w:t>r</w:t>
      </w:r>
      <w:r w:rsidRPr="00CA29C5">
        <w:t xml:space="preserve">svarspolitik. De utrikes-, säkerhets- och försvarspolitiska sambanden har </w:t>
      </w:r>
      <w:r w:rsidR="00E108A6" w:rsidRPr="00CA29C5">
        <w:t xml:space="preserve">efterhand </w:t>
      </w:r>
      <w:r w:rsidRPr="00CA29C5">
        <w:t>kommit att bli större än vad som tidigare varit fallet.</w:t>
      </w:r>
      <w:r w:rsidR="00F6480C" w:rsidRPr="00CA29C5">
        <w:t xml:space="preserve"> Utgifterna både för uppbyggnaden av den militära insatsförmågan </w:t>
      </w:r>
      <w:r w:rsidR="00B267FA" w:rsidRPr="00CA29C5">
        <w:t xml:space="preserve">och </w:t>
      </w:r>
      <w:r w:rsidR="00F6480C" w:rsidRPr="00CA29C5">
        <w:t>för truppinsatserna utomlands finansieras från anslag inom försvarsutskottets beredningsområde.</w:t>
      </w:r>
      <w:r w:rsidRPr="00CA29C5">
        <w:t xml:space="preserve"> På det utrikes- och s</w:t>
      </w:r>
      <w:r w:rsidRPr="00CA29C5">
        <w:t>ä</w:t>
      </w:r>
      <w:r w:rsidRPr="00CA29C5">
        <w:t>kerhetspolitiska området, samt i fråga om insättandet av militära förband utomlands för fredsfrämjande ändamål</w:t>
      </w:r>
      <w:r w:rsidR="00E108A6" w:rsidRPr="00CA29C5">
        <w:t>,</w:t>
      </w:r>
      <w:r w:rsidRPr="00CA29C5">
        <w:t xml:space="preserve"> har regeringsförslagen </w:t>
      </w:r>
      <w:r w:rsidR="008E3BFE" w:rsidRPr="00CA29C5">
        <w:t>– som berör både utrikes- och försva</w:t>
      </w:r>
      <w:r w:rsidR="00996115" w:rsidRPr="00CA29C5">
        <w:t>rsutskottens beredningsområden –</w:t>
      </w:r>
      <w:r w:rsidR="008E3BFE" w:rsidRPr="00CA29C5">
        <w:t xml:space="preserve"> </w:t>
      </w:r>
      <w:r w:rsidRPr="00CA29C5">
        <w:t>därför under sen</w:t>
      </w:r>
      <w:r w:rsidRPr="00CA29C5">
        <w:t>a</w:t>
      </w:r>
      <w:r w:rsidRPr="00CA29C5">
        <w:t>re år regelmässigt</w:t>
      </w:r>
      <w:r w:rsidR="00996115" w:rsidRPr="00CA29C5">
        <w:t xml:space="preserve"> behandlats i s</w:t>
      </w:r>
      <w:r w:rsidRPr="00CA29C5">
        <w:t>ammansatt utrikes- och försvarsutskott. Utsko</w:t>
      </w:r>
      <w:r w:rsidRPr="00CA29C5">
        <w:t>t</w:t>
      </w:r>
      <w:r w:rsidRPr="00CA29C5">
        <w:t xml:space="preserve">tet delar </w:t>
      </w:r>
      <w:r w:rsidR="00996115" w:rsidRPr="00CA29C5">
        <w:t>R</w:t>
      </w:r>
      <w:r w:rsidRPr="00CA29C5">
        <w:t>iksdagskommitténs mening att den ordningen fungerat väl och utgår från att den samverkansformen kommer att utnyttjas även i fortsättnin</w:t>
      </w:r>
      <w:r w:rsidRPr="00CA29C5">
        <w:t>g</w:t>
      </w:r>
      <w:r w:rsidRPr="00CA29C5">
        <w:t>en.</w:t>
      </w:r>
    </w:p>
    <w:p w:rsidR="00663EF0" w:rsidRPr="00CA29C5" w:rsidRDefault="002C194A" w:rsidP="009D4A18">
      <w:pPr>
        <w:pStyle w:val="R2"/>
      </w:pPr>
      <w:r w:rsidRPr="00CA29C5">
        <w:t>B</w:t>
      </w:r>
      <w:r w:rsidR="009D4A18" w:rsidRPr="00CA29C5">
        <w:t>eredningen av EU-ärenden</w:t>
      </w:r>
    </w:p>
    <w:p w:rsidR="00F53A97" w:rsidRPr="00CA29C5" w:rsidRDefault="00996115" w:rsidP="00AC2646">
      <w:r w:rsidRPr="00CA29C5">
        <w:t>Utskottet välkomnar R</w:t>
      </w:r>
      <w:r w:rsidR="009D4A18" w:rsidRPr="00CA29C5">
        <w:t>iksdagskommitténs förslag som innebär ett tydligare ansvar för</w:t>
      </w:r>
      <w:r w:rsidR="002114CD" w:rsidRPr="00CA29C5">
        <w:t xml:space="preserve"> och inflytande över</w:t>
      </w:r>
      <w:r w:rsidR="009D4A18" w:rsidRPr="00CA29C5">
        <w:t xml:space="preserve"> EU-frågorna för fackutskotten. </w:t>
      </w:r>
      <w:r w:rsidR="00B23CFC" w:rsidRPr="00CA29C5">
        <w:t>Det är angel</w:t>
      </w:r>
      <w:r w:rsidR="00B23CFC" w:rsidRPr="00CA29C5">
        <w:t>ä</w:t>
      </w:r>
      <w:r w:rsidR="00B23CFC" w:rsidRPr="00CA29C5">
        <w:t xml:space="preserve">get att fackutskottens inflytande över regeringens samråd med riksdagen i EU-frågorna stärks. </w:t>
      </w:r>
      <w:r w:rsidR="009D4A18" w:rsidRPr="00CA29C5">
        <w:t xml:space="preserve">Utskottet välkomnar </w:t>
      </w:r>
      <w:bookmarkStart w:id="2" w:name="TextStart"/>
      <w:bookmarkEnd w:id="2"/>
      <w:r w:rsidR="00B23CFC" w:rsidRPr="00CA29C5">
        <w:t xml:space="preserve">därför </w:t>
      </w:r>
      <w:r w:rsidR="009D4A18" w:rsidRPr="00CA29C5">
        <w:t>förslaget till den nya r</w:t>
      </w:r>
      <w:r w:rsidR="009D4A18" w:rsidRPr="00CA29C5">
        <w:t>e</w:t>
      </w:r>
      <w:r w:rsidR="009D4A18" w:rsidRPr="00CA29C5">
        <w:t>gleringen i riksdagsordningen 10 kap</w:t>
      </w:r>
      <w:r w:rsidR="00B23CFC" w:rsidRPr="00CA29C5">
        <w:t>.</w:t>
      </w:r>
      <w:r w:rsidR="009D4A18" w:rsidRPr="00CA29C5">
        <w:t xml:space="preserve"> 3 § som föreslås ange att regeringen skall överlägga med utskotten i de frågor rörande arbetet i EU som utskotten bestämmer. </w:t>
      </w:r>
    </w:p>
    <w:p w:rsidR="006918E5" w:rsidRPr="00CA29C5" w:rsidRDefault="00B23CFC" w:rsidP="006918E5">
      <w:pPr>
        <w:pStyle w:val="Normaltindrag"/>
      </w:pPr>
      <w:r w:rsidRPr="00CA29C5">
        <w:t xml:space="preserve">Utskottet vill understryka vikten av att </w:t>
      </w:r>
      <w:r w:rsidR="000D2C0E" w:rsidRPr="00CA29C5">
        <w:t>saksamrådet</w:t>
      </w:r>
      <w:r w:rsidRPr="00CA29C5">
        <w:t xml:space="preserve"> med utskotten</w:t>
      </w:r>
      <w:r w:rsidR="000D2C0E" w:rsidRPr="00CA29C5">
        <w:t>,</w:t>
      </w:r>
      <w:r w:rsidRPr="00CA29C5">
        <w:t xml:space="preserve"> </w:t>
      </w:r>
      <w:r w:rsidR="000D2C0E" w:rsidRPr="00CA29C5">
        <w:rPr>
          <w:i/>
        </w:rPr>
        <w:t>dels</w:t>
      </w:r>
      <w:r w:rsidR="000D2C0E" w:rsidRPr="00CA29C5">
        <w:t xml:space="preserve"> </w:t>
      </w:r>
      <w:r w:rsidRPr="00CA29C5">
        <w:t>sker på politisk nivå så att utskottens led</w:t>
      </w:r>
      <w:r w:rsidR="000D2C0E" w:rsidRPr="00CA29C5">
        <w:t>am</w:t>
      </w:r>
      <w:r w:rsidRPr="00CA29C5">
        <w:t xml:space="preserve">öter </w:t>
      </w:r>
      <w:r w:rsidR="000D2C0E" w:rsidRPr="00CA29C5">
        <w:t xml:space="preserve">ges möjlighet att </w:t>
      </w:r>
      <w:r w:rsidR="00034F94" w:rsidRPr="00CA29C5">
        <w:t xml:space="preserve">överlägga med och ge sina synpunkter till berört statsråd, </w:t>
      </w:r>
      <w:r w:rsidR="00034F94" w:rsidRPr="00CA29C5">
        <w:rPr>
          <w:i/>
        </w:rPr>
        <w:t>dels</w:t>
      </w:r>
      <w:r w:rsidR="00034F94" w:rsidRPr="00CA29C5">
        <w:t xml:space="preserve"> sker </w:t>
      </w:r>
      <w:r w:rsidR="002114CD" w:rsidRPr="00CA29C5">
        <w:t>under tidig fas i EU:s berednings- och beslutsprocess</w:t>
      </w:r>
      <w:r w:rsidR="000D2C0E" w:rsidRPr="00CA29C5">
        <w:t xml:space="preserve">. </w:t>
      </w:r>
      <w:r w:rsidR="00034F94" w:rsidRPr="00CA29C5">
        <w:t xml:space="preserve">Det är angeläget att </w:t>
      </w:r>
      <w:r w:rsidR="002114CD" w:rsidRPr="00CA29C5">
        <w:t xml:space="preserve">utskottens </w:t>
      </w:r>
      <w:r w:rsidR="00BF360C" w:rsidRPr="00CA29C5">
        <w:t>möten med regeringsföreträdare ske</w:t>
      </w:r>
      <w:r w:rsidR="00034F94" w:rsidRPr="00CA29C5">
        <w:t>r</w:t>
      </w:r>
      <w:r w:rsidR="00BF360C" w:rsidRPr="00CA29C5">
        <w:t xml:space="preserve"> i form av överläggningar</w:t>
      </w:r>
      <w:r w:rsidR="006918E5" w:rsidRPr="00CA29C5">
        <w:t>,</w:t>
      </w:r>
      <w:r w:rsidR="00BF360C" w:rsidRPr="00CA29C5">
        <w:t xml:space="preserve"> </w:t>
      </w:r>
      <w:r w:rsidR="00A12B09" w:rsidRPr="00CA29C5">
        <w:t xml:space="preserve">och inte enbart </w:t>
      </w:r>
      <w:r w:rsidR="00676BAA" w:rsidRPr="00CA29C5">
        <w:t xml:space="preserve">blir </w:t>
      </w:r>
      <w:r w:rsidR="00A12B09" w:rsidRPr="00CA29C5">
        <w:t>av informationskaraktär. Därigenom kommer utskotten in tidigt i proce</w:t>
      </w:r>
      <w:r w:rsidR="00A12B09" w:rsidRPr="00CA29C5">
        <w:t>s</w:t>
      </w:r>
      <w:r w:rsidR="00A12B09" w:rsidRPr="00CA29C5">
        <w:t xml:space="preserve">sen och i god tid </w:t>
      </w:r>
      <w:r w:rsidR="00A12B09" w:rsidRPr="00CA29C5">
        <w:rPr>
          <w:i/>
        </w:rPr>
        <w:t>innan</w:t>
      </w:r>
      <w:r w:rsidR="00A12B09" w:rsidRPr="00CA29C5">
        <w:t xml:space="preserve"> frågorna </w:t>
      </w:r>
      <w:r w:rsidR="00B267FA" w:rsidRPr="00CA29C5">
        <w:t xml:space="preserve">slutligen </w:t>
      </w:r>
      <w:r w:rsidR="00A12B09" w:rsidRPr="00CA29C5">
        <w:t xml:space="preserve">kommer </w:t>
      </w:r>
      <w:r w:rsidR="00B267FA" w:rsidRPr="00CA29C5">
        <w:t xml:space="preserve">på </w:t>
      </w:r>
      <w:r w:rsidR="00A12B09" w:rsidRPr="00CA29C5">
        <w:t xml:space="preserve">ministerrådets </w:t>
      </w:r>
      <w:r w:rsidR="00EE3171" w:rsidRPr="00CA29C5">
        <w:t xml:space="preserve">och </w:t>
      </w:r>
      <w:r w:rsidR="00B267FA" w:rsidRPr="00CA29C5">
        <w:t xml:space="preserve">EU-nämndens </w:t>
      </w:r>
      <w:r w:rsidR="00A12B09" w:rsidRPr="00CA29C5">
        <w:t xml:space="preserve">dagordning. </w:t>
      </w:r>
    </w:p>
    <w:p w:rsidR="006918E5" w:rsidRPr="00CA29C5" w:rsidRDefault="002114CD" w:rsidP="006918E5">
      <w:pPr>
        <w:pStyle w:val="Normaltindrag"/>
      </w:pPr>
      <w:r w:rsidRPr="00CA29C5">
        <w:t xml:space="preserve">Den föreslagna ordningen bör enligt utskottets mening </w:t>
      </w:r>
      <w:r w:rsidR="00364F2A" w:rsidRPr="00CA29C5">
        <w:t>leda till ett aktivare delt</w:t>
      </w:r>
      <w:r w:rsidR="00364F2A" w:rsidRPr="00CA29C5">
        <w:t>a</w:t>
      </w:r>
      <w:r w:rsidR="00364F2A" w:rsidRPr="00CA29C5">
        <w:t xml:space="preserve">gande </w:t>
      </w:r>
      <w:r w:rsidR="00034F94" w:rsidRPr="00CA29C5">
        <w:t xml:space="preserve">från ledamöternas sida </w:t>
      </w:r>
      <w:r w:rsidR="00364F2A" w:rsidRPr="00CA29C5">
        <w:t xml:space="preserve">i </w:t>
      </w:r>
      <w:r w:rsidR="00034F94" w:rsidRPr="00CA29C5">
        <w:t>EU-</w:t>
      </w:r>
      <w:r w:rsidR="00364F2A" w:rsidRPr="00CA29C5">
        <w:t xml:space="preserve">frågornas beredning. </w:t>
      </w:r>
      <w:r w:rsidR="006918E5" w:rsidRPr="00CA29C5">
        <w:t xml:space="preserve"> Utskotten och riksdagen kommer </w:t>
      </w:r>
      <w:r w:rsidR="002A2971" w:rsidRPr="00CA29C5">
        <w:t xml:space="preserve">därmed </w:t>
      </w:r>
      <w:r w:rsidR="006918E5" w:rsidRPr="00CA29C5">
        <w:t xml:space="preserve">att ha följt frågorna under en längre period innan det </w:t>
      </w:r>
      <w:r w:rsidR="006918E5" w:rsidRPr="00CA29C5">
        <w:rPr>
          <w:i/>
        </w:rPr>
        <w:t>formella samrådet</w:t>
      </w:r>
      <w:r w:rsidR="006918E5" w:rsidRPr="00CA29C5">
        <w:t xml:space="preserve"> om regeringens position inför beslut i ministerrådet och givandet av </w:t>
      </w:r>
      <w:r w:rsidR="006918E5" w:rsidRPr="00CA29C5">
        <w:rPr>
          <w:i/>
        </w:rPr>
        <w:t>det slutliga förhandlingsmandatet</w:t>
      </w:r>
      <w:r w:rsidR="006918E5" w:rsidRPr="00CA29C5">
        <w:t xml:space="preserve"> –</w:t>
      </w:r>
      <w:r w:rsidR="00676BAA" w:rsidRPr="00CA29C5">
        <w:t xml:space="preserve"> </w:t>
      </w:r>
      <w:r w:rsidR="00EE3171" w:rsidRPr="00CA29C5">
        <w:t>vilket i</w:t>
      </w:r>
      <w:r w:rsidR="006918E5" w:rsidRPr="00CA29C5">
        <w:t xml:space="preserve"> likhet med i</w:t>
      </w:r>
      <w:r w:rsidR="00996115" w:rsidRPr="00CA29C5">
        <w:t xml:space="preserve"> </w:t>
      </w:r>
      <w:r w:rsidR="006918E5" w:rsidRPr="00CA29C5">
        <w:t xml:space="preserve">dag </w:t>
      </w:r>
      <w:r w:rsidR="00EE3171" w:rsidRPr="00CA29C5">
        <w:t>– kommer</w:t>
      </w:r>
      <w:r w:rsidR="005602C2" w:rsidRPr="00CA29C5">
        <w:t xml:space="preserve"> att äga </w:t>
      </w:r>
      <w:r w:rsidR="007235F3" w:rsidRPr="00CA29C5">
        <w:t xml:space="preserve">rum </w:t>
      </w:r>
      <w:r w:rsidR="006918E5" w:rsidRPr="00CA29C5">
        <w:t>i E</w:t>
      </w:r>
      <w:r w:rsidR="006918E5" w:rsidRPr="00CA29C5">
        <w:t>U</w:t>
      </w:r>
      <w:r w:rsidR="006918E5" w:rsidRPr="00CA29C5">
        <w:t>-nämnden.</w:t>
      </w:r>
      <w:r w:rsidR="00EC3CF7" w:rsidRPr="00CA29C5">
        <w:t xml:space="preserve"> Eventuella protokollsanteckningar från utskottets föregående samråd med regeringens företrädare i en fråga finns tillgängliga för EU-nämnden inför dess ställningstagande.</w:t>
      </w:r>
    </w:p>
    <w:p w:rsidR="00BF360C" w:rsidRPr="00CA29C5" w:rsidRDefault="002114CD" w:rsidP="00BF360C">
      <w:pPr>
        <w:pStyle w:val="Normaltindrag"/>
      </w:pPr>
      <w:r w:rsidRPr="00CA29C5">
        <w:t>EU:s säkerhets- och försvarsp</w:t>
      </w:r>
      <w:r w:rsidR="00996115" w:rsidRPr="00CA29C5">
        <w:t xml:space="preserve">olitiska samarbete, inte minst </w:t>
      </w:r>
      <w:r w:rsidRPr="00CA29C5">
        <w:t>det som rör de fredsfrämjande insatserna, är mellanstatligt. Mot bakgrund av att antalet sa</w:t>
      </w:r>
      <w:r w:rsidRPr="00CA29C5">
        <w:t>m</w:t>
      </w:r>
      <w:r w:rsidRPr="00CA29C5">
        <w:t xml:space="preserve">rådsdokument (t.ex. grön- och vitböcker) </w:t>
      </w:r>
      <w:r w:rsidR="00BF0FDF" w:rsidRPr="00CA29C5">
        <w:t>inom utskottets ansvarso</w:t>
      </w:r>
      <w:r w:rsidR="00BF0FDF" w:rsidRPr="00CA29C5">
        <w:t>m</w:t>
      </w:r>
      <w:r w:rsidR="00BF0FDF" w:rsidRPr="00CA29C5">
        <w:t>råden ä</w:t>
      </w:r>
      <w:r w:rsidRPr="00CA29C5">
        <w:t>r få</w:t>
      </w:r>
      <w:r w:rsidR="00BF0FDF" w:rsidRPr="00CA29C5">
        <w:t>, är behovet av tidig information till utskottet om olika initiativ i EU-samarbetet särskilt framträdande</w:t>
      </w:r>
      <w:r w:rsidR="00FD3244" w:rsidRPr="00CA29C5">
        <w:t>.</w:t>
      </w:r>
      <w:r w:rsidR="00BF360C" w:rsidRPr="00CA29C5">
        <w:t xml:space="preserve"> </w:t>
      </w:r>
      <w:r w:rsidR="00FD3244" w:rsidRPr="00CA29C5">
        <w:t>Betydelsen av en aktiv och tidig inform</w:t>
      </w:r>
      <w:r w:rsidR="00FD3244" w:rsidRPr="00CA29C5">
        <w:t>a</w:t>
      </w:r>
      <w:r w:rsidR="00FD3244" w:rsidRPr="00CA29C5">
        <w:t>tion och överläggningar från rege</w:t>
      </w:r>
      <w:r w:rsidR="00FD3244" w:rsidRPr="00CA29C5">
        <w:t>r</w:t>
      </w:r>
      <w:r w:rsidR="00FD3244" w:rsidRPr="00CA29C5">
        <w:t>ingens företrädare i EU:s beredn</w:t>
      </w:r>
      <w:r w:rsidR="00BF0FDF" w:rsidRPr="00CA29C5">
        <w:t>ings- och beslutsprocess kan därför in</w:t>
      </w:r>
      <w:r w:rsidR="00FD3244" w:rsidRPr="00CA29C5">
        <w:t>te nog unde</w:t>
      </w:r>
      <w:r w:rsidR="00FD3244" w:rsidRPr="00CA29C5">
        <w:t>r</w:t>
      </w:r>
      <w:r w:rsidR="00FD3244" w:rsidRPr="00CA29C5">
        <w:t>strykas. Om inte så sker kommer utskottet att komma i efterhand.</w:t>
      </w:r>
    </w:p>
    <w:p w:rsidR="00BF360C" w:rsidRPr="00CA29C5" w:rsidRDefault="00BF360C" w:rsidP="00BF360C">
      <w:pPr>
        <w:pStyle w:val="R2"/>
      </w:pPr>
      <w:r w:rsidRPr="00CA29C5">
        <w:t xml:space="preserve">Tolkresurser vid interparlamentariskt </w:t>
      </w:r>
      <w:r w:rsidR="00892B41" w:rsidRPr="00CA29C5">
        <w:t>sam</w:t>
      </w:r>
      <w:r w:rsidRPr="00CA29C5">
        <w:t>arbete</w:t>
      </w:r>
    </w:p>
    <w:p w:rsidR="00892B41" w:rsidRPr="00CA29C5" w:rsidRDefault="00892B41" w:rsidP="00892B41">
      <w:r w:rsidRPr="00CA29C5">
        <w:t>Riksdagskommittén pekar på att det interparlamentariska samarbetet succe</w:t>
      </w:r>
      <w:r w:rsidRPr="00CA29C5">
        <w:t>s</w:t>
      </w:r>
      <w:r w:rsidRPr="00CA29C5">
        <w:t xml:space="preserve">sivt har ökat i </w:t>
      </w:r>
      <w:r w:rsidR="00B267FA" w:rsidRPr="00CA29C5">
        <w:t xml:space="preserve">både </w:t>
      </w:r>
      <w:r w:rsidRPr="00CA29C5">
        <w:t>omfat</w:t>
      </w:r>
      <w:r w:rsidR="00573394" w:rsidRPr="00CA29C5">
        <w:t>tning och betydelse för riksdags</w:t>
      </w:r>
      <w:r w:rsidRPr="00CA29C5">
        <w:t xml:space="preserve">arbetet. Kommittén betonar även fackutskottens ökande roll i detta. </w:t>
      </w:r>
      <w:r w:rsidR="00304DB0" w:rsidRPr="00CA29C5">
        <w:t>Försvarsutskottet vill unde</w:t>
      </w:r>
      <w:r w:rsidR="00304DB0" w:rsidRPr="00CA29C5">
        <w:t>r</w:t>
      </w:r>
      <w:r w:rsidR="00304DB0" w:rsidRPr="00CA29C5">
        <w:t xml:space="preserve">stryka betydelsen av ökade kontakter med andra fackutskott, inte minst </w:t>
      </w:r>
      <w:r w:rsidR="00B267FA" w:rsidRPr="00CA29C5">
        <w:t xml:space="preserve">med </w:t>
      </w:r>
      <w:r w:rsidR="00304DB0" w:rsidRPr="00CA29C5">
        <w:t>parl</w:t>
      </w:r>
      <w:r w:rsidR="00304DB0" w:rsidRPr="00CA29C5">
        <w:t>a</w:t>
      </w:r>
      <w:r w:rsidR="00304DB0" w:rsidRPr="00CA29C5">
        <w:t>ment inom Europeiska unionen.</w:t>
      </w:r>
    </w:p>
    <w:p w:rsidR="00BF360C" w:rsidRPr="00CA29C5" w:rsidRDefault="00892B41" w:rsidP="00892B41">
      <w:pPr>
        <w:pStyle w:val="Normaltindrag"/>
      </w:pPr>
      <w:r w:rsidRPr="00CA29C5">
        <w:t xml:space="preserve">En förutsättning för att det </w:t>
      </w:r>
      <w:r w:rsidR="00206270" w:rsidRPr="00CA29C5">
        <w:t xml:space="preserve">omfattande interparlamentariska </w:t>
      </w:r>
      <w:r w:rsidRPr="00CA29C5">
        <w:t xml:space="preserve">samarbetet skall bli en </w:t>
      </w:r>
      <w:r w:rsidRPr="00CA29C5">
        <w:rPr>
          <w:i/>
        </w:rPr>
        <w:t>angelägenhet för alla ledamöter</w:t>
      </w:r>
      <w:r w:rsidRPr="00CA29C5">
        <w:t xml:space="preserve"> är att det finns ekonomiska resu</w:t>
      </w:r>
      <w:r w:rsidRPr="00CA29C5">
        <w:t>r</w:t>
      </w:r>
      <w:r w:rsidRPr="00CA29C5">
        <w:t xml:space="preserve">ser till tolkning. </w:t>
      </w:r>
      <w:r w:rsidR="00304DB0" w:rsidRPr="00CA29C5">
        <w:t>Tolkning av överläggningarna ökar precisionen i de politiska överläggningarna och därmed värde</w:t>
      </w:r>
      <w:r w:rsidR="002A2971" w:rsidRPr="00CA29C5">
        <w:t>t</w:t>
      </w:r>
      <w:r w:rsidR="00304DB0" w:rsidRPr="00CA29C5">
        <w:t xml:space="preserve"> av dessa. </w:t>
      </w:r>
      <w:r w:rsidR="00573394" w:rsidRPr="00CA29C5">
        <w:t xml:space="preserve">Riksdagsstyrelsen bör därför avsätta särskilda medel </w:t>
      </w:r>
      <w:r w:rsidR="007235F3" w:rsidRPr="00CA29C5">
        <w:t xml:space="preserve">i </w:t>
      </w:r>
      <w:r w:rsidR="00573394" w:rsidRPr="00CA29C5">
        <w:t xml:space="preserve">detta syfte. </w:t>
      </w:r>
    </w:p>
    <w:p w:rsidR="00BA28EB" w:rsidRPr="00CA29C5" w:rsidRDefault="00BA28EB" w:rsidP="00BF360C">
      <w:pPr>
        <w:pStyle w:val="Normaltindrag"/>
      </w:pPr>
    </w:p>
    <w:p w:rsidR="00BF360C" w:rsidRPr="00CA29C5" w:rsidRDefault="00BF360C" w:rsidP="00BF360C">
      <w:pPr>
        <w:pStyle w:val="Normaltindrag"/>
      </w:pPr>
    </w:p>
    <w:p w:rsidR="00AC2646" w:rsidRPr="00CA29C5" w:rsidRDefault="00B267FA" w:rsidP="00AC2646">
      <w:pPr>
        <w:pStyle w:val="Utskriftsdatum"/>
      </w:pPr>
      <w:r w:rsidRPr="00CA29C5">
        <w:t>Stockholm den 23 mars 2006.</w:t>
      </w:r>
      <w:r w:rsidR="00AC2646" w:rsidRPr="00CA29C5">
        <w:t xml:space="preserve"> </w:t>
      </w:r>
    </w:p>
    <w:p w:rsidR="00AC2646" w:rsidRPr="00CA29C5" w:rsidRDefault="00AC2646" w:rsidP="00AC2646">
      <w:r w:rsidRPr="00CA29C5">
        <w:t>På försvarsutskottets vägnar</w:t>
      </w:r>
    </w:p>
    <w:p w:rsidR="00AC2646" w:rsidRPr="00CA29C5" w:rsidRDefault="00996115" w:rsidP="00996115">
      <w:pPr>
        <w:pStyle w:val="Ordfranden"/>
        <w:rPr>
          <w:noProof w:val="0"/>
        </w:rPr>
      </w:pPr>
      <w:bookmarkStart w:id="3" w:name="Ordförande"/>
      <w:bookmarkEnd w:id="3"/>
      <w:r w:rsidRPr="00CA29C5">
        <w:rPr>
          <w:noProof w:val="0"/>
        </w:rPr>
        <w:t xml:space="preserve">Eskil Erlandsson </w:t>
      </w:r>
    </w:p>
    <w:p w:rsidR="001B6A1F" w:rsidRPr="00CA29C5" w:rsidRDefault="00996115" w:rsidP="00996115">
      <w:pPr>
        <w:pStyle w:val="Deltagare"/>
        <w:rPr>
          <w:noProof w:val="0"/>
        </w:rPr>
      </w:pPr>
      <w:bookmarkStart w:id="4" w:name="Deltagare"/>
      <w:bookmarkEnd w:id="4"/>
      <w:r w:rsidRPr="00CA29C5">
        <w:rPr>
          <w:noProof w:val="0"/>
        </w:rPr>
        <w:t>Följande ledamöter har deltagit i beslutet: Eskil Erlandsson (c), Tone Tingsgård (s), Ola Sundell (m), Allan Widman (fp), Michael Hagberg (s), Erling Wälivaara (kd), Berit Jóhannesson (v), Britt-Marie Lindkvist (s), Rolf Gunnarsson (m), Åsa Lindestam (s), Heli Berg (fp), Peter Jonsson (s), Karin Enström (m) och Marie Nordén (s).</w:t>
      </w:r>
    </w:p>
    <w:p w:rsidR="001B6A1F" w:rsidRPr="00CA29C5" w:rsidRDefault="001B6A1F" w:rsidP="001B6A1F">
      <w:pPr>
        <w:pStyle w:val="Tryckort"/>
        <w:framePr w:wrap="around"/>
        <w:jc w:val="right"/>
      </w:pPr>
      <w:r w:rsidRPr="00CA29C5">
        <w:t>Elanders Gotab, Stockholm  2006</w:t>
      </w:r>
    </w:p>
    <w:p w:rsidR="00AC2646" w:rsidRPr="00CA29C5" w:rsidRDefault="00AC2646" w:rsidP="001B6A1F">
      <w:pPr>
        <w:pStyle w:val="Normaltindrag"/>
      </w:pPr>
    </w:p>
    <w:sectPr w:rsidR="00AC2646" w:rsidRPr="00CA29C5" w:rsidSect="00742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0DE" w:rsidRPr="00CA29C5" w:rsidRDefault="00BA00DE">
      <w:r w:rsidRPr="00CA29C5">
        <w:separator/>
      </w:r>
    </w:p>
  </w:endnote>
  <w:endnote w:type="continuationSeparator" w:id="0">
    <w:p w:rsidR="00BA00DE" w:rsidRPr="00CA29C5" w:rsidRDefault="00BA00DE">
      <w:r w:rsidRPr="00CA2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2F61B6">
    <w:pPr>
      <w:pStyle w:val="SidfotV"/>
      <w:framePr w:w="8732" w:h="284" w:hRule="exact" w:hSpace="0" w:vSpace="0" w:wrap="around" w:xAlign="inside" w:y="13042" w:anchorLock="0"/>
    </w:pPr>
    <w:r w:rsidRPr="00CA29C5">
      <w:fldChar w:fldCharType="begin" w:fldLock="1"/>
    </w:r>
    <w:r w:rsidRPr="00CA29C5">
      <w:instrText xml:space="preserve"> P</w:instrText>
    </w:r>
    <w:r w:rsidRPr="00CA29C5">
      <w:instrText>A</w:instrText>
    </w:r>
    <w:r w:rsidRPr="00CA29C5">
      <w:instrText xml:space="preserve">GE </w:instrText>
    </w:r>
    <w:r w:rsidRPr="00CA29C5">
      <w:fldChar w:fldCharType="separate"/>
    </w:r>
    <w:r w:rsidR="0057031C" w:rsidRPr="00CA29C5">
      <w:t>2</w:t>
    </w:r>
    <w:r w:rsidRPr="00CA29C5">
      <w:fldChar w:fldCharType="end"/>
    </w:r>
  </w:p>
  <w:p w:rsidR="002F61B6" w:rsidRPr="00CA29C5" w:rsidRDefault="002F61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2F61B6">
    <w:pPr>
      <w:pStyle w:val="SidfotH"/>
      <w:framePr w:w="8732" w:h="284" w:hRule="exact" w:hSpace="0" w:vSpace="0" w:wrap="around" w:xAlign="inside" w:y="13042" w:anchorLock="0"/>
    </w:pPr>
    <w:r w:rsidRPr="00CA29C5">
      <w:fldChar w:fldCharType="begin" w:fldLock="1"/>
    </w:r>
    <w:r w:rsidRPr="00CA29C5">
      <w:instrText xml:space="preserve"> P</w:instrText>
    </w:r>
    <w:r w:rsidRPr="00CA29C5">
      <w:instrText>A</w:instrText>
    </w:r>
    <w:r w:rsidRPr="00CA29C5">
      <w:instrText xml:space="preserve">GE </w:instrText>
    </w:r>
    <w:r w:rsidRPr="00CA29C5">
      <w:fldChar w:fldCharType="separate"/>
    </w:r>
    <w:r w:rsidR="0057031C" w:rsidRPr="00CA29C5">
      <w:t>3</w:t>
    </w:r>
    <w:r w:rsidRPr="00CA29C5">
      <w:fldChar w:fldCharType="end"/>
    </w:r>
  </w:p>
  <w:p w:rsidR="002F61B6" w:rsidRPr="00CA29C5" w:rsidRDefault="002F61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2F61B6">
    <w:pPr>
      <w:pStyle w:val="SidfotV"/>
      <w:framePr w:w="8732" w:h="284" w:hRule="exact" w:hSpace="0" w:vSpace="0" w:wrap="around" w:xAlign="inside" w:y="13042" w:anchorLock="0"/>
    </w:pPr>
    <w:r w:rsidRPr="00CA29C5">
      <w:fldChar w:fldCharType="begin" w:fldLock="1"/>
    </w:r>
    <w:r w:rsidRPr="00CA29C5">
      <w:instrText xml:space="preserve"> if </w:instrText>
    </w:r>
    <w:r w:rsidRPr="00CA29C5">
      <w:fldChar w:fldCharType="begin" w:fldLock="1"/>
    </w:r>
    <w:r w:rsidRPr="00CA29C5">
      <w:instrText xml:space="preserve"> = </w:instrText>
    </w:r>
    <w:r w:rsidRPr="00CA29C5">
      <w:fldChar w:fldCharType="begin" w:fldLock="1"/>
    </w:r>
    <w:r w:rsidRPr="00CA29C5">
      <w:instrText xml:space="preserve"> = </w:instrText>
    </w:r>
    <w:r w:rsidRPr="00CA29C5">
      <w:fldChar w:fldCharType="begin" w:fldLock="1"/>
    </w:r>
    <w:r w:rsidRPr="00CA29C5">
      <w:instrText xml:space="preserve"> page</w:instrText>
    </w:r>
    <w:r w:rsidRPr="00CA29C5">
      <w:fldChar w:fldCharType="separate"/>
    </w:r>
    <w:r w:rsidR="00CA29C5">
      <w:rPr>
        <w:noProof/>
      </w:rPr>
      <w:instrText>1</w:instrText>
    </w:r>
    <w:r w:rsidRPr="00CA29C5">
      <w:fldChar w:fldCharType="end"/>
    </w:r>
    <w:r w:rsidRPr="00CA29C5">
      <w:instrText xml:space="preserve">/2 </w:instrText>
    </w:r>
    <w:r w:rsidRPr="00CA29C5">
      <w:fldChar w:fldCharType="separate"/>
    </w:r>
    <w:r w:rsidR="00CA29C5">
      <w:rPr>
        <w:noProof/>
      </w:rPr>
      <w:instrText>0,5</w:instrText>
    </w:r>
    <w:r w:rsidRPr="00CA29C5">
      <w:fldChar w:fldCharType="end"/>
    </w:r>
    <w:r w:rsidRPr="00CA29C5">
      <w:instrText xml:space="preserve"> - </w:instrText>
    </w:r>
    <w:r w:rsidRPr="00CA29C5">
      <w:fldChar w:fldCharType="begin" w:fldLock="1"/>
    </w:r>
    <w:r w:rsidRPr="00CA29C5">
      <w:instrText xml:space="preserve"> = int(</w:instrText>
    </w:r>
    <w:r w:rsidRPr="00CA29C5">
      <w:fldChar w:fldCharType="begin" w:fldLock="1"/>
    </w:r>
    <w:r w:rsidRPr="00CA29C5">
      <w:instrText xml:space="preserve"> page</w:instrText>
    </w:r>
    <w:r w:rsidRPr="00CA29C5">
      <w:fldChar w:fldCharType="separate"/>
    </w:r>
    <w:r w:rsidR="00CA29C5">
      <w:rPr>
        <w:noProof/>
      </w:rPr>
      <w:instrText>1</w:instrText>
    </w:r>
    <w:r w:rsidRPr="00CA29C5">
      <w:fldChar w:fldCharType="end"/>
    </w:r>
    <w:r w:rsidRPr="00CA29C5">
      <w:instrText xml:space="preserve">/2) </w:instrText>
    </w:r>
    <w:r w:rsidRPr="00CA29C5">
      <w:fldChar w:fldCharType="separate"/>
    </w:r>
    <w:r w:rsidR="00CA29C5">
      <w:rPr>
        <w:noProof/>
      </w:rPr>
      <w:instrText>0</w:instrText>
    </w:r>
    <w:r w:rsidRPr="00CA29C5">
      <w:fldChar w:fldCharType="end"/>
    </w:r>
    <w:r w:rsidRPr="00CA29C5">
      <w:fldChar w:fldCharType="separate"/>
    </w:r>
    <w:r w:rsidR="00CA29C5">
      <w:rPr>
        <w:noProof/>
      </w:rPr>
      <w:instrText>0,5</w:instrText>
    </w:r>
    <w:r w:rsidRPr="00CA29C5">
      <w:fldChar w:fldCharType="end"/>
    </w:r>
    <w:r w:rsidRPr="00CA29C5">
      <w:instrText xml:space="preserve"> = 0 "</w:instrText>
    </w:r>
    <w:r w:rsidRPr="00CA29C5">
      <w:fldChar w:fldCharType="begin" w:fldLock="1"/>
    </w:r>
    <w:r w:rsidRPr="00CA29C5">
      <w:instrText xml:space="preserve"> P</w:instrText>
    </w:r>
    <w:r w:rsidRPr="00CA29C5">
      <w:instrText>A</w:instrText>
    </w:r>
    <w:r w:rsidRPr="00CA29C5">
      <w:instrText xml:space="preserve">GE </w:instrText>
    </w:r>
    <w:r w:rsidRPr="00CA29C5">
      <w:fldChar w:fldCharType="separate"/>
    </w:r>
    <w:r w:rsidRPr="00CA29C5">
      <w:instrText>6</w:instrText>
    </w:r>
    <w:r w:rsidRPr="00CA29C5">
      <w:fldChar w:fldCharType="end"/>
    </w:r>
  </w:p>
  <w:p w:rsidR="002F61B6" w:rsidRPr="00CA29C5" w:rsidRDefault="002F61B6">
    <w:pPr>
      <w:pStyle w:val="SidfotH"/>
      <w:framePr w:w="8732" w:h="284" w:hRule="exact" w:hSpace="0" w:vSpace="0" w:wrap="around" w:xAlign="inside" w:y="13042" w:anchorLock="0"/>
    </w:pPr>
    <w:r w:rsidRPr="00CA29C5">
      <w:instrText>""</w:instrText>
    </w:r>
    <w:r w:rsidRPr="00CA29C5">
      <w:fldChar w:fldCharType="begin" w:fldLock="1"/>
    </w:r>
    <w:r w:rsidRPr="00CA29C5">
      <w:instrText xml:space="preserve"> P</w:instrText>
    </w:r>
    <w:r w:rsidRPr="00CA29C5">
      <w:instrText>A</w:instrText>
    </w:r>
    <w:r w:rsidRPr="00CA29C5">
      <w:instrText xml:space="preserve">GE </w:instrText>
    </w:r>
    <w:r w:rsidRPr="00CA29C5">
      <w:fldChar w:fldCharType="separate"/>
    </w:r>
    <w:r w:rsidR="00CA29C5">
      <w:rPr>
        <w:noProof/>
      </w:rPr>
      <w:instrText>1</w:instrText>
    </w:r>
    <w:r w:rsidRPr="00CA29C5">
      <w:fldChar w:fldCharType="end"/>
    </w:r>
    <w:r w:rsidRPr="00CA29C5">
      <w:instrText>"</w:instrText>
    </w:r>
    <w:r w:rsidRPr="00CA29C5">
      <w:fldChar w:fldCharType="separate"/>
    </w:r>
    <w:r w:rsidR="00CA29C5">
      <w:rPr>
        <w:noProof/>
      </w:rPr>
      <w:t>1</w:t>
    </w:r>
    <w:r w:rsidRPr="00CA29C5">
      <w:fldChar w:fldCharType="end"/>
    </w:r>
  </w:p>
  <w:p w:rsidR="002F61B6" w:rsidRPr="00CA29C5" w:rsidRDefault="002F61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0DE" w:rsidRPr="00CA29C5" w:rsidRDefault="00BA00DE">
      <w:r w:rsidRPr="00CA29C5">
        <w:separator/>
      </w:r>
    </w:p>
  </w:footnote>
  <w:footnote w:type="continuationSeparator" w:id="0">
    <w:p w:rsidR="00BA00DE" w:rsidRPr="00CA29C5" w:rsidRDefault="00BA00DE">
      <w:r w:rsidRPr="00CA2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2F61B6">
    <w:pPr>
      <w:pStyle w:val="SidhuvudKantJmn"/>
      <w:framePr w:w="8732" w:h="567" w:hRule="exact" w:vSpace="0" w:wrap="around" w:vAnchor="page" w:y="341" w:anchorLock="0"/>
    </w:pPr>
    <w:r w:rsidRPr="00CA29C5">
      <w:rPr>
        <w:rStyle w:val="SidhuvudUtskott"/>
      </w:rPr>
      <w:t>2005/06:FöU2y</w:t>
    </w:r>
    <w:r w:rsidRPr="00CA29C5">
      <w:t xml:space="preserve">     </w:t>
    </w:r>
    <w:r w:rsidRPr="00CA29C5">
      <w:rPr>
        <w:rStyle w:val="SidhuvudBilaga"/>
      </w:rPr>
      <w:t xml:space="preserve"> </w:t>
    </w:r>
    <w:r w:rsidR="0057031C" w:rsidRPr="00CA29C5">
      <w:rPr>
        <w:rStyle w:val="SidhuvudRubrikReferens"/>
      </w:rPr>
      <w:t>Till konstitutionsutskottet</w:t>
    </w:r>
  </w:p>
  <w:p w:rsidR="002F61B6" w:rsidRPr="00CA29C5" w:rsidRDefault="002F61B6">
    <w:pPr>
      <w:pStyle w:val="SidhuvudKantJmn"/>
      <w:framePr w:w="8732" w:h="567" w:hRule="exact" w:vSpace="0" w:wrap="around" w:vAnchor="page" w:y="341" w:anchorLock="0"/>
    </w:pPr>
  </w:p>
  <w:p w:rsidR="002F61B6" w:rsidRPr="00CA29C5" w:rsidRDefault="002F61B6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57031C">
    <w:pPr>
      <w:pStyle w:val="SidhuvudKantUdda"/>
      <w:framePr w:w="8732" w:h="567" w:hRule="exact" w:vSpace="0" w:wrap="around" w:vAnchor="page" w:y="341" w:anchorLock="0"/>
    </w:pPr>
    <w:r w:rsidRPr="00CA29C5">
      <w:rPr>
        <w:rStyle w:val="SidhuvudRubrikReferens"/>
      </w:rPr>
      <w:t>Till konstitutionsutskottet</w:t>
    </w:r>
    <w:r w:rsidR="002F61B6" w:rsidRPr="00CA29C5">
      <w:rPr>
        <w:rStyle w:val="SidhuvudBilaga"/>
      </w:rPr>
      <w:t xml:space="preserve"> </w:t>
    </w:r>
    <w:r w:rsidR="002F61B6" w:rsidRPr="00CA29C5">
      <w:t xml:space="preserve">     </w:t>
    </w:r>
    <w:r w:rsidR="002F61B6" w:rsidRPr="00CA29C5">
      <w:rPr>
        <w:rStyle w:val="SidhuvudUtskott"/>
      </w:rPr>
      <w:t>2005/06:FöU2y</w:t>
    </w:r>
  </w:p>
  <w:p w:rsidR="002F61B6" w:rsidRPr="00CA29C5" w:rsidRDefault="002F61B6">
    <w:pPr>
      <w:pStyle w:val="SidhuvudKantUdda"/>
      <w:framePr w:w="8732" w:h="567" w:hRule="exact" w:vSpace="0" w:wrap="around" w:vAnchor="page" w:y="341" w:anchorLock="0"/>
    </w:pPr>
  </w:p>
  <w:p w:rsidR="002F61B6" w:rsidRPr="00CA29C5" w:rsidRDefault="002F61B6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1B6" w:rsidRPr="00CA29C5" w:rsidRDefault="0057031C">
    <w:pPr>
      <w:pStyle w:val="SidhuvudKantUdda"/>
      <w:framePr w:w="8732" w:h="567" w:hRule="exact" w:vSpace="0" w:wrap="around" w:vAnchor="page" w:y="341" w:anchorLock="0"/>
    </w:pPr>
    <w:r w:rsidRPr="00CA29C5">
      <w:t xml:space="preserve"> </w:t>
    </w:r>
  </w:p>
  <w:p w:rsidR="002F61B6" w:rsidRPr="00CA29C5" w:rsidRDefault="002F61B6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00FAF"/>
    <w:multiLevelType w:val="hybridMultilevel"/>
    <w:tmpl w:val="BC4C4A22"/>
    <w:lvl w:ilvl="0" w:tplc="041D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num w:numId="1" w16cid:durableId="887687148">
    <w:abstractNumId w:val="10"/>
  </w:num>
  <w:num w:numId="2" w16cid:durableId="238906825">
    <w:abstractNumId w:val="8"/>
  </w:num>
  <w:num w:numId="3" w16cid:durableId="287900493">
    <w:abstractNumId w:val="3"/>
  </w:num>
  <w:num w:numId="4" w16cid:durableId="1352610111">
    <w:abstractNumId w:val="2"/>
  </w:num>
  <w:num w:numId="5" w16cid:durableId="178351246">
    <w:abstractNumId w:val="1"/>
  </w:num>
  <w:num w:numId="6" w16cid:durableId="1190220946">
    <w:abstractNumId w:val="0"/>
  </w:num>
  <w:num w:numId="7" w16cid:durableId="629096691">
    <w:abstractNumId w:val="9"/>
  </w:num>
  <w:num w:numId="8" w16cid:durableId="1705446251">
    <w:abstractNumId w:val="7"/>
  </w:num>
  <w:num w:numId="9" w16cid:durableId="956332090">
    <w:abstractNumId w:val="6"/>
  </w:num>
  <w:num w:numId="10" w16cid:durableId="404106979">
    <w:abstractNumId w:val="5"/>
  </w:num>
  <w:num w:numId="11" w16cid:durableId="1827164654">
    <w:abstractNumId w:val="4"/>
  </w:num>
  <w:num w:numId="12" w16cid:durableId="1504778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örsvarsutskottets"/>
    <w:docVar w:name="Skapår" w:val="0506"/>
  </w:docVars>
  <w:rsids>
    <w:rsidRoot w:val="0001652C"/>
    <w:rsid w:val="0001652C"/>
    <w:rsid w:val="00034F94"/>
    <w:rsid w:val="000518A7"/>
    <w:rsid w:val="00062E39"/>
    <w:rsid w:val="000B3BC6"/>
    <w:rsid w:val="000D2C0E"/>
    <w:rsid w:val="001144EA"/>
    <w:rsid w:val="00163039"/>
    <w:rsid w:val="00193470"/>
    <w:rsid w:val="001B6A1F"/>
    <w:rsid w:val="001C0151"/>
    <w:rsid w:val="001C230B"/>
    <w:rsid w:val="00206270"/>
    <w:rsid w:val="002114CD"/>
    <w:rsid w:val="00295086"/>
    <w:rsid w:val="002A2971"/>
    <w:rsid w:val="002C194A"/>
    <w:rsid w:val="002F61B6"/>
    <w:rsid w:val="00304DB0"/>
    <w:rsid w:val="0032740B"/>
    <w:rsid w:val="003507BC"/>
    <w:rsid w:val="00364F2A"/>
    <w:rsid w:val="004245C3"/>
    <w:rsid w:val="004A231C"/>
    <w:rsid w:val="004B3471"/>
    <w:rsid w:val="004C7A12"/>
    <w:rsid w:val="004D0AEC"/>
    <w:rsid w:val="004F12BD"/>
    <w:rsid w:val="00513553"/>
    <w:rsid w:val="005344FE"/>
    <w:rsid w:val="005602C2"/>
    <w:rsid w:val="0057031C"/>
    <w:rsid w:val="00573394"/>
    <w:rsid w:val="005B71FF"/>
    <w:rsid w:val="005C6F42"/>
    <w:rsid w:val="00663EF0"/>
    <w:rsid w:val="00676BAA"/>
    <w:rsid w:val="006918E5"/>
    <w:rsid w:val="006A5EE9"/>
    <w:rsid w:val="006E7199"/>
    <w:rsid w:val="0070436F"/>
    <w:rsid w:val="007235F3"/>
    <w:rsid w:val="0074293B"/>
    <w:rsid w:val="00783550"/>
    <w:rsid w:val="00892B41"/>
    <w:rsid w:val="008E3BFE"/>
    <w:rsid w:val="00996115"/>
    <w:rsid w:val="009D4A18"/>
    <w:rsid w:val="009F7272"/>
    <w:rsid w:val="00A12B09"/>
    <w:rsid w:val="00A154B1"/>
    <w:rsid w:val="00A42283"/>
    <w:rsid w:val="00A61D8B"/>
    <w:rsid w:val="00AC1DC9"/>
    <w:rsid w:val="00AC2646"/>
    <w:rsid w:val="00AC41D5"/>
    <w:rsid w:val="00AF24A8"/>
    <w:rsid w:val="00B23CFC"/>
    <w:rsid w:val="00B267FA"/>
    <w:rsid w:val="00B9741A"/>
    <w:rsid w:val="00BA00DE"/>
    <w:rsid w:val="00BA28EB"/>
    <w:rsid w:val="00BF0FDF"/>
    <w:rsid w:val="00BF360C"/>
    <w:rsid w:val="00C44B77"/>
    <w:rsid w:val="00C60D05"/>
    <w:rsid w:val="00CA29C5"/>
    <w:rsid w:val="00D1207E"/>
    <w:rsid w:val="00D8338A"/>
    <w:rsid w:val="00DC7AFD"/>
    <w:rsid w:val="00E01D5C"/>
    <w:rsid w:val="00E108A6"/>
    <w:rsid w:val="00E8359B"/>
    <w:rsid w:val="00EC3CF7"/>
    <w:rsid w:val="00ED4A33"/>
    <w:rsid w:val="00EE3171"/>
    <w:rsid w:val="00F3414E"/>
    <w:rsid w:val="00F53A97"/>
    <w:rsid w:val="00F6480C"/>
    <w:rsid w:val="00F859E0"/>
    <w:rsid w:val="00F966C4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D50C-956F-4D24-A9D0-538A6C7D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F8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6889</Characters>
  <Application>Microsoft Office Word</Application>
  <DocSecurity>4</DocSecurity>
  <Lines>132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Försvarsutskottets yttrande</vt:lpstr>
    </vt:vector>
  </TitlesOfParts>
  <Company>Riksdagen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Försvarsutskottets yttrande</dc:title>
  <dc:subject>Försvarsutskottets yttrande</dc:subject>
  <dc:creator>Riksdagen</dc:creator>
  <cp:keywords>Riksdagen</cp:keywords>
  <dc:description/>
  <cp:lastModifiedBy>Lars Brink</cp:lastModifiedBy>
  <cp:revision>2</cp:revision>
  <cp:lastPrinted>2006-03-24T09:00:00Z</cp:lastPrinted>
  <dcterms:created xsi:type="dcterms:W3CDTF">2025-12-16T22:26:00Z</dcterms:created>
  <dcterms:modified xsi:type="dcterms:W3CDTF">2025-12-16T22:26:00Z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2y</vt:lpwstr>
  </property>
  <property fmtid="{D5CDD505-2E9C-101B-9397-08002B2CF9AE}" pid="3" name="Utskott">
    <vt:lpwstr>FöU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