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12B05" w:rsidRDefault="002F01E8" w14:paraId="3CC575D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995D956594F4D7B889B2FEEB7989C6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ea8ee1f-4ac3-46bf-a0f2-23db2758b447"/>
        <w:id w:val="-459424395"/>
        <w:lock w:val="sdtLocked"/>
      </w:sdtPr>
      <w:sdtEndPr/>
      <w:sdtContent>
        <w:p w:rsidR="00EE3FCB" w:rsidRDefault="00A53618" w14:paraId="005328E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förutsättningarna för att säkerställa att personuppklaringsprocenten vid våldtäkter avsevärt höjs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E69233D46654AF2A2C633983D4B7590"/>
        </w:placeholder>
        <w:text/>
      </w:sdtPr>
      <w:sdtEndPr/>
      <w:sdtContent>
        <w:p w:rsidRPr="009B062B" w:rsidR="006D79C9" w:rsidP="00333E95" w:rsidRDefault="006D79C9" w14:paraId="607AE62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74265E" w:rsidR="0074265E" w:rsidP="00AA7762" w:rsidRDefault="0074265E" w14:paraId="0297C731" w14:textId="3AEB12E7">
      <w:pPr>
        <w:pStyle w:val="Normalutanindragellerluft"/>
        <w:rPr>
          <w:rFonts w:eastAsia="Times New Roman"/>
          <w:lang w:eastAsia="sv-SE"/>
        </w:rPr>
      </w:pPr>
      <w:r w:rsidRPr="0074265E">
        <w:rPr>
          <w:rFonts w:eastAsia="Times New Roman"/>
          <w:lang w:eastAsia="sv-SE"/>
        </w:rPr>
        <w:t>Det är djupt problematiskt att så få våldtäkter i Sverige leder till lagföring. Redan 2020 var personuppklaringsprocenten för våldtäktsbrott så låg som 19 procent. Trots vissa förbättringar de senaste åren ligger den fortfarande på en oacceptabel nivå. Detta inne</w:t>
      </w:r>
      <w:r w:rsidR="00AA7762">
        <w:rPr>
          <w:rFonts w:eastAsia="Times New Roman"/>
          <w:lang w:eastAsia="sv-SE"/>
        </w:rPr>
        <w:softHyphen/>
      </w:r>
      <w:r w:rsidRPr="0074265E">
        <w:rPr>
          <w:rFonts w:eastAsia="Times New Roman"/>
          <w:lang w:eastAsia="sv-SE"/>
        </w:rPr>
        <w:t>bär att majoriteten av brottsoffren aldrig får se sin gärningsman ställas till svars.</w:t>
      </w:r>
    </w:p>
    <w:p w:rsidRPr="0074265E" w:rsidR="0074265E" w:rsidP="00060453" w:rsidRDefault="0074265E" w14:paraId="13C14246" w14:textId="77777777">
      <w:pPr>
        <w:rPr>
          <w:rFonts w:eastAsia="Times New Roman"/>
          <w:lang w:eastAsia="sv-SE"/>
        </w:rPr>
      </w:pPr>
      <w:r w:rsidRPr="0074265E">
        <w:rPr>
          <w:rFonts w:eastAsia="Times New Roman"/>
          <w:lang w:eastAsia="sv-SE"/>
        </w:rPr>
        <w:t>Den låga uppklaringsprocenten skickar fel signaler: till gärningsmännen att risken för att åka fast är liten, och till brottsoffren att deras fall inte prioriteras. Det underminerar i grunden förtroendet för rättsväsendet.</w:t>
      </w:r>
    </w:p>
    <w:p w:rsidR="008B61CE" w:rsidP="00060453" w:rsidRDefault="0074265E" w14:paraId="6FAF37B9" w14:textId="6740FF5B">
      <w:pPr>
        <w:rPr>
          <w:rFonts w:eastAsia="Times New Roman"/>
          <w:lang w:eastAsia="sv-SE"/>
        </w:rPr>
      </w:pPr>
      <w:r w:rsidRPr="0074265E">
        <w:rPr>
          <w:rFonts w:eastAsia="Times New Roman"/>
          <w:lang w:eastAsia="sv-SE"/>
        </w:rPr>
        <w:t>För att höja uppklaringsprocenten krävs fler resurser till polisens sexualbrotts</w:t>
      </w:r>
      <w:r w:rsidR="00AA7762">
        <w:rPr>
          <w:rFonts w:eastAsia="Times New Roman"/>
          <w:lang w:eastAsia="sv-SE"/>
        </w:rPr>
        <w:softHyphen/>
      </w:r>
      <w:r w:rsidRPr="0074265E">
        <w:rPr>
          <w:rFonts w:eastAsia="Times New Roman"/>
          <w:lang w:eastAsia="sv-SE"/>
        </w:rPr>
        <w:t>utredningar, fler specialiserade utredare och bättre stöd till brottsoffer som deltar i rättsprocessen. Målet måste vara att en betydligt större andel av anmälda våldtäkter leder till åtal och dom.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E34FDCDF66D44FA9275D688B34D3F16"/>
        </w:placeholder>
      </w:sdtPr>
      <w:sdtEndPr/>
      <w:sdtContent>
        <w:p w:rsidR="00B12B05" w:rsidP="00B12B05" w:rsidRDefault="00B12B05" w14:paraId="364841F6" w14:textId="77777777"/>
        <w:p w:rsidR="00B12B05" w:rsidP="00B12B05" w:rsidRDefault="002F01E8" w14:paraId="0175CE6A" w14:textId="28893FB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E3FCB" w14:paraId="7618DE77" w14:textId="77777777">
        <w:trPr>
          <w:cantSplit/>
        </w:trPr>
        <w:tc>
          <w:tcPr>
            <w:tcW w:w="50" w:type="pct"/>
            <w:vAlign w:val="bottom"/>
          </w:tcPr>
          <w:p w:rsidR="00EE3FCB" w:rsidRDefault="00A53618" w14:paraId="4B647AFF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EE3FCB" w:rsidRDefault="00EE3FCB" w14:paraId="68CF5C6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E280924" w14:textId="1F7C794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5C74E" w14:textId="77777777" w:rsidR="002F01E8" w:rsidRDefault="002F01E8" w:rsidP="000C1CAD">
      <w:pPr>
        <w:spacing w:line="240" w:lineRule="auto"/>
      </w:pPr>
      <w:r>
        <w:separator/>
      </w:r>
    </w:p>
  </w:endnote>
  <w:endnote w:type="continuationSeparator" w:id="0">
    <w:p w14:paraId="4F49B6F8" w14:textId="77777777" w:rsidR="002F01E8" w:rsidRDefault="002F01E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A03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741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02CB8" w14:textId="78DFCC45" w:rsidR="00262EA3" w:rsidRPr="00B12B05" w:rsidRDefault="00262EA3" w:rsidP="00B12B0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C989F" w14:textId="77777777" w:rsidR="002F01E8" w:rsidRDefault="002F01E8" w:rsidP="000C1CAD">
      <w:pPr>
        <w:spacing w:line="240" w:lineRule="auto"/>
      </w:pPr>
      <w:r>
        <w:separator/>
      </w:r>
    </w:p>
  </w:footnote>
  <w:footnote w:type="continuationSeparator" w:id="0">
    <w:p w14:paraId="47914156" w14:textId="77777777" w:rsidR="002F01E8" w:rsidRDefault="002F01E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167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82CD1FE" wp14:editId="2A80C22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2F5E64" w14:textId="04248EE0" w:rsidR="00262EA3" w:rsidRDefault="002F01E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748E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B61CE">
                                <w:t>1985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2CD1F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02F5E64" w14:textId="04248EE0" w:rsidR="00262EA3" w:rsidRDefault="002F01E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748E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B61CE">
                          <w:t>1985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64E640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D302" w14:textId="77777777" w:rsidR="00262EA3" w:rsidRDefault="00262EA3" w:rsidP="008563AC">
    <w:pPr>
      <w:jc w:val="right"/>
    </w:pPr>
  </w:p>
  <w:p w14:paraId="58B2BC1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C728" w14:textId="77777777" w:rsidR="00262EA3" w:rsidRDefault="002F01E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28A4696C" wp14:editId="466D0A4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D33A26" w14:textId="0647C9C5" w:rsidR="00262EA3" w:rsidRDefault="002F01E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12B0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748E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B61CE">
          <w:t>1985</w:t>
        </w:r>
      </w:sdtContent>
    </w:sdt>
  </w:p>
  <w:p w14:paraId="746A9DF1" w14:textId="77777777" w:rsidR="00262EA3" w:rsidRPr="008227B3" w:rsidRDefault="002F01E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93A1419" w14:textId="09D787E9" w:rsidR="00262EA3" w:rsidRPr="008227B3" w:rsidRDefault="002F01E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12B0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12B05">
          <w:t>:3380</w:t>
        </w:r>
      </w:sdtContent>
    </w:sdt>
  </w:p>
  <w:p w14:paraId="0421CC24" w14:textId="2251C140" w:rsidR="00262EA3" w:rsidRDefault="002F01E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12B05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FA13861" w14:textId="3A68EB39" w:rsidR="00262EA3" w:rsidRDefault="0074265E" w:rsidP="00283E0F">
        <w:pPr>
          <w:pStyle w:val="FSHRub2"/>
        </w:pPr>
        <w:r>
          <w:t>Höjning av personuppklaringsprocenten vid våldtäkter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FC96A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86974"/>
    <w:multiLevelType w:val="multilevel"/>
    <w:tmpl w:val="B2F2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9A037DC"/>
    <w:multiLevelType w:val="hybridMultilevel"/>
    <w:tmpl w:val="503681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98609038">
    <w:abstractNumId w:val="9"/>
  </w:num>
  <w:num w:numId="2" w16cid:durableId="975984988">
    <w:abstractNumId w:val="8"/>
  </w:num>
  <w:num w:numId="3" w16cid:durableId="837885881">
    <w:abstractNumId w:val="17"/>
  </w:num>
  <w:num w:numId="4" w16cid:durableId="514267058">
    <w:abstractNumId w:val="15"/>
  </w:num>
  <w:num w:numId="5" w16cid:durableId="945891723">
    <w:abstractNumId w:val="18"/>
  </w:num>
  <w:num w:numId="6" w16cid:durableId="246429199">
    <w:abstractNumId w:val="19"/>
  </w:num>
  <w:num w:numId="7" w16cid:durableId="1865055555">
    <w:abstractNumId w:val="12"/>
  </w:num>
  <w:num w:numId="8" w16cid:durableId="501553548">
    <w:abstractNumId w:val="13"/>
  </w:num>
  <w:num w:numId="9" w16cid:durableId="1128209202">
    <w:abstractNumId w:val="16"/>
  </w:num>
  <w:num w:numId="10" w16cid:durableId="1098021945">
    <w:abstractNumId w:val="24"/>
  </w:num>
  <w:num w:numId="11" w16cid:durableId="1466116572">
    <w:abstractNumId w:val="23"/>
  </w:num>
  <w:num w:numId="12" w16cid:durableId="1003359424">
    <w:abstractNumId w:val="23"/>
  </w:num>
  <w:num w:numId="13" w16cid:durableId="1319768895">
    <w:abstractNumId w:val="3"/>
  </w:num>
  <w:num w:numId="14" w16cid:durableId="1182933368">
    <w:abstractNumId w:val="2"/>
  </w:num>
  <w:num w:numId="15" w16cid:durableId="683937532">
    <w:abstractNumId w:val="1"/>
  </w:num>
  <w:num w:numId="16" w16cid:durableId="538472805">
    <w:abstractNumId w:val="0"/>
  </w:num>
  <w:num w:numId="17" w16cid:durableId="1530991450">
    <w:abstractNumId w:val="7"/>
  </w:num>
  <w:num w:numId="18" w16cid:durableId="1754203534">
    <w:abstractNumId w:val="6"/>
  </w:num>
  <w:num w:numId="19" w16cid:durableId="1934246350">
    <w:abstractNumId w:val="5"/>
  </w:num>
  <w:num w:numId="20" w16cid:durableId="996802566">
    <w:abstractNumId w:val="4"/>
  </w:num>
  <w:num w:numId="21" w16cid:durableId="2035378044">
    <w:abstractNumId w:val="23"/>
  </w:num>
  <w:num w:numId="22" w16cid:durableId="1612124470">
    <w:abstractNumId w:val="23"/>
  </w:num>
  <w:num w:numId="23" w16cid:durableId="660737749">
    <w:abstractNumId w:val="23"/>
  </w:num>
  <w:num w:numId="24" w16cid:durableId="2086489630">
    <w:abstractNumId w:val="23"/>
  </w:num>
  <w:num w:numId="25" w16cid:durableId="1231572655">
    <w:abstractNumId w:val="23"/>
  </w:num>
  <w:num w:numId="26" w16cid:durableId="1239755269">
    <w:abstractNumId w:val="24"/>
  </w:num>
  <w:num w:numId="27" w16cid:durableId="566375938">
    <w:abstractNumId w:val="24"/>
  </w:num>
  <w:num w:numId="28" w16cid:durableId="1473713147">
    <w:abstractNumId w:val="24"/>
  </w:num>
  <w:num w:numId="29" w16cid:durableId="615406974">
    <w:abstractNumId w:val="24"/>
  </w:num>
  <w:num w:numId="30" w16cid:durableId="1312295748">
    <w:abstractNumId w:val="23"/>
  </w:num>
  <w:num w:numId="31" w16cid:durableId="667169710">
    <w:abstractNumId w:val="23"/>
  </w:num>
  <w:num w:numId="32" w16cid:durableId="571812193">
    <w:abstractNumId w:val="24"/>
  </w:num>
  <w:num w:numId="33" w16cid:durableId="1632055798">
    <w:abstractNumId w:val="23"/>
  </w:num>
  <w:num w:numId="34" w16cid:durableId="921793027">
    <w:abstractNumId w:val="19"/>
  </w:num>
  <w:num w:numId="35" w16cid:durableId="1010370781">
    <w:abstractNumId w:val="19"/>
    <w:lvlOverride w:ilvl="0">
      <w:startOverride w:val="1"/>
    </w:lvlOverride>
  </w:num>
  <w:num w:numId="36" w16cid:durableId="1336224113">
    <w:abstractNumId w:val="20"/>
  </w:num>
  <w:num w:numId="37" w16cid:durableId="564411487">
    <w:abstractNumId w:val="19"/>
    <w:lvlOverride w:ilvl="0">
      <w:startOverride w:val="1"/>
    </w:lvlOverride>
  </w:num>
  <w:num w:numId="38" w16cid:durableId="1876113606">
    <w:abstractNumId w:val="14"/>
  </w:num>
  <w:num w:numId="39" w16cid:durableId="239675135">
    <w:abstractNumId w:val="10"/>
  </w:num>
  <w:num w:numId="40" w16cid:durableId="1082142245">
    <w:abstractNumId w:val="21"/>
  </w:num>
  <w:num w:numId="41" w16cid:durableId="1469516310">
    <w:abstractNumId w:val="22"/>
  </w:num>
  <w:num w:numId="42" w16cid:durableId="23717480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748E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453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7C7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6BB7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1E8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37DB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65E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55C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CB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1CE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48E9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18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A7762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2B05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27A18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91D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4A3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3FCB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EA351"/>
  <w15:chartTrackingRefBased/>
  <w15:docId w15:val="{5433378B-ABAE-40F8-82CE-2FBA7B81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95D956594F4D7B889B2FEEB7989C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6619B-473A-47CC-A6EB-25163955D68B}"/>
      </w:docPartPr>
      <w:docPartBody>
        <w:p w:rsidR="00F42DF4" w:rsidRDefault="00F42DF4">
          <w:pPr>
            <w:pStyle w:val="0995D956594F4D7B889B2FEEB7989C6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E69233D46654AF2A2C633983D4B75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E1956A-47B9-4B60-888B-8FE1C1386C04}"/>
      </w:docPartPr>
      <w:docPartBody>
        <w:p w:rsidR="00F42DF4" w:rsidRDefault="00F42DF4">
          <w:pPr>
            <w:pStyle w:val="AE69233D46654AF2A2C633983D4B759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E34FDCDF66D44FA9275D688B34D3F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7B910E-1840-45DF-9D50-49F0EE23D024}"/>
      </w:docPartPr>
      <w:docPartBody>
        <w:p w:rsidR="00754696" w:rsidRDefault="0075469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38165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F4"/>
    <w:rsid w:val="001E651F"/>
    <w:rsid w:val="00754696"/>
    <w:rsid w:val="00886CBD"/>
    <w:rsid w:val="00E47F79"/>
    <w:rsid w:val="00E624A3"/>
    <w:rsid w:val="00F4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995D956594F4D7B889B2FEEB7989C6A">
    <w:name w:val="0995D956594F4D7B889B2FEEB7989C6A"/>
  </w:style>
  <w:style w:type="paragraph" w:customStyle="1" w:styleId="AE69233D46654AF2A2C633983D4B7590">
    <w:name w:val="AE69233D46654AF2A2C633983D4B75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4B42E4-24DD-473F-9DE1-A3A281819CC8}"/>
</file>

<file path=customXml/itemProps2.xml><?xml version="1.0" encoding="utf-8"?>
<ds:datastoreItem xmlns:ds="http://schemas.openxmlformats.org/officeDocument/2006/customXml" ds:itemID="{531A6A60-895F-427A-86EA-A5DF17449551}"/>
</file>

<file path=customXml/itemProps3.xml><?xml version="1.0" encoding="utf-8"?>
<ds:datastoreItem xmlns:ds="http://schemas.openxmlformats.org/officeDocument/2006/customXml" ds:itemID="{B9DEE74E-0F1D-40F4-B2F9-20E0EE885AEA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993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Krafttag mot den ökande sexualbrottsligheten</vt:lpstr>
      <vt:lpstr>
      </vt:lpstr>
    </vt:vector>
  </TitlesOfParts>
  <Company>Sveriges riksdag</Company>
  <LinksUpToDate>false</LinksUpToDate>
  <CharactersWithSpaces>1143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