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32B94" w:rsidRPr="001822DA">
        <w:tblPrEx>
          <w:tblCellMar>
            <w:top w:w="0" w:type="dxa"/>
            <w:bottom w:w="0" w:type="dxa"/>
          </w:tblCellMar>
        </w:tblPrEx>
        <w:tc>
          <w:tcPr>
            <w:tcW w:w="2268" w:type="dxa"/>
          </w:tcPr>
          <w:p w:rsidR="00832B94" w:rsidRPr="001822DA" w:rsidRDefault="00832B94">
            <w:pPr>
              <w:framePr w:w="4400" w:h="1644" w:wrap="notBeside" w:vAnchor="page" w:hAnchor="page" w:x="6573" w:y="721"/>
              <w:rPr>
                <w:rFonts w:ascii="TradeGothic" w:hAnsi="TradeGothic"/>
                <w:i/>
                <w:sz w:val="18"/>
              </w:rPr>
            </w:pPr>
          </w:p>
        </w:tc>
        <w:tc>
          <w:tcPr>
            <w:tcW w:w="2347" w:type="dxa"/>
            <w:gridSpan w:val="2"/>
          </w:tcPr>
          <w:p w:rsidR="00832B94" w:rsidRPr="001822DA" w:rsidRDefault="00832B94">
            <w:pPr>
              <w:framePr w:w="4400" w:h="1644" w:wrap="notBeside" w:vAnchor="page" w:hAnchor="page" w:x="6573" w:y="721"/>
              <w:rPr>
                <w:rFonts w:ascii="TradeGothic" w:hAnsi="TradeGothic"/>
                <w:i/>
                <w:sz w:val="18"/>
              </w:rPr>
            </w:pPr>
          </w:p>
        </w:tc>
      </w:tr>
      <w:tr w:rsidR="00832B94" w:rsidRPr="001822DA">
        <w:tblPrEx>
          <w:tblCellMar>
            <w:top w:w="0" w:type="dxa"/>
            <w:bottom w:w="0" w:type="dxa"/>
          </w:tblCellMar>
        </w:tblPrEx>
        <w:trPr>
          <w:cantSplit/>
        </w:trPr>
        <w:tc>
          <w:tcPr>
            <w:tcW w:w="4615" w:type="dxa"/>
            <w:gridSpan w:val="3"/>
          </w:tcPr>
          <w:p w:rsidR="00832B94" w:rsidRPr="001822DA" w:rsidRDefault="00832B94">
            <w:pPr>
              <w:framePr w:w="4400" w:h="1644" w:wrap="notBeside" w:vAnchor="page" w:hAnchor="page" w:x="6573" w:y="721"/>
              <w:rPr>
                <w:rFonts w:ascii="TradeGothic" w:hAnsi="TradeGothic"/>
                <w:b/>
                <w:sz w:val="22"/>
              </w:rPr>
            </w:pPr>
            <w:r w:rsidRPr="001822DA">
              <w:rPr>
                <w:rFonts w:ascii="TradeGothic" w:hAnsi="TradeGothic"/>
                <w:b/>
                <w:sz w:val="22"/>
              </w:rPr>
              <w:t>Rådspromemoria</w:t>
            </w:r>
          </w:p>
        </w:tc>
      </w:tr>
      <w:tr w:rsidR="00832B94" w:rsidRPr="001822DA">
        <w:tblPrEx>
          <w:tblCellMar>
            <w:top w:w="0" w:type="dxa"/>
            <w:bottom w:w="0" w:type="dxa"/>
          </w:tblCellMar>
        </w:tblPrEx>
        <w:tc>
          <w:tcPr>
            <w:tcW w:w="3402" w:type="dxa"/>
            <w:gridSpan w:val="2"/>
          </w:tcPr>
          <w:p w:rsidR="00832B94" w:rsidRPr="001822DA" w:rsidRDefault="00832B94">
            <w:pPr>
              <w:framePr w:w="4400" w:h="1644" w:wrap="notBeside" w:vAnchor="page" w:hAnchor="page" w:x="6573" w:y="721"/>
            </w:pPr>
          </w:p>
        </w:tc>
        <w:tc>
          <w:tcPr>
            <w:tcW w:w="1213" w:type="dxa"/>
          </w:tcPr>
          <w:p w:rsidR="00832B94" w:rsidRPr="001822DA" w:rsidRDefault="00832B94">
            <w:pPr>
              <w:framePr w:w="4400" w:h="1644" w:wrap="notBeside" w:vAnchor="page" w:hAnchor="page" w:x="6573" w:y="721"/>
            </w:pPr>
          </w:p>
        </w:tc>
      </w:tr>
      <w:tr w:rsidR="00832B94" w:rsidRPr="001822DA">
        <w:tblPrEx>
          <w:tblCellMar>
            <w:top w:w="0" w:type="dxa"/>
            <w:bottom w:w="0" w:type="dxa"/>
          </w:tblCellMar>
        </w:tblPrEx>
        <w:tc>
          <w:tcPr>
            <w:tcW w:w="2268" w:type="dxa"/>
          </w:tcPr>
          <w:p w:rsidR="00832B94" w:rsidRPr="001822DA" w:rsidRDefault="005757FB">
            <w:pPr>
              <w:framePr w:w="4400" w:h="1644" w:wrap="notBeside" w:vAnchor="page" w:hAnchor="page" w:x="6573" w:y="721"/>
            </w:pPr>
            <w:r w:rsidRPr="001822DA">
              <w:t>2007-11-15</w:t>
            </w:r>
          </w:p>
          <w:p w:rsidR="005757FB" w:rsidRPr="001822DA" w:rsidRDefault="005757FB">
            <w:pPr>
              <w:framePr w:w="4400" w:h="1644" w:wrap="notBeside" w:vAnchor="page" w:hAnchor="page" w:x="6573" w:y="721"/>
            </w:pPr>
          </w:p>
        </w:tc>
        <w:tc>
          <w:tcPr>
            <w:tcW w:w="2347" w:type="dxa"/>
            <w:gridSpan w:val="2"/>
          </w:tcPr>
          <w:p w:rsidR="00832B94" w:rsidRPr="001822DA" w:rsidRDefault="00832B94">
            <w:pPr>
              <w:framePr w:w="4400" w:h="1644" w:wrap="notBeside" w:vAnchor="page" w:hAnchor="page" w:x="6573" w:y="721"/>
            </w:pPr>
          </w:p>
        </w:tc>
      </w:tr>
      <w:tr w:rsidR="00832B94" w:rsidRPr="001822DA">
        <w:tblPrEx>
          <w:tblCellMar>
            <w:top w:w="0" w:type="dxa"/>
            <w:bottom w:w="0" w:type="dxa"/>
          </w:tblCellMar>
        </w:tblPrEx>
        <w:tc>
          <w:tcPr>
            <w:tcW w:w="2268" w:type="dxa"/>
          </w:tcPr>
          <w:p w:rsidR="00832B94" w:rsidRPr="001822DA" w:rsidRDefault="00832B94">
            <w:pPr>
              <w:framePr w:w="4400" w:h="1644" w:wrap="notBeside" w:vAnchor="page" w:hAnchor="page" w:x="6573" w:y="721"/>
            </w:pPr>
          </w:p>
        </w:tc>
        <w:tc>
          <w:tcPr>
            <w:tcW w:w="2347" w:type="dxa"/>
            <w:gridSpan w:val="2"/>
          </w:tcPr>
          <w:p w:rsidR="00832B94" w:rsidRPr="001822DA" w:rsidRDefault="00832B9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32B94" w:rsidRPr="001822DA">
        <w:tblPrEx>
          <w:tblCellMar>
            <w:top w:w="0" w:type="dxa"/>
            <w:bottom w:w="0" w:type="dxa"/>
          </w:tblCellMar>
        </w:tblPrEx>
        <w:trPr>
          <w:trHeight w:val="284"/>
        </w:trPr>
        <w:tc>
          <w:tcPr>
            <w:tcW w:w="4911" w:type="dxa"/>
          </w:tcPr>
          <w:p w:rsidR="00832B94" w:rsidRPr="001822DA" w:rsidRDefault="00832B94">
            <w:pPr>
              <w:pStyle w:val="Avsndare"/>
              <w:framePr w:h="2483" w:wrap="notBeside" w:x="1504"/>
              <w:rPr>
                <w:b/>
                <w:i w:val="0"/>
                <w:sz w:val="22"/>
              </w:rPr>
            </w:pPr>
            <w:r w:rsidRPr="001822DA">
              <w:rPr>
                <w:b/>
                <w:i w:val="0"/>
                <w:sz w:val="22"/>
              </w:rPr>
              <w:t>Näringsdepartementet</w:t>
            </w:r>
          </w:p>
        </w:tc>
      </w:tr>
      <w:tr w:rsidR="00832B94" w:rsidRPr="001822DA">
        <w:tblPrEx>
          <w:tblCellMar>
            <w:top w:w="0" w:type="dxa"/>
            <w:bottom w:w="0" w:type="dxa"/>
          </w:tblCellMar>
        </w:tblPrEx>
        <w:trPr>
          <w:trHeight w:val="284"/>
        </w:trPr>
        <w:tc>
          <w:tcPr>
            <w:tcW w:w="4911" w:type="dxa"/>
          </w:tcPr>
          <w:p w:rsidR="00832B94" w:rsidRPr="001822DA" w:rsidRDefault="00832B94">
            <w:pPr>
              <w:pStyle w:val="Avsndare"/>
              <w:framePr w:h="2483" w:wrap="notBeside" w:x="1504"/>
              <w:rPr>
                <w:bCs/>
                <w:iCs/>
              </w:rPr>
            </w:pPr>
          </w:p>
        </w:tc>
      </w:tr>
      <w:tr w:rsidR="00832B94" w:rsidRPr="001822DA">
        <w:tblPrEx>
          <w:tblCellMar>
            <w:top w:w="0" w:type="dxa"/>
            <w:bottom w:w="0" w:type="dxa"/>
          </w:tblCellMar>
        </w:tblPrEx>
        <w:trPr>
          <w:trHeight w:val="284"/>
        </w:trPr>
        <w:tc>
          <w:tcPr>
            <w:tcW w:w="4911" w:type="dxa"/>
          </w:tcPr>
          <w:p w:rsidR="00832B94" w:rsidRPr="001822DA" w:rsidRDefault="00832B94">
            <w:pPr>
              <w:pStyle w:val="Avsndare"/>
              <w:framePr w:h="2483" w:wrap="notBeside" w:x="1504"/>
              <w:rPr>
                <w:bCs/>
                <w:iCs/>
              </w:rPr>
            </w:pPr>
          </w:p>
        </w:tc>
      </w:tr>
      <w:tr w:rsidR="00832B94" w:rsidRPr="001822DA">
        <w:tblPrEx>
          <w:tblCellMar>
            <w:top w:w="0" w:type="dxa"/>
            <w:bottom w:w="0" w:type="dxa"/>
          </w:tblCellMar>
        </w:tblPrEx>
        <w:trPr>
          <w:trHeight w:val="284"/>
        </w:trPr>
        <w:tc>
          <w:tcPr>
            <w:tcW w:w="4911" w:type="dxa"/>
          </w:tcPr>
          <w:p w:rsidR="00832B94" w:rsidRPr="001822DA" w:rsidRDefault="00832B94">
            <w:pPr>
              <w:pStyle w:val="Avsndare"/>
              <w:framePr w:h="2483" w:wrap="notBeside" w:x="1504"/>
              <w:rPr>
                <w:bCs/>
                <w:iCs/>
              </w:rPr>
            </w:pPr>
          </w:p>
        </w:tc>
      </w:tr>
      <w:tr w:rsidR="00832B94" w:rsidRPr="001822DA">
        <w:tblPrEx>
          <w:tblCellMar>
            <w:top w:w="0" w:type="dxa"/>
            <w:bottom w:w="0" w:type="dxa"/>
          </w:tblCellMar>
        </w:tblPrEx>
        <w:trPr>
          <w:trHeight w:val="284"/>
        </w:trPr>
        <w:tc>
          <w:tcPr>
            <w:tcW w:w="4911" w:type="dxa"/>
          </w:tcPr>
          <w:p w:rsidR="00832B94" w:rsidRPr="001822DA" w:rsidRDefault="00832B94">
            <w:pPr>
              <w:pStyle w:val="Avsndare"/>
              <w:framePr w:h="2483" w:wrap="notBeside" w:x="1504"/>
              <w:rPr>
                <w:bCs/>
                <w:iCs/>
              </w:rPr>
            </w:pPr>
          </w:p>
        </w:tc>
      </w:tr>
      <w:tr w:rsidR="00832B94" w:rsidRPr="001822DA">
        <w:tblPrEx>
          <w:tblCellMar>
            <w:top w:w="0" w:type="dxa"/>
            <w:bottom w:w="0" w:type="dxa"/>
          </w:tblCellMar>
        </w:tblPrEx>
        <w:trPr>
          <w:trHeight w:val="284"/>
        </w:trPr>
        <w:tc>
          <w:tcPr>
            <w:tcW w:w="4911" w:type="dxa"/>
          </w:tcPr>
          <w:p w:rsidR="00832B94" w:rsidRPr="001822DA" w:rsidRDefault="00832B94">
            <w:pPr>
              <w:pStyle w:val="Avsndare"/>
              <w:framePr w:h="2483" w:wrap="notBeside" w:x="1504"/>
              <w:rPr>
                <w:bCs/>
                <w:iCs/>
              </w:rPr>
            </w:pPr>
          </w:p>
        </w:tc>
      </w:tr>
      <w:tr w:rsidR="00832B94" w:rsidRPr="001822DA">
        <w:tblPrEx>
          <w:tblCellMar>
            <w:top w:w="0" w:type="dxa"/>
            <w:bottom w:w="0" w:type="dxa"/>
          </w:tblCellMar>
        </w:tblPrEx>
        <w:trPr>
          <w:trHeight w:val="284"/>
        </w:trPr>
        <w:tc>
          <w:tcPr>
            <w:tcW w:w="4911" w:type="dxa"/>
          </w:tcPr>
          <w:p w:rsidR="00832B94" w:rsidRPr="001822DA" w:rsidRDefault="00832B94">
            <w:pPr>
              <w:pStyle w:val="Avsndare"/>
              <w:framePr w:h="2483" w:wrap="notBeside" w:x="1504"/>
              <w:rPr>
                <w:bCs/>
                <w:iCs/>
              </w:rPr>
            </w:pPr>
          </w:p>
        </w:tc>
      </w:tr>
      <w:tr w:rsidR="00832B94" w:rsidRPr="001822DA">
        <w:tblPrEx>
          <w:tblCellMar>
            <w:top w:w="0" w:type="dxa"/>
            <w:bottom w:w="0" w:type="dxa"/>
          </w:tblCellMar>
        </w:tblPrEx>
        <w:trPr>
          <w:trHeight w:val="284"/>
        </w:trPr>
        <w:tc>
          <w:tcPr>
            <w:tcW w:w="4911" w:type="dxa"/>
          </w:tcPr>
          <w:p w:rsidR="00832B94" w:rsidRPr="001822DA" w:rsidRDefault="00832B94">
            <w:pPr>
              <w:pStyle w:val="Avsndare"/>
              <w:framePr w:h="2483" w:wrap="notBeside" w:x="1504"/>
              <w:rPr>
                <w:bCs/>
                <w:iCs/>
              </w:rPr>
            </w:pPr>
          </w:p>
        </w:tc>
      </w:tr>
      <w:tr w:rsidR="00832B94" w:rsidRPr="001822DA">
        <w:tblPrEx>
          <w:tblCellMar>
            <w:top w:w="0" w:type="dxa"/>
            <w:bottom w:w="0" w:type="dxa"/>
          </w:tblCellMar>
        </w:tblPrEx>
        <w:trPr>
          <w:trHeight w:val="284"/>
        </w:trPr>
        <w:tc>
          <w:tcPr>
            <w:tcW w:w="4911" w:type="dxa"/>
          </w:tcPr>
          <w:p w:rsidR="00832B94" w:rsidRPr="001822DA" w:rsidRDefault="00832B94">
            <w:pPr>
              <w:pStyle w:val="Avsndare"/>
              <w:framePr w:h="2483" w:wrap="notBeside" w:x="1504"/>
              <w:rPr>
                <w:bCs/>
                <w:iCs/>
              </w:rPr>
            </w:pPr>
          </w:p>
        </w:tc>
      </w:tr>
    </w:tbl>
    <w:p w:rsidR="00832B94" w:rsidRPr="001822DA" w:rsidRDefault="00832B94">
      <w:pPr>
        <w:framePr w:w="4400" w:h="2523" w:wrap="notBeside" w:vAnchor="page" w:hAnchor="page" w:x="6453" w:y="2445"/>
        <w:ind w:left="142"/>
        <w:rPr>
          <w:b/>
        </w:rPr>
      </w:pPr>
    </w:p>
    <w:p w:rsidR="00832B94" w:rsidRPr="001822DA" w:rsidRDefault="0063618A">
      <w:pPr>
        <w:pStyle w:val="RKrubrik"/>
        <w:pBdr>
          <w:bottom w:val="single" w:sz="6" w:space="1" w:color="auto"/>
        </w:pBdr>
      </w:pPr>
      <w:bookmarkStart w:id="0" w:name="bRubrik"/>
      <w:bookmarkEnd w:id="0"/>
      <w:r w:rsidRPr="001822DA">
        <w:t>TTE-r</w:t>
      </w:r>
      <w:r w:rsidR="00832B94" w:rsidRPr="001822DA">
        <w:t xml:space="preserve">ådets möte </w:t>
      </w:r>
      <w:r w:rsidRPr="001822DA">
        <w:t>den 29</w:t>
      </w:r>
      <w:r w:rsidR="0061090A" w:rsidRPr="001822DA">
        <w:t xml:space="preserve"> </w:t>
      </w:r>
      <w:r w:rsidRPr="001822DA">
        <w:t>november 2007</w:t>
      </w:r>
    </w:p>
    <w:p w:rsidR="00832B94" w:rsidRPr="001822DA" w:rsidRDefault="00832B94">
      <w:pPr>
        <w:pStyle w:val="RKnormal"/>
      </w:pPr>
    </w:p>
    <w:p w:rsidR="001429AE" w:rsidRPr="001822DA" w:rsidRDefault="0063618A" w:rsidP="001429AE">
      <w:pPr>
        <w:pStyle w:val="RKnormal"/>
      </w:pPr>
      <w:r w:rsidRPr="001822DA">
        <w:t>Dagordningspunkt: 7</w:t>
      </w:r>
      <w:r w:rsidR="00F10B9C" w:rsidRPr="001822DA">
        <w:t>a</w:t>
      </w:r>
    </w:p>
    <w:p w:rsidR="001429AE" w:rsidRPr="001822DA" w:rsidRDefault="001429AE" w:rsidP="001429AE">
      <w:pPr>
        <w:pStyle w:val="RKnormal"/>
      </w:pPr>
    </w:p>
    <w:p w:rsidR="00774CEC" w:rsidRPr="001822DA" w:rsidRDefault="00832B94" w:rsidP="00774CEC">
      <w:pPr>
        <w:pStyle w:val="RKnormal"/>
      </w:pPr>
      <w:r w:rsidRPr="001822DA">
        <w:t>Rubrik:</w:t>
      </w:r>
      <w:r w:rsidR="0063618A" w:rsidRPr="001822DA">
        <w:t xml:space="preserve"> </w:t>
      </w:r>
      <w:r w:rsidR="00774CEC" w:rsidRPr="001822DA">
        <w:t xml:space="preserve">Meddelande från kommissionen om förbättrade villkor för åldrande i informationssamhället </w:t>
      </w:r>
      <w:r w:rsidR="00774CEC" w:rsidRPr="001822DA">
        <w:rPr>
          <w:iCs/>
        </w:rPr>
        <w:t>– Ett initiativ inom ramen för i2010 – Handlingsplan för ITK och åldrande.</w:t>
      </w:r>
    </w:p>
    <w:p w:rsidR="001429AE" w:rsidRPr="001822DA" w:rsidRDefault="001429AE" w:rsidP="0063618A">
      <w:pPr>
        <w:pStyle w:val="Default"/>
      </w:pPr>
    </w:p>
    <w:p w:rsidR="0063618A" w:rsidRPr="001822DA" w:rsidRDefault="00832B94" w:rsidP="00824B0C">
      <w:pPr>
        <w:rPr>
          <w:sz w:val="22"/>
          <w:szCs w:val="22"/>
        </w:rPr>
      </w:pPr>
      <w:r w:rsidRPr="001822DA">
        <w:t>Dokument:</w:t>
      </w:r>
      <w:r w:rsidR="0063618A" w:rsidRPr="001822DA">
        <w:t xml:space="preserve"> </w:t>
      </w:r>
    </w:p>
    <w:p w:rsidR="0063618A" w:rsidRPr="001822DA" w:rsidRDefault="0063618A" w:rsidP="0063618A">
      <w:pPr>
        <w:pStyle w:val="Default"/>
        <w:rPr>
          <w:color w:val="auto"/>
          <w:sz w:val="22"/>
          <w:szCs w:val="22"/>
        </w:rPr>
      </w:pPr>
      <w:r w:rsidRPr="001822DA">
        <w:rPr>
          <w:rFonts w:ascii="OrigGarmnd BT" w:hAnsi="OrigGarmnd BT"/>
        </w:rPr>
        <w:t xml:space="preserve">10971/07 TELECOM 90 SOC 258 RECH 194 SAN 137 </w:t>
      </w:r>
    </w:p>
    <w:p w:rsidR="0063618A" w:rsidRPr="001822DA" w:rsidRDefault="0063618A" w:rsidP="0063618A">
      <w:pPr>
        <w:pStyle w:val="Default"/>
        <w:rPr>
          <w:color w:val="auto"/>
          <w:sz w:val="22"/>
          <w:szCs w:val="22"/>
        </w:rPr>
      </w:pPr>
      <w:r w:rsidRPr="001822DA">
        <w:rPr>
          <w:rFonts w:ascii="OrigGarmnd BT" w:hAnsi="OrigGarmnd BT"/>
        </w:rPr>
        <w:t>14278/1/07 TELECOM 124 SOC 395 RECH 276 SAN 183 REV 1</w:t>
      </w:r>
    </w:p>
    <w:p w:rsidR="00832B94" w:rsidRPr="001822DA" w:rsidRDefault="00832B94">
      <w:pPr>
        <w:pStyle w:val="RKnormal"/>
      </w:pPr>
    </w:p>
    <w:p w:rsidR="00832B94" w:rsidRPr="001822DA" w:rsidRDefault="0063618A">
      <w:pPr>
        <w:pStyle w:val="RKnormal"/>
      </w:pPr>
      <w:r w:rsidRPr="001822DA">
        <w:t xml:space="preserve">Tidigare dokument: inga         </w:t>
      </w:r>
    </w:p>
    <w:p w:rsidR="00832B94" w:rsidRPr="001822DA" w:rsidRDefault="00832B94">
      <w:pPr>
        <w:pStyle w:val="RKnormal"/>
      </w:pPr>
    </w:p>
    <w:p w:rsidR="00832B94" w:rsidRPr="001822DA" w:rsidRDefault="00774CEC">
      <w:pPr>
        <w:pStyle w:val="RKnormal"/>
      </w:pPr>
      <w:r w:rsidRPr="001822DA">
        <w:t>Frågan har inte tidigare varit uppe i EU-nämnden.</w:t>
      </w:r>
    </w:p>
    <w:p w:rsidR="000A45F4" w:rsidRPr="001822DA" w:rsidRDefault="00832B94" w:rsidP="000A45F4">
      <w:pPr>
        <w:pStyle w:val="RKrubrik"/>
      </w:pPr>
      <w:r w:rsidRPr="001822DA">
        <w:t>Bakgrund</w:t>
      </w:r>
    </w:p>
    <w:p w:rsidR="000A45F4" w:rsidRPr="001822DA" w:rsidRDefault="000A45F4" w:rsidP="000A45F4">
      <w:pPr>
        <w:overflowPunct/>
        <w:spacing w:line="240" w:lineRule="atLeast"/>
        <w:textAlignment w:val="auto"/>
        <w:rPr>
          <w:szCs w:val="24"/>
        </w:rPr>
      </w:pPr>
      <w:r w:rsidRPr="001822DA">
        <w:rPr>
          <w:lang w:eastAsia="sv-SE"/>
        </w:rPr>
        <w:t xml:space="preserve">Utmaningar och möjligheter är att antalet gamla ökar och blir alltmer IT-kunniga. Fler och fler kommer att bo i städer vilket underlättar möjligheterna för människor att ta hand om sig själva. </w:t>
      </w:r>
      <w:r w:rsidRPr="001822DA">
        <w:rPr>
          <w:szCs w:val="24"/>
        </w:rPr>
        <w:t>IKT kan hjälpa äldre personer</w:t>
      </w:r>
      <w:r w:rsidRPr="001822DA">
        <w:rPr>
          <w:b/>
          <w:szCs w:val="24"/>
        </w:rPr>
        <w:t xml:space="preserve"> </w:t>
      </w:r>
      <w:r w:rsidRPr="001822DA">
        <w:rPr>
          <w:szCs w:val="24"/>
        </w:rPr>
        <w:t xml:space="preserve">att förbättra sin livskvalitet, behålla hälsan och bo kvar i sina hem längre. </w:t>
      </w:r>
    </w:p>
    <w:p w:rsidR="000A45F4" w:rsidRPr="001822DA" w:rsidRDefault="000A45F4" w:rsidP="007803E8">
      <w:pPr>
        <w:rPr>
          <w:szCs w:val="24"/>
        </w:rPr>
      </w:pPr>
    </w:p>
    <w:p w:rsidR="0063618A" w:rsidRPr="001822DA" w:rsidRDefault="007803E8" w:rsidP="007803E8">
      <w:pPr>
        <w:rPr>
          <w:b/>
          <w:bCs/>
        </w:rPr>
      </w:pPr>
      <w:r w:rsidRPr="001822DA">
        <w:rPr>
          <w:szCs w:val="24"/>
        </w:rPr>
        <w:t xml:space="preserve">Kommissionen har beslutat att ta initiativ till en </w:t>
      </w:r>
      <w:r w:rsidRPr="001822DA">
        <w:rPr>
          <w:b/>
          <w:szCs w:val="24"/>
        </w:rPr>
        <w:t>handlingsplan för bättre villkor för åldrande i informationssamhället</w:t>
      </w:r>
      <w:r w:rsidRPr="001822DA">
        <w:rPr>
          <w:szCs w:val="24"/>
        </w:rPr>
        <w:t xml:space="preserve">, som presenteras i det här meddelandet </w:t>
      </w:r>
      <w:r w:rsidR="00BD016F" w:rsidRPr="001822DA">
        <w:rPr>
          <w:szCs w:val="24"/>
        </w:rPr>
        <w:t xml:space="preserve">av </w:t>
      </w:r>
      <w:r w:rsidRPr="001822DA">
        <w:rPr>
          <w:szCs w:val="24"/>
        </w:rPr>
        <w:t>den 18 juni 2007</w:t>
      </w:r>
      <w:r w:rsidR="00BD016F" w:rsidRPr="001822DA">
        <w:rPr>
          <w:szCs w:val="24"/>
        </w:rPr>
        <w:t>,</w:t>
      </w:r>
      <w:r w:rsidRPr="001822DA">
        <w:rPr>
          <w:szCs w:val="24"/>
        </w:rPr>
        <w:t xml:space="preserve"> i enlighet med vad som aviserades i i2010</w:t>
      </w:r>
      <w:r w:rsidRPr="001822DA">
        <w:rPr>
          <w:rStyle w:val="Fotnotsreferens"/>
          <w:szCs w:val="24"/>
        </w:rPr>
        <w:footnoteReference w:id="1"/>
      </w:r>
      <w:r w:rsidRPr="001822DA">
        <w:rPr>
          <w:szCs w:val="24"/>
        </w:rPr>
        <w:t xml:space="preserve">. </w:t>
      </w:r>
    </w:p>
    <w:p w:rsidR="0063618A" w:rsidRPr="001822DA" w:rsidRDefault="0063618A" w:rsidP="0063618A">
      <w:pPr>
        <w:tabs>
          <w:tab w:val="left" w:pos="-284"/>
        </w:tabs>
        <w:ind w:left="567" w:hanging="567"/>
      </w:pPr>
    </w:p>
    <w:p w:rsidR="0063618A" w:rsidRPr="001822DA" w:rsidRDefault="007D1C4A" w:rsidP="0063618A">
      <w:pPr>
        <w:ind w:left="567" w:hanging="567"/>
      </w:pPr>
      <w:r w:rsidRPr="001822DA">
        <w:t>Vid möten</w:t>
      </w:r>
      <w:r w:rsidR="0063618A" w:rsidRPr="001822DA">
        <w:t xml:space="preserve"> i september och oktober 2007 behandlade arbetsgruppen för</w:t>
      </w:r>
    </w:p>
    <w:p w:rsidR="0063618A" w:rsidRPr="001822DA" w:rsidRDefault="0063618A" w:rsidP="0063618A">
      <w:pPr>
        <w:ind w:left="567" w:hanging="567"/>
      </w:pPr>
      <w:r w:rsidRPr="001822DA">
        <w:t>telekommunikation och informationssamhället det utkast till rådets</w:t>
      </w:r>
    </w:p>
    <w:p w:rsidR="0063618A" w:rsidRPr="001822DA" w:rsidRDefault="0063618A" w:rsidP="0063618A">
      <w:pPr>
        <w:ind w:left="567" w:hanging="567"/>
      </w:pPr>
      <w:r w:rsidRPr="001822DA">
        <w:t>slutsatser i ärendet som föreslagits av ordförandeskapet och nådde en</w:t>
      </w:r>
    </w:p>
    <w:p w:rsidR="0063618A" w:rsidRPr="001822DA" w:rsidRDefault="0063618A" w:rsidP="0063618A">
      <w:pPr>
        <w:ind w:left="567" w:hanging="567"/>
      </w:pPr>
      <w:r w:rsidRPr="001822DA">
        <w:lastRenderedPageBreak/>
        <w:t xml:space="preserve">principöverenskommelse. </w:t>
      </w:r>
    </w:p>
    <w:p w:rsidR="002E1C47" w:rsidRPr="001822DA" w:rsidRDefault="002E1C47">
      <w:pPr>
        <w:pStyle w:val="RKnormal"/>
      </w:pPr>
    </w:p>
    <w:p w:rsidR="00832B94" w:rsidRPr="001822DA" w:rsidRDefault="00832B94">
      <w:pPr>
        <w:pStyle w:val="RKrubrik"/>
      </w:pPr>
      <w:r w:rsidRPr="001822DA">
        <w:t>Rättslig grund och beslutsförfarande</w:t>
      </w:r>
    </w:p>
    <w:p w:rsidR="00832B94" w:rsidRPr="001822DA" w:rsidRDefault="000A45F4">
      <w:pPr>
        <w:pStyle w:val="RKnormal"/>
      </w:pPr>
      <w:r w:rsidRPr="001822DA">
        <w:t>---</w:t>
      </w:r>
    </w:p>
    <w:p w:rsidR="00832B94" w:rsidRPr="001822DA" w:rsidRDefault="00832B94">
      <w:pPr>
        <w:pStyle w:val="RKrubrik"/>
        <w:rPr>
          <w:i/>
          <w:iCs/>
        </w:rPr>
      </w:pPr>
      <w:r w:rsidRPr="001822DA">
        <w:rPr>
          <w:i/>
          <w:iCs/>
        </w:rPr>
        <w:t>Svensk ståndpunkt</w:t>
      </w:r>
    </w:p>
    <w:p w:rsidR="00832B94" w:rsidRPr="001822DA" w:rsidRDefault="00DB12F9">
      <w:pPr>
        <w:pStyle w:val="RKnormal"/>
      </w:pPr>
      <w:r w:rsidRPr="001822DA">
        <w:t>Regeringen avser att Sverige bör</w:t>
      </w:r>
      <w:r w:rsidR="00BD016F" w:rsidRPr="001822DA">
        <w:t xml:space="preserve"> stödj</w:t>
      </w:r>
      <w:r w:rsidRPr="001822DA">
        <w:t xml:space="preserve">a </w:t>
      </w:r>
      <w:r w:rsidR="00BD016F" w:rsidRPr="001822DA">
        <w:t>slutsatserna</w:t>
      </w:r>
      <w:r w:rsidR="009C2191" w:rsidRPr="001822DA">
        <w:t xml:space="preserve"> </w:t>
      </w:r>
    </w:p>
    <w:p w:rsidR="00832B94" w:rsidRPr="001822DA" w:rsidRDefault="00832B94">
      <w:pPr>
        <w:pStyle w:val="RKrubrik"/>
      </w:pPr>
      <w:r w:rsidRPr="001822DA">
        <w:t>Europaparlamentets inställning</w:t>
      </w:r>
    </w:p>
    <w:p w:rsidR="00832B94" w:rsidRPr="001822DA" w:rsidRDefault="009C2191">
      <w:pPr>
        <w:pStyle w:val="RKnormal"/>
      </w:pPr>
      <w:r w:rsidRPr="001822DA">
        <w:t>okänd</w:t>
      </w:r>
    </w:p>
    <w:p w:rsidR="00832B94" w:rsidRPr="001822DA" w:rsidRDefault="00832B94">
      <w:pPr>
        <w:pStyle w:val="RKrubrik"/>
        <w:rPr>
          <w:i/>
          <w:iCs/>
        </w:rPr>
      </w:pPr>
      <w:r w:rsidRPr="001822DA">
        <w:rPr>
          <w:i/>
          <w:iCs/>
        </w:rPr>
        <w:t>Förslaget</w:t>
      </w:r>
    </w:p>
    <w:p w:rsidR="000A45F4" w:rsidRPr="001822DA" w:rsidRDefault="000A45F4" w:rsidP="000A45F4">
      <w:pPr>
        <w:rPr>
          <w:szCs w:val="24"/>
        </w:rPr>
      </w:pPr>
      <w:r w:rsidRPr="001822DA">
        <w:rPr>
          <w:szCs w:val="24"/>
        </w:rPr>
        <w:t xml:space="preserve">Handlingsplanen syftar inte bara till att möjliggöra en bättre livskvalitet för äldre människor, vilket ger betydande kostnadsbesparingar inom vård och omsorg, utan syftar också till att bidra till en stark industriell bas i Europa för IKT och åldrande. </w:t>
      </w:r>
    </w:p>
    <w:p w:rsidR="000A45F4" w:rsidRPr="001822DA" w:rsidRDefault="000A45F4" w:rsidP="000A45F4">
      <w:pPr>
        <w:rPr>
          <w:szCs w:val="24"/>
        </w:rPr>
      </w:pPr>
    </w:p>
    <w:p w:rsidR="000A45F4" w:rsidRPr="001822DA" w:rsidRDefault="000A45F4" w:rsidP="000A45F4">
      <w:pPr>
        <w:rPr>
          <w:szCs w:val="24"/>
        </w:rPr>
      </w:pPr>
      <w:r w:rsidRPr="001822DA">
        <w:rPr>
          <w:szCs w:val="24"/>
        </w:rPr>
        <w:t>Handlingsplanen är Europeiska kommissionens första åtgärd som föranletts av ministerförklaringen om e-integration</w:t>
      </w:r>
      <w:r w:rsidRPr="001822DA">
        <w:rPr>
          <w:rStyle w:val="Fotnotsreferens"/>
          <w:szCs w:val="24"/>
        </w:rPr>
        <w:footnoteReference w:id="2"/>
      </w:r>
      <w:r w:rsidRPr="001822DA">
        <w:rPr>
          <w:szCs w:val="24"/>
        </w:rPr>
        <w:t xml:space="preserve"> och främjar EU:s politik inom områdena tillväxt och konkurrenskraft enligt den reviderade Lissabonagendan, demografiska förändringar, sysselsättning, hälsa och jämlikhet</w:t>
      </w:r>
      <w:r w:rsidRPr="001822DA">
        <w:rPr>
          <w:rStyle w:val="Fotnotsreferens"/>
          <w:szCs w:val="24"/>
        </w:rPr>
        <w:footnoteReference w:id="3"/>
      </w:r>
      <w:r w:rsidRPr="001822DA">
        <w:rPr>
          <w:rStyle w:val="Fotnotsreferens"/>
          <w:szCs w:val="24"/>
        </w:rPr>
        <w:t>.</w:t>
      </w:r>
    </w:p>
    <w:p w:rsidR="000A45F4" w:rsidRPr="001822DA" w:rsidRDefault="000A45F4" w:rsidP="000A45F4">
      <w:pPr>
        <w:pStyle w:val="RKnormal"/>
      </w:pPr>
    </w:p>
    <w:p w:rsidR="000A45F4" w:rsidRPr="001822DA" w:rsidRDefault="000A45F4" w:rsidP="000A45F4">
      <w:pPr>
        <w:rPr>
          <w:szCs w:val="24"/>
        </w:rPr>
      </w:pPr>
      <w:r w:rsidRPr="001822DA">
        <w:rPr>
          <w:szCs w:val="24"/>
        </w:rPr>
        <w:t>Handlingsplanen består av följande fyra delar:</w:t>
      </w:r>
    </w:p>
    <w:p w:rsidR="000A45F4" w:rsidRPr="001822DA" w:rsidRDefault="000A45F4" w:rsidP="000A45F4">
      <w:pPr>
        <w:pStyle w:val="Numreradlista"/>
      </w:pPr>
      <w:r w:rsidRPr="001822DA">
        <w:t xml:space="preserve">Öka medvetenheten, uppnå samförstånd och fastställa gemensamma strategier. </w:t>
      </w:r>
    </w:p>
    <w:p w:rsidR="000A45F4" w:rsidRPr="001822DA" w:rsidRDefault="000A45F4" w:rsidP="000A45F4">
      <w:pPr>
        <w:pStyle w:val="Numreradlista"/>
      </w:pPr>
      <w:r w:rsidRPr="001822DA">
        <w:t xml:space="preserve">Införa gynnsamma villkor. </w:t>
      </w:r>
    </w:p>
    <w:p w:rsidR="000A45F4" w:rsidRPr="001822DA" w:rsidRDefault="000A45F4" w:rsidP="000A45F4">
      <w:pPr>
        <w:pStyle w:val="Numreradlista"/>
      </w:pPr>
      <w:r w:rsidRPr="001822DA">
        <w:t xml:space="preserve">Accelerera utnyttjandet av och investeringarna i validerade lösningar. </w:t>
      </w:r>
    </w:p>
    <w:p w:rsidR="000A45F4" w:rsidRPr="001822DA" w:rsidRDefault="000A45F4" w:rsidP="000A45F4">
      <w:pPr>
        <w:pStyle w:val="Numreradlista"/>
      </w:pPr>
      <w:r w:rsidRPr="001822DA">
        <w:t>Samordna förberedelserna inför framtiden genom forskning och innovation.</w:t>
      </w:r>
    </w:p>
    <w:p w:rsidR="00832B94" w:rsidRPr="001822DA" w:rsidRDefault="00832B94">
      <w:pPr>
        <w:pStyle w:val="RKrubrik"/>
        <w:rPr>
          <w:i/>
          <w:iCs/>
        </w:rPr>
      </w:pPr>
      <w:r w:rsidRPr="001822DA">
        <w:rPr>
          <w:i/>
          <w:iCs/>
        </w:rPr>
        <w:t>Gällande svenska regler och förslagets effekter på dessa</w:t>
      </w:r>
    </w:p>
    <w:p w:rsidR="00832B94" w:rsidRPr="001822DA" w:rsidRDefault="009C2191">
      <w:pPr>
        <w:pStyle w:val="RKnormal"/>
      </w:pPr>
      <w:r w:rsidRPr="001822DA">
        <w:t>inga</w:t>
      </w:r>
    </w:p>
    <w:p w:rsidR="00832B94" w:rsidRPr="001822DA" w:rsidRDefault="00832B94">
      <w:pPr>
        <w:pStyle w:val="RKrubrik"/>
      </w:pPr>
      <w:r w:rsidRPr="001822DA">
        <w:t>Ekonomiska konsekvenser</w:t>
      </w:r>
    </w:p>
    <w:p w:rsidR="009C2191" w:rsidRPr="001822DA" w:rsidRDefault="009C2191" w:rsidP="009C2191">
      <w:pPr>
        <w:pStyle w:val="RKnormal"/>
      </w:pPr>
      <w:r w:rsidRPr="001822DA">
        <w:t>inga</w:t>
      </w:r>
    </w:p>
    <w:p w:rsidR="00D3323C" w:rsidRPr="001822DA" w:rsidRDefault="00832B94" w:rsidP="00D3323C">
      <w:pPr>
        <w:pStyle w:val="RKrubrik"/>
      </w:pPr>
      <w:r w:rsidRPr="001822DA">
        <w:t>Övrigt</w:t>
      </w:r>
    </w:p>
    <w:p w:rsidR="00D3323C" w:rsidRPr="001822DA" w:rsidRDefault="004F402C" w:rsidP="004F402C">
      <w:pPr>
        <w:jc w:val="center"/>
        <w:rPr>
          <w:szCs w:val="24"/>
        </w:rPr>
      </w:pPr>
      <w:r w:rsidRPr="001822DA">
        <w:rPr>
          <w:szCs w:val="24"/>
        </w:rPr>
        <w:t>Estland</w:t>
      </w:r>
      <w:r w:rsidR="00D3323C" w:rsidRPr="001822DA">
        <w:rPr>
          <w:szCs w:val="24"/>
        </w:rPr>
        <w:t xml:space="preserve"> informerade vid Coreper-mötet den 14 november 2007 om att de accepterar slutsatserna men att deras minister vid rådet kommer göra ett inlägg om </w:t>
      </w:r>
      <w:r w:rsidR="00824B0C" w:rsidRPr="001822DA">
        <w:rPr>
          <w:szCs w:val="24"/>
        </w:rPr>
        <w:t xml:space="preserve">att det </w:t>
      </w:r>
      <w:r w:rsidR="00D3323C" w:rsidRPr="001822DA">
        <w:rPr>
          <w:szCs w:val="24"/>
        </w:rPr>
        <w:t>inom ramen för IT</w:t>
      </w:r>
      <w:r w:rsidR="00824B0C" w:rsidRPr="001822DA">
        <w:rPr>
          <w:szCs w:val="24"/>
        </w:rPr>
        <w:t xml:space="preserve"> och åldrande behöver adresseras </w:t>
      </w:r>
      <w:r w:rsidR="00D3323C" w:rsidRPr="001822DA">
        <w:rPr>
          <w:szCs w:val="24"/>
        </w:rPr>
        <w:t>frågor kring IT-säkerhet.</w:t>
      </w:r>
    </w:p>
    <w:p w:rsidR="000A45F4" w:rsidRPr="001822DA" w:rsidRDefault="000A45F4" w:rsidP="000A45F4">
      <w:pPr>
        <w:pStyle w:val="RKnormal"/>
      </w:pPr>
    </w:p>
    <w:p w:rsidR="00832B94" w:rsidRPr="001822DA" w:rsidRDefault="00832B94">
      <w:pPr>
        <w:pStyle w:val="RKnormal"/>
      </w:pPr>
    </w:p>
    <w:p w:rsidR="00832B94" w:rsidRPr="001822DA" w:rsidRDefault="00832B94">
      <w:pPr>
        <w:pStyle w:val="RKnormal"/>
        <w:rPr>
          <w:i/>
          <w:iCs/>
        </w:rPr>
      </w:pPr>
    </w:p>
    <w:p w:rsidR="00832B94" w:rsidRPr="001822DA" w:rsidRDefault="00832B94">
      <w:pPr>
        <w:pStyle w:val="RKnormal"/>
        <w:ind w:left="-1134"/>
      </w:pPr>
    </w:p>
    <w:p w:rsidR="00832B94" w:rsidRPr="001822DA" w:rsidRDefault="00832B94">
      <w:pPr>
        <w:pStyle w:val="RKrubrik"/>
        <w:spacing w:before="0" w:after="0"/>
      </w:pPr>
    </w:p>
    <w:p w:rsidR="00832B94" w:rsidRPr="001822DA" w:rsidRDefault="00832B94">
      <w:pPr>
        <w:pStyle w:val="RKnormal"/>
      </w:pPr>
    </w:p>
    <w:p w:rsidR="00832B94" w:rsidRPr="001822DA" w:rsidRDefault="00832B94">
      <w:pPr>
        <w:pStyle w:val="RKnormal"/>
      </w:pPr>
    </w:p>
    <w:sectPr w:rsidR="00832B94" w:rsidRPr="001822D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37D" w:rsidRPr="001822DA" w:rsidRDefault="0067737D">
      <w:r w:rsidRPr="001822DA">
        <w:separator/>
      </w:r>
    </w:p>
  </w:endnote>
  <w:endnote w:type="continuationSeparator" w:id="0">
    <w:p w:rsidR="0067737D" w:rsidRPr="001822DA" w:rsidRDefault="0067737D">
      <w:r w:rsidRPr="001822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37D" w:rsidRPr="001822DA" w:rsidRDefault="0067737D">
      <w:r w:rsidRPr="001822DA">
        <w:separator/>
      </w:r>
    </w:p>
  </w:footnote>
  <w:footnote w:type="continuationSeparator" w:id="0">
    <w:p w:rsidR="0067737D" w:rsidRPr="001822DA" w:rsidRDefault="0067737D">
      <w:r w:rsidRPr="001822DA">
        <w:continuationSeparator/>
      </w:r>
    </w:p>
  </w:footnote>
  <w:footnote w:id="1">
    <w:p w:rsidR="002B0FA5" w:rsidRPr="001822DA" w:rsidRDefault="002B0FA5" w:rsidP="007803E8">
      <w:pPr>
        <w:pStyle w:val="Fotnotstext"/>
        <w:rPr>
          <w:szCs w:val="24"/>
        </w:rPr>
      </w:pPr>
      <w:r w:rsidRPr="001822DA">
        <w:rPr>
          <w:rStyle w:val="Fotnotsreferens"/>
          <w:szCs w:val="24"/>
        </w:rPr>
        <w:footnoteRef/>
      </w:r>
      <w:r w:rsidRPr="001822DA">
        <w:rPr>
          <w:szCs w:val="24"/>
        </w:rPr>
        <w:tab/>
        <w:t>KOM(2005) 229: Initiativet i2010 om det åldrande samhällets behov och i synnerhet vård av människor i ett åldrande samhälle och teknik för välbefinnande, självständigt boende och hälsa.</w:t>
      </w:r>
    </w:p>
  </w:footnote>
  <w:footnote w:id="2">
    <w:p w:rsidR="002B0FA5" w:rsidRPr="001822DA" w:rsidRDefault="002B0FA5" w:rsidP="000A45F4">
      <w:pPr>
        <w:pStyle w:val="Fotnotstext"/>
        <w:rPr>
          <w:szCs w:val="24"/>
        </w:rPr>
      </w:pPr>
      <w:r w:rsidRPr="001822DA">
        <w:rPr>
          <w:rStyle w:val="Fotnotsreferens"/>
          <w:szCs w:val="24"/>
        </w:rPr>
        <w:footnoteRef/>
      </w:r>
      <w:r w:rsidRPr="001822DA">
        <w:rPr>
          <w:szCs w:val="24"/>
        </w:rPr>
        <w:tab/>
        <w:t>Ministerkonferensen i Riga om IKT för ett integrerat samhälle och ministerförklaringen från Riga, juni 2006.</w:t>
      </w:r>
    </w:p>
  </w:footnote>
  <w:footnote w:id="3">
    <w:p w:rsidR="002B0FA5" w:rsidRPr="001822DA" w:rsidRDefault="002B0FA5" w:rsidP="000A45F4">
      <w:pPr>
        <w:pStyle w:val="Fotnotstext"/>
        <w:rPr>
          <w:szCs w:val="24"/>
        </w:rPr>
      </w:pPr>
      <w:r w:rsidRPr="001822DA">
        <w:rPr>
          <w:rStyle w:val="Fotnotsreferens"/>
          <w:szCs w:val="24"/>
        </w:rPr>
        <w:footnoteRef/>
      </w:r>
      <w:r w:rsidRPr="001822DA">
        <w:rPr>
          <w:szCs w:val="24"/>
        </w:rPr>
        <w:tab/>
        <w:t>KOM(2005) 658, i det citerade verket, KOM(2006) 3 0, KOM(2005) 525 och Aho-gruppens rapport; Rådets direktiv 2000/78/EG; SEK(2006)1195; KOM(2003) 650.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FA5" w:rsidRPr="001822DA" w:rsidRDefault="002B0FA5">
    <w:pPr>
      <w:pStyle w:val="Sidhuvud"/>
      <w:framePr w:wrap="around" w:vAnchor="text" w:hAnchor="margin" w:xAlign="right" w:y="1"/>
      <w:rPr>
        <w:rStyle w:val="Sidnummer"/>
      </w:rPr>
    </w:pPr>
    <w:r w:rsidRPr="001822DA">
      <w:rPr>
        <w:rStyle w:val="Sidnummer"/>
      </w:rPr>
      <w:fldChar w:fldCharType="begin" w:fldLock="1"/>
    </w:r>
    <w:r w:rsidRPr="001822DA">
      <w:rPr>
        <w:rStyle w:val="Sidnummer"/>
      </w:rPr>
      <w:instrText xml:space="preserve">PAGE  </w:instrText>
    </w:r>
    <w:r w:rsidRPr="001822DA">
      <w:rPr>
        <w:rStyle w:val="Sidnummer"/>
      </w:rPr>
      <w:fldChar w:fldCharType="separate"/>
    </w:r>
    <w:r w:rsidR="004F402C" w:rsidRPr="001822DA">
      <w:rPr>
        <w:rStyle w:val="Sidnummer"/>
      </w:rPr>
      <w:t>2</w:t>
    </w:r>
    <w:r w:rsidRPr="001822DA">
      <w:rPr>
        <w:rStyle w:val="Sidnummer"/>
      </w:rPr>
      <w:fldChar w:fldCharType="end"/>
    </w:r>
  </w:p>
  <w:p w:rsidR="002B0FA5" w:rsidRPr="001822DA" w:rsidRDefault="002B0FA5">
    <w:pPr>
      <w:pStyle w:val="Sidhuvud"/>
      <w:ind w:right="360"/>
    </w:pPr>
  </w:p>
  <w:p w:rsidR="002B0FA5" w:rsidRPr="001822DA" w:rsidRDefault="002B0FA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FA5" w:rsidRPr="001822DA" w:rsidRDefault="002B0FA5">
    <w:pPr>
      <w:pStyle w:val="Sidhuvud"/>
      <w:framePr w:wrap="around" w:vAnchor="text" w:hAnchor="margin" w:xAlign="right" w:y="1"/>
      <w:rPr>
        <w:rStyle w:val="Sidnummer"/>
      </w:rPr>
    </w:pPr>
    <w:r w:rsidRPr="001822DA">
      <w:rPr>
        <w:rStyle w:val="Sidnummer"/>
      </w:rPr>
      <w:fldChar w:fldCharType="begin" w:fldLock="1"/>
    </w:r>
    <w:r w:rsidRPr="001822DA">
      <w:rPr>
        <w:rStyle w:val="Sidnummer"/>
      </w:rPr>
      <w:instrText xml:space="preserve">PAGE  </w:instrText>
    </w:r>
    <w:r w:rsidRPr="001822DA">
      <w:rPr>
        <w:rStyle w:val="Sidnummer"/>
      </w:rPr>
      <w:fldChar w:fldCharType="separate"/>
    </w:r>
    <w:r w:rsidR="004F402C" w:rsidRPr="001822DA">
      <w:rPr>
        <w:rStyle w:val="Sidnummer"/>
      </w:rPr>
      <w:t>3</w:t>
    </w:r>
    <w:r w:rsidRPr="001822DA">
      <w:rPr>
        <w:rStyle w:val="Sidnummer"/>
      </w:rPr>
      <w:fldChar w:fldCharType="end"/>
    </w:r>
  </w:p>
  <w:p w:rsidR="002B0FA5" w:rsidRPr="001822DA" w:rsidRDefault="002B0FA5">
    <w:pPr>
      <w:pStyle w:val="Sidhuvud"/>
      <w:ind w:right="360"/>
    </w:pPr>
  </w:p>
  <w:p w:rsidR="002B0FA5" w:rsidRPr="001822DA" w:rsidRDefault="002B0FA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FA5" w:rsidRPr="001822DA" w:rsidRDefault="001822DA">
    <w:pPr>
      <w:framePr w:w="2948" w:h="1321" w:hRule="exact" w:wrap="notBeside" w:vAnchor="page" w:hAnchor="page" w:x="1362" w:y="653"/>
    </w:pPr>
    <w:r w:rsidRPr="001822D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B0FA5" w:rsidRPr="001822DA" w:rsidRDefault="002B0FA5">
    <w:pPr>
      <w:pStyle w:val="RKrubrik"/>
      <w:keepNext w:val="0"/>
      <w:tabs>
        <w:tab w:val="clear" w:pos="1134"/>
        <w:tab w:val="clear" w:pos="2835"/>
      </w:tabs>
      <w:spacing w:before="0" w:after="0" w:line="320" w:lineRule="atLeast"/>
      <w:rPr>
        <w:bCs/>
      </w:rPr>
    </w:pPr>
  </w:p>
  <w:p w:rsidR="002B0FA5" w:rsidRPr="001822DA" w:rsidRDefault="002B0FA5">
    <w:pPr>
      <w:rPr>
        <w:rFonts w:ascii="TradeGothic" w:hAnsi="TradeGothic"/>
        <w:b/>
        <w:bCs/>
        <w:spacing w:val="12"/>
        <w:sz w:val="22"/>
      </w:rPr>
    </w:pPr>
  </w:p>
  <w:p w:rsidR="002B0FA5" w:rsidRPr="001822DA" w:rsidRDefault="002B0FA5">
    <w:pPr>
      <w:pStyle w:val="RKrubrik"/>
      <w:keepNext w:val="0"/>
      <w:tabs>
        <w:tab w:val="clear" w:pos="1134"/>
        <w:tab w:val="clear" w:pos="2835"/>
      </w:tabs>
      <w:spacing w:before="0" w:after="0" w:line="320" w:lineRule="atLeast"/>
      <w:rPr>
        <w:bCs/>
      </w:rPr>
    </w:pPr>
  </w:p>
  <w:p w:rsidR="002B0FA5" w:rsidRPr="001822DA" w:rsidRDefault="002B0FA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74DB5"/>
    <w:multiLevelType w:val="hybridMultilevel"/>
    <w:tmpl w:val="9DD0B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842BB8"/>
    <w:multiLevelType w:val="singleLevel"/>
    <w:tmpl w:val="9EB6589E"/>
    <w:lvl w:ilvl="0">
      <w:start w:val="1"/>
      <w:numFmt w:val="bullet"/>
      <w:pStyle w:val="Punktlista4"/>
      <w:lvlText w:val=""/>
      <w:lvlJc w:val="left"/>
      <w:pPr>
        <w:tabs>
          <w:tab w:val="num" w:pos="1134"/>
        </w:tabs>
        <w:ind w:left="1134" w:hanging="283"/>
      </w:pPr>
      <w:rPr>
        <w:rFonts w:ascii="Symbol" w:hAnsi="Symbol"/>
      </w:rPr>
    </w:lvl>
  </w:abstractNum>
  <w:abstractNum w:abstractNumId="2" w15:restartNumberingAfterBreak="0">
    <w:nsid w:val="7197006B"/>
    <w:multiLevelType w:val="multilevel"/>
    <w:tmpl w:val="C89CAF2A"/>
    <w:name w:val="List Number"/>
    <w:lvl w:ilvl="0">
      <w:start w:val="1"/>
      <w:numFmt w:val="decimal"/>
      <w:pStyle w:val="Numrerad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608271320">
    <w:abstractNumId w:val="1"/>
  </w:num>
  <w:num w:numId="2" w16cid:durableId="752776902">
    <w:abstractNumId w:val="2"/>
  </w:num>
  <w:num w:numId="3" w16cid:durableId="172590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2B6E39"/>
    <w:rsid w:val="000746F8"/>
    <w:rsid w:val="000A45F4"/>
    <w:rsid w:val="001429AE"/>
    <w:rsid w:val="001822DA"/>
    <w:rsid w:val="001E5057"/>
    <w:rsid w:val="002B0FA5"/>
    <w:rsid w:val="002B6E39"/>
    <w:rsid w:val="002E1C47"/>
    <w:rsid w:val="00327AB5"/>
    <w:rsid w:val="003B1C34"/>
    <w:rsid w:val="004F402C"/>
    <w:rsid w:val="005757FB"/>
    <w:rsid w:val="0061090A"/>
    <w:rsid w:val="0063618A"/>
    <w:rsid w:val="0067737D"/>
    <w:rsid w:val="00774CEC"/>
    <w:rsid w:val="007803E8"/>
    <w:rsid w:val="007D1C4A"/>
    <w:rsid w:val="00824B0C"/>
    <w:rsid w:val="00832B94"/>
    <w:rsid w:val="009C2191"/>
    <w:rsid w:val="00BD016F"/>
    <w:rsid w:val="00C5406B"/>
    <w:rsid w:val="00C62EFC"/>
    <w:rsid w:val="00C84F1E"/>
    <w:rsid w:val="00D3323C"/>
    <w:rsid w:val="00DB12F9"/>
    <w:rsid w:val="00F10B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53CE4B-066F-4C71-88C4-27C9B3AC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63618A"/>
    <w:pPr>
      <w:widowControl w:val="0"/>
      <w:autoSpaceDE w:val="0"/>
      <w:autoSpaceDN w:val="0"/>
      <w:adjustRightInd w:val="0"/>
    </w:pPr>
    <w:rPr>
      <w:rFonts w:ascii="TradeGothic" w:hAnsi="TradeGothic" w:cs="TradeGothic"/>
      <w:color w:val="000000"/>
      <w:sz w:val="24"/>
      <w:szCs w:val="24"/>
      <w:lang w:val="sv-SE" w:eastAsia="sv-SE"/>
    </w:rPr>
  </w:style>
  <w:style w:type="paragraph" w:customStyle="1" w:styleId="Char1">
    <w:name w:val=" Char1"/>
    <w:basedOn w:val="Normal"/>
    <w:rsid w:val="0063618A"/>
    <w:pPr>
      <w:overflowPunct/>
      <w:autoSpaceDE/>
      <w:autoSpaceDN/>
      <w:adjustRightInd/>
      <w:spacing w:after="160" w:line="240" w:lineRule="exact"/>
      <w:textAlignment w:val="auto"/>
    </w:pPr>
    <w:rPr>
      <w:rFonts w:ascii="Tahoma" w:hAnsi="Tahoma"/>
      <w:sz w:val="20"/>
      <w:lang w:val="en-US"/>
    </w:rPr>
  </w:style>
  <w:style w:type="paragraph" w:styleId="Punktlista4">
    <w:name w:val="List Bullet 4"/>
    <w:basedOn w:val="Normal"/>
    <w:rsid w:val="001429AE"/>
    <w:pPr>
      <w:numPr>
        <w:numId w:val="1"/>
      </w:numPr>
      <w:overflowPunct/>
      <w:autoSpaceDE/>
      <w:autoSpaceDN/>
      <w:adjustRightInd/>
      <w:spacing w:before="120" w:after="120" w:line="240" w:lineRule="auto"/>
      <w:jc w:val="both"/>
      <w:textAlignment w:val="auto"/>
    </w:pPr>
    <w:rPr>
      <w:rFonts w:ascii="Times New Roman" w:hAnsi="Times New Roman"/>
      <w:snapToGrid w:val="0"/>
      <w:lang w:eastAsia="en-GB"/>
    </w:rPr>
  </w:style>
  <w:style w:type="paragraph" w:customStyle="1" w:styleId="Prliminairetype">
    <w:name w:val="Préliminaire type"/>
    <w:basedOn w:val="Normal"/>
    <w:next w:val="Normal"/>
    <w:rsid w:val="001429AE"/>
    <w:pPr>
      <w:overflowPunct/>
      <w:autoSpaceDE/>
      <w:autoSpaceDN/>
      <w:adjustRightInd/>
      <w:spacing w:before="360" w:line="240" w:lineRule="auto"/>
      <w:jc w:val="center"/>
      <w:textAlignment w:val="auto"/>
    </w:pPr>
    <w:rPr>
      <w:rFonts w:ascii="Times New Roman" w:hAnsi="Times New Roman"/>
      <w:b/>
      <w:snapToGrid w:val="0"/>
      <w:lang w:eastAsia="en-GB"/>
    </w:rPr>
  </w:style>
  <w:style w:type="paragraph" w:styleId="Fotnotstext">
    <w:name w:val="footnote text"/>
    <w:basedOn w:val="Normal"/>
    <w:semiHidden/>
    <w:rsid w:val="002E1C47"/>
    <w:pPr>
      <w:overflowPunct/>
      <w:autoSpaceDE/>
      <w:autoSpaceDN/>
      <w:adjustRightInd/>
      <w:spacing w:line="240" w:lineRule="auto"/>
      <w:ind w:left="720" w:hanging="720"/>
      <w:jc w:val="both"/>
      <w:textAlignment w:val="auto"/>
    </w:pPr>
    <w:rPr>
      <w:rFonts w:ascii="Times New Roman" w:hAnsi="Times New Roman"/>
      <w:snapToGrid w:val="0"/>
      <w:sz w:val="20"/>
      <w:lang w:eastAsia="en-GB"/>
    </w:rPr>
  </w:style>
  <w:style w:type="character" w:styleId="Fotnotsreferens">
    <w:name w:val="footnote reference"/>
    <w:basedOn w:val="Standardstycketeckensnitt"/>
    <w:semiHidden/>
    <w:rsid w:val="002E1C47"/>
    <w:rPr>
      <w:rFonts w:cs="Times New Roman"/>
      <w:vertAlign w:val="superscript"/>
    </w:rPr>
  </w:style>
  <w:style w:type="paragraph" w:styleId="Numreradlista">
    <w:name w:val="List Number"/>
    <w:basedOn w:val="Normal"/>
    <w:rsid w:val="002E1C47"/>
    <w:pPr>
      <w:numPr>
        <w:numId w:val="2"/>
      </w:numPr>
      <w:overflowPunct/>
      <w:autoSpaceDE/>
      <w:autoSpaceDN/>
      <w:adjustRightInd/>
      <w:spacing w:before="120" w:after="120" w:line="240" w:lineRule="auto"/>
      <w:jc w:val="both"/>
      <w:textAlignment w:val="auto"/>
    </w:pPr>
    <w:rPr>
      <w:rFonts w:ascii="Times New Roman" w:hAnsi="Times New Roman"/>
      <w:snapToGrid w:val="0"/>
      <w:szCs w:val="24"/>
      <w:lang w:eastAsia="en-GB"/>
    </w:rPr>
  </w:style>
  <w:style w:type="paragraph" w:customStyle="1" w:styleId="ListNumberLevel2">
    <w:name w:val="List Number (Level 2)"/>
    <w:basedOn w:val="Normal"/>
    <w:rsid w:val="002E1C47"/>
    <w:pPr>
      <w:numPr>
        <w:ilvl w:val="1"/>
        <w:numId w:val="2"/>
      </w:numPr>
      <w:overflowPunct/>
      <w:autoSpaceDE/>
      <w:autoSpaceDN/>
      <w:adjustRightInd/>
      <w:spacing w:before="120" w:after="120" w:line="240" w:lineRule="auto"/>
      <w:jc w:val="both"/>
      <w:textAlignment w:val="auto"/>
    </w:pPr>
    <w:rPr>
      <w:rFonts w:ascii="Times New Roman" w:hAnsi="Times New Roman"/>
      <w:snapToGrid w:val="0"/>
      <w:szCs w:val="24"/>
      <w:lang w:eastAsia="en-GB"/>
    </w:rPr>
  </w:style>
  <w:style w:type="paragraph" w:customStyle="1" w:styleId="ListNumberLevel3">
    <w:name w:val="List Number (Level 3)"/>
    <w:basedOn w:val="Normal"/>
    <w:rsid w:val="002E1C47"/>
    <w:pPr>
      <w:numPr>
        <w:ilvl w:val="2"/>
        <w:numId w:val="2"/>
      </w:numPr>
      <w:overflowPunct/>
      <w:autoSpaceDE/>
      <w:autoSpaceDN/>
      <w:adjustRightInd/>
      <w:spacing w:before="120" w:after="120" w:line="240" w:lineRule="auto"/>
      <w:jc w:val="both"/>
      <w:textAlignment w:val="auto"/>
    </w:pPr>
    <w:rPr>
      <w:rFonts w:ascii="Times New Roman" w:hAnsi="Times New Roman"/>
      <w:snapToGrid w:val="0"/>
      <w:szCs w:val="24"/>
      <w:lang w:eastAsia="en-GB"/>
    </w:rPr>
  </w:style>
  <w:style w:type="paragraph" w:customStyle="1" w:styleId="ListNumberLevel4">
    <w:name w:val="List Number (Level 4)"/>
    <w:basedOn w:val="Normal"/>
    <w:rsid w:val="002E1C47"/>
    <w:pPr>
      <w:numPr>
        <w:ilvl w:val="3"/>
        <w:numId w:val="2"/>
      </w:numPr>
      <w:overflowPunct/>
      <w:autoSpaceDE/>
      <w:autoSpaceDN/>
      <w:adjustRightInd/>
      <w:spacing w:before="120" w:after="120" w:line="240" w:lineRule="auto"/>
      <w:jc w:val="both"/>
      <w:textAlignment w:val="auto"/>
    </w:pPr>
    <w:rPr>
      <w:rFonts w:ascii="Times New Roman" w:hAnsi="Times New Roman"/>
      <w:snapToGrid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361</Words>
  <Characters>2256</Characters>
  <Application>Microsoft Office Word</Application>
  <DocSecurity>4</DocSecurity>
  <Lines>94</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2025-12-17T13:17:00Z</dcterms:created>
  <dcterms:modified xsi:type="dcterms:W3CDTF">2025-12-17T13:17:00Z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