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267" w:type="dxa"/>
        <w:tblLayout w:type="fixed"/>
        <w:tblCellMar>
          <w:left w:w="107" w:type="dxa"/>
          <w:right w:w="107" w:type="dxa"/>
        </w:tblCellMar>
        <w:tblLook w:val="0000"/>
      </w:tblPr>
      <w:tblGrid>
        <w:gridCol w:w="2268"/>
        <w:gridCol w:w="1134"/>
        <w:gridCol w:w="1865"/>
      </w:tblGrid>
      <w:tr w:rsidR="00347BF7" w:rsidTr="006B1D92">
        <w:tc>
          <w:tcPr>
            <w:tcW w:w="2268" w:type="dxa"/>
          </w:tcPr>
          <w:p w:rsidR="00347BF7" w:rsidRDefault="00347BF7" w:rsidP="007242A3">
            <w:pPr>
              <w:framePr w:w="5035" w:h="1644" w:wrap="notBeside" w:vAnchor="page" w:hAnchor="page" w:x="6573" w:y="721"/>
              <w:rPr>
                <w:rFonts w:ascii="TradeGothic" w:hAnsi="TradeGothic"/>
                <w:i/>
                <w:sz w:val="18"/>
              </w:rPr>
            </w:pPr>
          </w:p>
        </w:tc>
        <w:tc>
          <w:tcPr>
            <w:tcW w:w="2999" w:type="dxa"/>
            <w:gridSpan w:val="2"/>
          </w:tcPr>
          <w:p w:rsidR="00347BF7" w:rsidRPr="00C82E5E" w:rsidRDefault="00347BF7" w:rsidP="007242A3">
            <w:pPr>
              <w:framePr w:w="5035" w:h="1644" w:wrap="notBeside" w:vAnchor="page" w:hAnchor="page" w:x="6573" w:y="721"/>
              <w:rPr>
                <w:rFonts w:ascii="Times New Roman" w:hAnsi="Times New Roman"/>
                <w:szCs w:val="24"/>
              </w:rPr>
            </w:pPr>
            <w:r>
              <w:rPr>
                <w:rFonts w:ascii="Times New Roman" w:hAnsi="Times New Roman"/>
                <w:szCs w:val="24"/>
              </w:rPr>
              <w:t xml:space="preserve">                 </w:t>
            </w:r>
          </w:p>
        </w:tc>
      </w:tr>
      <w:tr w:rsidR="00347BF7" w:rsidTr="006B1D92">
        <w:tc>
          <w:tcPr>
            <w:tcW w:w="5267" w:type="dxa"/>
            <w:gridSpan w:val="3"/>
          </w:tcPr>
          <w:p w:rsidR="00347BF7" w:rsidRDefault="00347BF7" w:rsidP="007242A3">
            <w:pPr>
              <w:framePr w:w="5035" w:h="1644" w:wrap="notBeside" w:vAnchor="page" w:hAnchor="page" w:x="6573" w:y="721"/>
              <w:rPr>
                <w:rFonts w:ascii="TradeGothic" w:hAnsi="TradeGothic"/>
                <w:b/>
                <w:sz w:val="22"/>
              </w:rPr>
            </w:pPr>
            <w:r>
              <w:rPr>
                <w:rFonts w:ascii="TradeGothic" w:hAnsi="TradeGothic"/>
                <w:b/>
                <w:sz w:val="22"/>
              </w:rPr>
              <w:t>Rådspromemoria</w:t>
            </w:r>
          </w:p>
        </w:tc>
      </w:tr>
      <w:tr w:rsidR="00347BF7" w:rsidTr="006B1D92">
        <w:tc>
          <w:tcPr>
            <w:tcW w:w="3402" w:type="dxa"/>
            <w:gridSpan w:val="2"/>
          </w:tcPr>
          <w:p w:rsidR="00347BF7" w:rsidRDefault="00347BF7" w:rsidP="007242A3">
            <w:pPr>
              <w:framePr w:w="5035" w:h="1644" w:wrap="notBeside" w:vAnchor="page" w:hAnchor="page" w:x="6573" w:y="721"/>
            </w:pPr>
          </w:p>
        </w:tc>
        <w:tc>
          <w:tcPr>
            <w:tcW w:w="1865" w:type="dxa"/>
          </w:tcPr>
          <w:p w:rsidR="00347BF7" w:rsidRDefault="00347BF7" w:rsidP="007242A3">
            <w:pPr>
              <w:framePr w:w="5035" w:h="1644" w:wrap="notBeside" w:vAnchor="page" w:hAnchor="page" w:x="6573" w:y="721"/>
            </w:pPr>
          </w:p>
        </w:tc>
      </w:tr>
      <w:tr w:rsidR="00347BF7" w:rsidTr="006B1D92">
        <w:tc>
          <w:tcPr>
            <w:tcW w:w="2268" w:type="dxa"/>
          </w:tcPr>
          <w:p w:rsidR="00347BF7" w:rsidRDefault="00347BF7" w:rsidP="007242A3">
            <w:pPr>
              <w:framePr w:w="5035" w:h="1644" w:wrap="notBeside" w:vAnchor="page" w:hAnchor="page" w:x="6573" w:y="721"/>
            </w:pPr>
            <w:r>
              <w:t>2012-11-28</w:t>
            </w:r>
          </w:p>
        </w:tc>
        <w:tc>
          <w:tcPr>
            <w:tcW w:w="2999" w:type="dxa"/>
            <w:gridSpan w:val="2"/>
          </w:tcPr>
          <w:p w:rsidR="00347BF7" w:rsidRPr="00ED583F" w:rsidRDefault="00347BF7" w:rsidP="007242A3">
            <w:pPr>
              <w:framePr w:w="5035" w:h="1644" w:wrap="notBeside" w:vAnchor="page" w:hAnchor="page" w:x="6573" w:y="721"/>
              <w:rPr>
                <w:sz w:val="20"/>
              </w:rPr>
            </w:pPr>
          </w:p>
        </w:tc>
      </w:tr>
      <w:tr w:rsidR="00347BF7" w:rsidTr="006B1D92">
        <w:tc>
          <w:tcPr>
            <w:tcW w:w="2268" w:type="dxa"/>
          </w:tcPr>
          <w:p w:rsidR="00347BF7" w:rsidRDefault="00347BF7" w:rsidP="007242A3">
            <w:pPr>
              <w:framePr w:w="5035" w:h="1644" w:wrap="notBeside" w:vAnchor="page" w:hAnchor="page" w:x="6573" w:y="721"/>
            </w:pPr>
          </w:p>
        </w:tc>
        <w:tc>
          <w:tcPr>
            <w:tcW w:w="2999" w:type="dxa"/>
            <w:gridSpan w:val="2"/>
          </w:tcPr>
          <w:p w:rsidR="00347BF7" w:rsidRDefault="00347BF7" w:rsidP="007242A3">
            <w:pPr>
              <w:framePr w:w="5035" w:h="1644" w:wrap="notBeside" w:vAnchor="page" w:hAnchor="page" w:x="6573" w:y="721"/>
            </w:pPr>
          </w:p>
        </w:tc>
      </w:tr>
    </w:tbl>
    <w:tbl>
      <w:tblPr>
        <w:tblW w:w="0" w:type="auto"/>
        <w:tblLayout w:type="fixed"/>
        <w:tblLook w:val="0000"/>
      </w:tblPr>
      <w:tblGrid>
        <w:gridCol w:w="4911"/>
      </w:tblGrid>
      <w:tr w:rsidR="00347BF7">
        <w:trPr>
          <w:trHeight w:val="284"/>
        </w:trPr>
        <w:tc>
          <w:tcPr>
            <w:tcW w:w="4911" w:type="dxa"/>
          </w:tcPr>
          <w:p w:rsidR="00347BF7" w:rsidRDefault="00347BF7">
            <w:pPr>
              <w:pStyle w:val="Avsndare"/>
              <w:framePr w:h="2483" w:wrap="notBeside" w:x="1504"/>
              <w:rPr>
                <w:b/>
                <w:i w:val="0"/>
                <w:sz w:val="22"/>
              </w:rPr>
            </w:pPr>
            <w:r>
              <w:rPr>
                <w:b/>
                <w:i w:val="0"/>
                <w:sz w:val="22"/>
              </w:rPr>
              <w:t>Utbildningsdepartementet</w:t>
            </w:r>
          </w:p>
        </w:tc>
      </w:tr>
      <w:tr w:rsidR="00347BF7">
        <w:trPr>
          <w:trHeight w:val="284"/>
        </w:trPr>
        <w:tc>
          <w:tcPr>
            <w:tcW w:w="4911" w:type="dxa"/>
          </w:tcPr>
          <w:p w:rsidR="00347BF7" w:rsidRDefault="00347BF7">
            <w:pPr>
              <w:pStyle w:val="Avsndare"/>
              <w:framePr w:h="2483" w:wrap="notBeside" w:x="1504"/>
              <w:rPr>
                <w:bCs/>
                <w:iCs/>
              </w:rPr>
            </w:pPr>
          </w:p>
        </w:tc>
      </w:tr>
      <w:tr w:rsidR="00347BF7">
        <w:trPr>
          <w:trHeight w:val="284"/>
        </w:trPr>
        <w:tc>
          <w:tcPr>
            <w:tcW w:w="4911" w:type="dxa"/>
          </w:tcPr>
          <w:p w:rsidR="00347BF7" w:rsidRDefault="00347BF7">
            <w:pPr>
              <w:pStyle w:val="Avsndare"/>
              <w:framePr w:h="2483" w:wrap="notBeside" w:x="1504"/>
              <w:rPr>
                <w:bCs/>
                <w:iCs/>
              </w:rPr>
            </w:pPr>
            <w:r>
              <w:rPr>
                <w:bCs/>
                <w:iCs/>
              </w:rPr>
              <w:t>Forskningspolitiska enheten</w:t>
            </w:r>
          </w:p>
        </w:tc>
      </w:tr>
      <w:tr w:rsidR="00347BF7">
        <w:trPr>
          <w:trHeight w:val="284"/>
        </w:trPr>
        <w:tc>
          <w:tcPr>
            <w:tcW w:w="4911" w:type="dxa"/>
          </w:tcPr>
          <w:p w:rsidR="00347BF7" w:rsidRDefault="00347BF7">
            <w:pPr>
              <w:pStyle w:val="Avsndare"/>
              <w:framePr w:h="2483" w:wrap="notBeside" w:x="1504"/>
              <w:rPr>
                <w:bCs/>
                <w:iCs/>
              </w:rPr>
            </w:pPr>
          </w:p>
        </w:tc>
      </w:tr>
      <w:tr w:rsidR="00347BF7">
        <w:trPr>
          <w:trHeight w:val="284"/>
        </w:trPr>
        <w:tc>
          <w:tcPr>
            <w:tcW w:w="4911" w:type="dxa"/>
          </w:tcPr>
          <w:p w:rsidR="00347BF7" w:rsidRDefault="00347BF7">
            <w:pPr>
              <w:pStyle w:val="Avsndare"/>
              <w:framePr w:h="2483" w:wrap="notBeside" w:x="1504"/>
              <w:rPr>
                <w:bCs/>
                <w:iCs/>
              </w:rPr>
            </w:pPr>
          </w:p>
        </w:tc>
      </w:tr>
      <w:tr w:rsidR="00347BF7">
        <w:trPr>
          <w:trHeight w:val="284"/>
        </w:trPr>
        <w:tc>
          <w:tcPr>
            <w:tcW w:w="4911" w:type="dxa"/>
          </w:tcPr>
          <w:p w:rsidR="00347BF7" w:rsidRDefault="00347BF7">
            <w:pPr>
              <w:pStyle w:val="Avsndare"/>
              <w:framePr w:h="2483" w:wrap="notBeside" w:x="1504"/>
              <w:rPr>
                <w:bCs/>
                <w:iCs/>
              </w:rPr>
            </w:pPr>
          </w:p>
        </w:tc>
      </w:tr>
      <w:tr w:rsidR="00347BF7">
        <w:trPr>
          <w:trHeight w:val="284"/>
        </w:trPr>
        <w:tc>
          <w:tcPr>
            <w:tcW w:w="4911" w:type="dxa"/>
          </w:tcPr>
          <w:p w:rsidR="00347BF7" w:rsidRDefault="00347BF7">
            <w:pPr>
              <w:pStyle w:val="Avsndare"/>
              <w:framePr w:h="2483" w:wrap="notBeside" w:x="1504"/>
              <w:rPr>
                <w:bCs/>
                <w:iCs/>
              </w:rPr>
            </w:pPr>
          </w:p>
        </w:tc>
      </w:tr>
      <w:tr w:rsidR="00347BF7">
        <w:trPr>
          <w:trHeight w:val="284"/>
        </w:trPr>
        <w:tc>
          <w:tcPr>
            <w:tcW w:w="4911" w:type="dxa"/>
          </w:tcPr>
          <w:p w:rsidR="00347BF7" w:rsidRDefault="00347BF7">
            <w:pPr>
              <w:pStyle w:val="Avsndare"/>
              <w:framePr w:h="2483" w:wrap="notBeside" w:x="1504"/>
              <w:rPr>
                <w:bCs/>
                <w:iCs/>
              </w:rPr>
            </w:pPr>
          </w:p>
        </w:tc>
      </w:tr>
      <w:tr w:rsidR="00347BF7">
        <w:trPr>
          <w:trHeight w:val="284"/>
        </w:trPr>
        <w:tc>
          <w:tcPr>
            <w:tcW w:w="4911" w:type="dxa"/>
          </w:tcPr>
          <w:p w:rsidR="00347BF7" w:rsidRDefault="00347BF7">
            <w:pPr>
              <w:pStyle w:val="Avsndare"/>
              <w:framePr w:h="2483" w:wrap="notBeside" w:x="1504"/>
              <w:rPr>
                <w:bCs/>
                <w:iCs/>
              </w:rPr>
            </w:pPr>
          </w:p>
        </w:tc>
      </w:tr>
    </w:tbl>
    <w:p w:rsidR="00347BF7" w:rsidRPr="006B1D92" w:rsidRDefault="00347BF7">
      <w:pPr>
        <w:framePr w:w="4400" w:h="2523" w:wrap="notBeside" w:vAnchor="page" w:hAnchor="page" w:x="6453" w:y="2445"/>
        <w:ind w:left="142"/>
        <w:rPr>
          <w:b/>
        </w:rPr>
      </w:pPr>
    </w:p>
    <w:p w:rsidR="00347BF7" w:rsidRDefault="00347BF7">
      <w:pPr>
        <w:pStyle w:val="RKrubrik"/>
        <w:pBdr>
          <w:bottom w:val="single" w:sz="6" w:space="1" w:color="auto"/>
        </w:pBdr>
      </w:pPr>
      <w:bookmarkStart w:id="0" w:name="bRubrik"/>
      <w:bookmarkEnd w:id="0"/>
      <w:r>
        <w:t>Rådets möte (KKR) den 11 december 2012</w:t>
      </w:r>
    </w:p>
    <w:p w:rsidR="00347BF7" w:rsidRDefault="00347BF7">
      <w:pPr>
        <w:pStyle w:val="RKnormal"/>
      </w:pPr>
    </w:p>
    <w:p w:rsidR="00347BF7" w:rsidRDefault="00347BF7">
      <w:pPr>
        <w:pStyle w:val="RKnormal"/>
      </w:pPr>
      <w:r w:rsidRPr="00C812BA">
        <w:rPr>
          <w:b/>
        </w:rPr>
        <w:t>Dagordningspunkt</w:t>
      </w:r>
      <w:r>
        <w:t xml:space="preserve">: </w:t>
      </w:r>
      <w:smartTag w:uri="urn:schemas-microsoft-com:office:smarttags" w:element="metricconverter">
        <w:smartTagPr>
          <w:attr w:name="ProductID" w:val="14 a"/>
        </w:smartTagPr>
        <w:r>
          <w:t>14 a</w:t>
        </w:r>
      </w:smartTag>
      <w:r>
        <w:t>)</w:t>
      </w:r>
    </w:p>
    <w:p w:rsidR="00347BF7" w:rsidRDefault="00347BF7">
      <w:pPr>
        <w:pStyle w:val="RKnormal"/>
      </w:pPr>
    </w:p>
    <w:p w:rsidR="00347BF7" w:rsidRPr="001134B7" w:rsidRDefault="00347BF7" w:rsidP="001134B7">
      <w:pPr>
        <w:pStyle w:val="RKnormal"/>
      </w:pPr>
      <w:r w:rsidRPr="00C812BA">
        <w:rPr>
          <w:b/>
        </w:rPr>
        <w:t xml:space="preserve">Rubrik: </w:t>
      </w:r>
      <w:r w:rsidRPr="001134B7">
        <w:t>Förslag till rådets beslut om inrättande av det särskilda programmet för genomförande av Horisont 2020 – ramprogrammet för forskning och innovation (2014–2020)</w:t>
      </w:r>
    </w:p>
    <w:p w:rsidR="00347BF7" w:rsidRDefault="00347BF7">
      <w:pPr>
        <w:pStyle w:val="RKnormal"/>
      </w:pPr>
    </w:p>
    <w:p w:rsidR="00347BF7" w:rsidRPr="00C812BA" w:rsidRDefault="00347BF7">
      <w:pPr>
        <w:pStyle w:val="RKnormal"/>
        <w:rPr>
          <w:b/>
        </w:rPr>
      </w:pPr>
      <w:r w:rsidRPr="00C812BA">
        <w:rPr>
          <w:b/>
        </w:rPr>
        <w:t>Dokument:</w:t>
      </w:r>
      <w:r>
        <w:rPr>
          <w:b/>
        </w:rPr>
        <w:t xml:space="preserve"> </w:t>
      </w:r>
      <w:r>
        <w:t>16838/12</w:t>
      </w:r>
    </w:p>
    <w:p w:rsidR="00347BF7" w:rsidRDefault="00347BF7">
      <w:pPr>
        <w:pStyle w:val="RKnormal"/>
      </w:pPr>
    </w:p>
    <w:tbl>
      <w:tblPr>
        <w:tblW w:w="7650" w:type="dxa"/>
        <w:tblLayout w:type="fixed"/>
        <w:tblCellMar>
          <w:left w:w="0" w:type="dxa"/>
          <w:right w:w="0" w:type="dxa"/>
        </w:tblCellMar>
        <w:tblLook w:val="00A0"/>
      </w:tblPr>
      <w:tblGrid>
        <w:gridCol w:w="7650"/>
      </w:tblGrid>
      <w:tr w:rsidR="00347BF7" w:rsidRPr="00E1750A" w:rsidTr="00E1750A">
        <w:trPr>
          <w:trHeight w:val="120"/>
        </w:trPr>
        <w:tc>
          <w:tcPr>
            <w:tcW w:w="7650" w:type="dxa"/>
          </w:tcPr>
          <w:p w:rsidR="00347BF7" w:rsidRDefault="00347BF7" w:rsidP="00E1750A">
            <w:pPr>
              <w:pStyle w:val="RKnormal"/>
            </w:pPr>
            <w:r w:rsidRPr="00C812BA">
              <w:rPr>
                <w:b/>
              </w:rPr>
              <w:t>Tidigare dokument:</w:t>
            </w:r>
            <w:r>
              <w:t xml:space="preserve"> </w:t>
            </w:r>
          </w:p>
          <w:p w:rsidR="00347BF7" w:rsidRPr="00E1750A" w:rsidRDefault="00347BF7" w:rsidP="00E1750A">
            <w:pPr>
              <w:pStyle w:val="RKnormal"/>
            </w:pPr>
          </w:p>
        </w:tc>
      </w:tr>
      <w:tr w:rsidR="00347BF7" w:rsidRPr="00E1750A" w:rsidTr="00E1750A">
        <w:trPr>
          <w:trHeight w:val="120"/>
        </w:trPr>
        <w:tc>
          <w:tcPr>
            <w:tcW w:w="7650" w:type="dxa"/>
          </w:tcPr>
          <w:p w:rsidR="00347BF7" w:rsidRPr="00E1750A" w:rsidRDefault="00347BF7" w:rsidP="00E1750A">
            <w:pPr>
              <w:pStyle w:val="RKnormal"/>
            </w:pPr>
            <w:r w:rsidRPr="00E1750A">
              <w:t>KOM(2011) 811</w:t>
            </w:r>
            <w:r>
              <w:t xml:space="preserve">, </w:t>
            </w:r>
            <w:r w:rsidRPr="00E1750A">
              <w:t>Förslag till rådets beslut om inrättande av det särskilda programmet för genomförande av Horisont 2020 - ramprogrammet för forskning och innovation (2014-2020)</w:t>
            </w:r>
          </w:p>
        </w:tc>
      </w:tr>
    </w:tbl>
    <w:p w:rsidR="00347BF7" w:rsidRDefault="00347BF7">
      <w:pPr>
        <w:pStyle w:val="RKnormal"/>
      </w:pPr>
    </w:p>
    <w:p w:rsidR="00347BF7" w:rsidRDefault="00347BF7">
      <w:pPr>
        <w:pStyle w:val="RKnormal"/>
      </w:pPr>
      <w:r>
        <w:t xml:space="preserve">Fakta-PM </w:t>
      </w:r>
      <w:r w:rsidRPr="00E1750A">
        <w:t>2011/12:FPM69</w:t>
      </w:r>
    </w:p>
    <w:p w:rsidR="00347BF7" w:rsidRDefault="00347BF7">
      <w:pPr>
        <w:pStyle w:val="RKnormal"/>
      </w:pPr>
    </w:p>
    <w:p w:rsidR="00347BF7" w:rsidRDefault="00347BF7">
      <w:pPr>
        <w:pStyle w:val="RKnormal"/>
      </w:pPr>
      <w:r w:rsidRPr="00C812BA">
        <w:rPr>
          <w:b/>
        </w:rPr>
        <w:t xml:space="preserve">Tidigare behandlad vid samråd med EU-nämnden: </w:t>
      </w:r>
      <w:r>
        <w:t>25 maj 2012</w:t>
      </w:r>
    </w:p>
    <w:p w:rsidR="00347BF7" w:rsidRDefault="00347BF7">
      <w:pPr>
        <w:pStyle w:val="RKnormal"/>
      </w:pPr>
    </w:p>
    <w:p w:rsidR="00347BF7" w:rsidRDefault="00347BF7" w:rsidP="00C812BA">
      <w:pPr>
        <w:pStyle w:val="RKnormal"/>
      </w:pPr>
      <w:r w:rsidRPr="00C812BA">
        <w:rPr>
          <w:b/>
        </w:rPr>
        <w:t xml:space="preserve">Tidigare behandlad vid </w:t>
      </w:r>
      <w:r>
        <w:rPr>
          <w:b/>
        </w:rPr>
        <w:t>överläggning med utskottet</w:t>
      </w:r>
      <w:r w:rsidRPr="00C812BA">
        <w:rPr>
          <w:b/>
        </w:rPr>
        <w:t xml:space="preserve">: </w:t>
      </w:r>
      <w:r>
        <w:t>22 maj 2012</w:t>
      </w:r>
    </w:p>
    <w:p w:rsidR="00347BF7" w:rsidRDefault="00347BF7">
      <w:pPr>
        <w:pStyle w:val="RKnormal"/>
      </w:pPr>
    </w:p>
    <w:p w:rsidR="00347BF7" w:rsidRDefault="00347BF7">
      <w:pPr>
        <w:pStyle w:val="RKrubrik"/>
      </w:pPr>
      <w:r>
        <w:t>Bakgrund</w:t>
      </w:r>
    </w:p>
    <w:p w:rsidR="00347BF7" w:rsidRDefault="00347BF7" w:rsidP="00CA2844">
      <w:pPr>
        <w:pStyle w:val="RKnormal"/>
      </w:pPr>
      <w:r w:rsidRPr="00CA2844">
        <w:t>Europeiska rådet ställde sig vid sitt möte den 4 februari 2011 bakom tanken med ett gemensamt strategiskt ramverk för unionens finansiering av forskning och innovation.</w:t>
      </w:r>
    </w:p>
    <w:p w:rsidR="00347BF7" w:rsidRPr="00CA2844" w:rsidRDefault="00347BF7" w:rsidP="00CA2844">
      <w:pPr>
        <w:pStyle w:val="RKnormal"/>
      </w:pPr>
    </w:p>
    <w:p w:rsidR="00347BF7" w:rsidRDefault="00347BF7" w:rsidP="00CA2844">
      <w:pPr>
        <w:pStyle w:val="RKnormal"/>
      </w:pPr>
      <w:r w:rsidRPr="00CA2844">
        <w:t xml:space="preserve">Den 9 februari 2011 publicerade kommissionen sin grönbok ”Från utmaningar till möjligheter: Mot ett gemensamt strategiskt ramverk för EU:s finansiering av forskning och innovation” (KOM(2011) 48). </w:t>
      </w:r>
    </w:p>
    <w:p w:rsidR="00347BF7" w:rsidRDefault="00347BF7" w:rsidP="00CA2844">
      <w:pPr>
        <w:pStyle w:val="RKnormal"/>
      </w:pPr>
    </w:p>
    <w:p w:rsidR="00347BF7" w:rsidRDefault="00347BF7" w:rsidP="00CA2844">
      <w:pPr>
        <w:pStyle w:val="RKnormal"/>
      </w:pPr>
      <w:r w:rsidRPr="00CA2844">
        <w:t>Den 30 november 2011 presenterades kommissionens förslag till ramprogram för forskning och innovation, benämnt Horisont 2020, för perioden 2014-2020.</w:t>
      </w:r>
    </w:p>
    <w:p w:rsidR="00347BF7" w:rsidRDefault="00347BF7" w:rsidP="00CA2844">
      <w:pPr>
        <w:pStyle w:val="RKnormal"/>
      </w:pPr>
    </w:p>
    <w:p w:rsidR="00347BF7" w:rsidRDefault="00347BF7" w:rsidP="00CA2844">
      <w:pPr>
        <w:pStyle w:val="RKnormal"/>
      </w:pPr>
      <w:r>
        <w:t>Vid KKR den 31 maj presenterade det danska ordförandeskapet en framstegsrapport om förhandlingarna om det särskilda programmet inom Horisont 2020.</w:t>
      </w:r>
    </w:p>
    <w:p w:rsidR="00347BF7" w:rsidRDefault="00347BF7" w:rsidP="00CA2844">
      <w:pPr>
        <w:pStyle w:val="RKnormal"/>
      </w:pPr>
    </w:p>
    <w:p w:rsidR="00347BF7" w:rsidRPr="00CA2844" w:rsidRDefault="00347BF7" w:rsidP="00CA2844">
      <w:pPr>
        <w:pStyle w:val="RKnormal"/>
      </w:pPr>
      <w:r>
        <w:t>Förhandlingarna om det särskilda programmet har fortsatt och intensifierats under Cyperns ordförandeskap med sikte på beslut vid KKR den 11 december 2012.</w:t>
      </w:r>
    </w:p>
    <w:p w:rsidR="00347BF7" w:rsidRDefault="00347BF7">
      <w:pPr>
        <w:pStyle w:val="RKrubrik"/>
      </w:pPr>
      <w:r>
        <w:t>Rättslig grund och beslutsförfarande</w:t>
      </w:r>
    </w:p>
    <w:p w:rsidR="00347BF7" w:rsidRDefault="00347BF7" w:rsidP="00F55D33">
      <w:r>
        <w:t>Artikel 182-188: Ett flerårigt ramprogram som anger alla unionens verksamheter ska antas av Europaparlamentet och rådet.</w:t>
      </w:r>
    </w:p>
    <w:p w:rsidR="00347BF7" w:rsidRDefault="00347BF7" w:rsidP="00F55D33"/>
    <w:p w:rsidR="00347BF7" w:rsidRDefault="00347BF7" w:rsidP="00F55D33">
      <w:r>
        <w:t>Det särskilda programmet antas av rådet efter att ha hört Europaparlamentet samt Ekonomiska och sociala kommittén.</w:t>
      </w:r>
    </w:p>
    <w:p w:rsidR="00347BF7" w:rsidRPr="00ED20EB" w:rsidRDefault="00347BF7">
      <w:pPr>
        <w:pStyle w:val="RKrubrik"/>
        <w:rPr>
          <w:iCs/>
        </w:rPr>
      </w:pPr>
      <w:r w:rsidRPr="00ED20EB">
        <w:rPr>
          <w:iCs/>
        </w:rPr>
        <w:t>Svensk ståndpunkt</w:t>
      </w:r>
    </w:p>
    <w:p w:rsidR="00347BF7" w:rsidRDefault="00347BF7" w:rsidP="002E12F5">
      <w:pPr>
        <w:rPr>
          <w:bCs/>
        </w:rPr>
      </w:pPr>
      <w:r>
        <w:rPr>
          <w:bCs/>
        </w:rPr>
        <w:t xml:space="preserve">Regeringen anser att förslaget till särskilt program kan stödjas. </w:t>
      </w:r>
    </w:p>
    <w:p w:rsidR="00347BF7" w:rsidRDefault="00347BF7" w:rsidP="002E12F5">
      <w:pPr>
        <w:rPr>
          <w:bCs/>
        </w:rPr>
      </w:pPr>
    </w:p>
    <w:p w:rsidR="00347BF7" w:rsidRDefault="00347BF7" w:rsidP="002E12F5">
      <w:pPr>
        <w:rPr>
          <w:bCs/>
        </w:rPr>
      </w:pPr>
      <w:r>
        <w:rPr>
          <w:bCs/>
        </w:rPr>
        <w:t xml:space="preserve">Generellt överensstämmer förslaget till rådets ställningstagande väl med det förslag som kommissionen lagt, vilket regeringen välkomnar. Förslaget innehåller väl avvägda satsningar på såväl grundforskning som forskning och innovation av betydelse för näringsliv och samhälle. </w:t>
      </w:r>
    </w:p>
    <w:p w:rsidR="00347BF7" w:rsidRDefault="00347BF7">
      <w:pPr>
        <w:pStyle w:val="RKnormal"/>
      </w:pPr>
    </w:p>
    <w:p w:rsidR="00347BF7" w:rsidRDefault="00347BF7">
      <w:pPr>
        <w:pStyle w:val="RKnormal"/>
      </w:pPr>
      <w:r>
        <w:t>Regeringen har under förhandlingarna framhållit vikten av att medlemsstaterna fortsatt ska ha en rådgivande roll för den verksamhet som bedrivs inom ramen för det Europeiska forskningsrådet. Kommissionens förslag var att ta bort denna rådgivande funktion, vilket regeringen och ett stort antal andra medlemsstater motsatt sig.</w:t>
      </w:r>
    </w:p>
    <w:p w:rsidR="00347BF7" w:rsidRDefault="00347BF7">
      <w:pPr>
        <w:pStyle w:val="RKnormal"/>
      </w:pPr>
    </w:p>
    <w:p w:rsidR="00347BF7" w:rsidRDefault="00347BF7">
      <w:pPr>
        <w:pStyle w:val="RKnormal"/>
      </w:pPr>
      <w:r>
        <w:t>Vidare har regeringen framhållit vikten av medlemsstaternas inflytande över de prioriteringar som kommer att göras i de arbetsprogram som implementerar Horisont 2020. Detta är framförallt viktigt inom delen samhällsutmaningar.</w:t>
      </w:r>
    </w:p>
    <w:p w:rsidR="00347BF7" w:rsidRDefault="00347BF7">
      <w:pPr>
        <w:pStyle w:val="RKnormal"/>
      </w:pPr>
    </w:p>
    <w:p w:rsidR="00347BF7" w:rsidRDefault="00347BF7">
      <w:pPr>
        <w:pStyle w:val="RKnormal"/>
      </w:pPr>
      <w:r>
        <w:t xml:space="preserve">När det gäller delen samhällsutmaningar har regeringen generellt sett varit positiv till kommissionens förslag. Liksom i förhandlingarna om det övergripande ramprogrammet har regeringen verkat för att stärka forskningen om skogsbruk. Även vikten av miljöforskning, vilket ska vara ett horisontellt tema i alla samhällsutmaningar, har framhållits. </w:t>
      </w:r>
    </w:p>
    <w:p w:rsidR="00347BF7" w:rsidRDefault="00347BF7">
      <w:pPr>
        <w:pStyle w:val="RKnormal"/>
      </w:pPr>
      <w:r>
        <w:t xml:space="preserve">Inom </w:t>
      </w:r>
      <w:r w:rsidRPr="00A962B4">
        <w:t xml:space="preserve">samhällsutmaningen Hälsa har regeringen framhållit </w:t>
      </w:r>
      <w:r w:rsidRPr="00A962B4">
        <w:rPr>
          <w:bCs/>
        </w:rPr>
        <w:t xml:space="preserve">betydelsen av forskning </w:t>
      </w:r>
      <w:r>
        <w:rPr>
          <w:bCs/>
        </w:rPr>
        <w:t xml:space="preserve">om </w:t>
      </w:r>
      <w:r w:rsidRPr="00A55AA4">
        <w:rPr>
          <w:bCs/>
        </w:rPr>
        <w:t>hur befolkningens hälsa kan förbättras, aktivt åldrande och ökat arbetskraftsdeltagande</w:t>
      </w:r>
      <w:r w:rsidRPr="00A962B4">
        <w:rPr>
          <w:bCs/>
        </w:rPr>
        <w:t>.</w:t>
      </w:r>
      <w:r>
        <w:t xml:space="preserve"> </w:t>
      </w:r>
    </w:p>
    <w:p w:rsidR="00347BF7" w:rsidRDefault="00347BF7">
      <w:pPr>
        <w:pStyle w:val="RKrubrik"/>
      </w:pPr>
      <w:r>
        <w:t>Europaparlamentets inställning</w:t>
      </w:r>
    </w:p>
    <w:p w:rsidR="00347BF7" w:rsidRDefault="00347BF7">
      <w:pPr>
        <w:pStyle w:val="RKnormal"/>
      </w:pPr>
      <w:r>
        <w:t>Europaparlamentet väntas ta ställning i januari 2013.</w:t>
      </w:r>
    </w:p>
    <w:p w:rsidR="00347BF7" w:rsidRDefault="00347BF7">
      <w:pPr>
        <w:pStyle w:val="RKrubrik"/>
        <w:rPr>
          <w:i/>
          <w:iCs/>
        </w:rPr>
      </w:pPr>
      <w:r>
        <w:rPr>
          <w:i/>
          <w:iCs/>
        </w:rPr>
        <w:t>Förslaget</w:t>
      </w:r>
    </w:p>
    <w:p w:rsidR="00347BF7" w:rsidRDefault="00347BF7" w:rsidP="00C54A1B">
      <w:pPr>
        <w:rPr>
          <w:bCs/>
        </w:rPr>
      </w:pPr>
      <w:r>
        <w:rPr>
          <w:bCs/>
        </w:rPr>
        <w:t>De delar som finns i ramprogrammet konkretiseras i det särskilda programmet. Förslaget till särskilt program är därför en utveckling av rådets ställningstagande från maj 2012 om ramprogrammet för Horisont 2020. De förändringar som rådet då enades om i förhållande till kommissionens förslag har förts in även i det särskilda programmet.</w:t>
      </w:r>
    </w:p>
    <w:p w:rsidR="00347BF7" w:rsidRDefault="00347BF7" w:rsidP="00C54A1B">
      <w:pPr>
        <w:rPr>
          <w:bCs/>
        </w:rPr>
      </w:pPr>
    </w:p>
    <w:p w:rsidR="00347BF7" w:rsidRDefault="00347BF7" w:rsidP="00C54A1B">
      <w:pPr>
        <w:rPr>
          <w:bCs/>
        </w:rPr>
      </w:pPr>
      <w:r>
        <w:rPr>
          <w:bCs/>
        </w:rPr>
        <w:t>Förslaget till beslut innehåller i detta skede inte något ställningstagande till budgetfördelning inom Horisont 2020.</w:t>
      </w:r>
    </w:p>
    <w:p w:rsidR="00347BF7" w:rsidRDefault="00347BF7" w:rsidP="00025C9E">
      <w:pPr>
        <w:pStyle w:val="RKnormal"/>
      </w:pPr>
    </w:p>
    <w:p w:rsidR="00347BF7" w:rsidRDefault="00347BF7" w:rsidP="00025C9E">
      <w:pPr>
        <w:pStyle w:val="RKnormal"/>
      </w:pPr>
      <w:r>
        <w:t>Förslaget till särskilt program består av tre delar: Spetskompetens, Industriellt ledarskap och Samhällsutmaningar.</w:t>
      </w:r>
    </w:p>
    <w:p w:rsidR="00347BF7" w:rsidRDefault="00347BF7" w:rsidP="00025C9E">
      <w:pPr>
        <w:pStyle w:val="RKnormal"/>
      </w:pPr>
    </w:p>
    <w:p w:rsidR="00347BF7" w:rsidRDefault="00347BF7" w:rsidP="00025C9E">
      <w:pPr>
        <w:rPr>
          <w:bCs/>
        </w:rPr>
      </w:pPr>
      <w:r>
        <w:rPr>
          <w:bCs/>
        </w:rPr>
        <w:t xml:space="preserve">Inom delen </w:t>
      </w:r>
      <w:r w:rsidRPr="002E12F5">
        <w:rPr>
          <w:bCs/>
          <w:i/>
        </w:rPr>
        <w:t>Spetskompetens</w:t>
      </w:r>
      <w:r>
        <w:rPr>
          <w:bCs/>
        </w:rPr>
        <w:t xml:space="preserve"> föreslås finansiering av Europeiska forskningsrådet, framtida och ny teknik (FET), mobilitet (Marie Curie) och forskningsinfrastruktur. </w:t>
      </w:r>
    </w:p>
    <w:p w:rsidR="00347BF7" w:rsidRDefault="00347BF7" w:rsidP="00025C9E">
      <w:pPr>
        <w:rPr>
          <w:bCs/>
        </w:rPr>
      </w:pPr>
    </w:p>
    <w:p w:rsidR="00347BF7" w:rsidRDefault="00347BF7" w:rsidP="00025C9E">
      <w:pPr>
        <w:rPr>
          <w:bCs/>
        </w:rPr>
      </w:pPr>
      <w:r>
        <w:rPr>
          <w:bCs/>
        </w:rPr>
        <w:t xml:space="preserve">Delen </w:t>
      </w:r>
      <w:r w:rsidRPr="002E12F5">
        <w:rPr>
          <w:bCs/>
          <w:i/>
        </w:rPr>
        <w:t>Industriellt ledarskap</w:t>
      </w:r>
      <w:r>
        <w:rPr>
          <w:bCs/>
        </w:rPr>
        <w:t xml:space="preserve"> rymmer satsningar inom möjliggörande teknik och industriteknik, tillgång till riskfinansiering samt innovation i små och medelstora företag.</w:t>
      </w:r>
    </w:p>
    <w:p w:rsidR="00347BF7" w:rsidRDefault="00347BF7" w:rsidP="00025C9E">
      <w:pPr>
        <w:rPr>
          <w:bCs/>
        </w:rPr>
      </w:pPr>
    </w:p>
    <w:p w:rsidR="00347BF7" w:rsidRPr="00BA3EF0" w:rsidRDefault="00347BF7" w:rsidP="00025C9E">
      <w:pPr>
        <w:rPr>
          <w:bCs/>
        </w:rPr>
      </w:pPr>
      <w:r w:rsidRPr="00BA3EF0">
        <w:rPr>
          <w:bCs/>
          <w:i/>
        </w:rPr>
        <w:t>Samhäll</w:t>
      </w:r>
      <w:r>
        <w:rPr>
          <w:bCs/>
          <w:i/>
        </w:rPr>
        <w:t>s</w:t>
      </w:r>
      <w:r w:rsidRPr="00BA3EF0">
        <w:rPr>
          <w:bCs/>
          <w:i/>
        </w:rPr>
        <w:t>utmaningar</w:t>
      </w:r>
      <w:r w:rsidRPr="00BA3EF0">
        <w:rPr>
          <w:bCs/>
        </w:rPr>
        <w:t xml:space="preserve"> är </w:t>
      </w:r>
      <w:r>
        <w:rPr>
          <w:bCs/>
        </w:rPr>
        <w:t xml:space="preserve">finansiering av forskning och innovation inom utvalda områden med koppling till </w:t>
      </w:r>
      <w:r w:rsidRPr="00BA3EF0">
        <w:rPr>
          <w:bCs/>
        </w:rPr>
        <w:t>prioriteringar som anges i Europa 2020-strategin. Insatserna föreslås ta sin utgångspunkt i utmaningar utan att i förväg bestämma det exakta valet av teknik ell</w:t>
      </w:r>
      <w:r>
        <w:rPr>
          <w:bCs/>
        </w:rPr>
        <w:t>er lösningar som bör utvecklas.</w:t>
      </w:r>
    </w:p>
    <w:p w:rsidR="00347BF7" w:rsidRDefault="00347BF7">
      <w:pPr>
        <w:pStyle w:val="RKrubrik"/>
        <w:rPr>
          <w:i/>
          <w:iCs/>
        </w:rPr>
      </w:pPr>
      <w:r>
        <w:rPr>
          <w:i/>
          <w:iCs/>
        </w:rPr>
        <w:t>Gällande svenska regler och förslagets effekter på dessa</w:t>
      </w:r>
    </w:p>
    <w:p w:rsidR="00347BF7" w:rsidRPr="00826FEA" w:rsidRDefault="00347BF7" w:rsidP="00826FEA">
      <w:pPr>
        <w:pStyle w:val="RKnormal"/>
      </w:pPr>
      <w:r w:rsidRPr="00826FEA">
        <w:t>Förslaget har inga effekter på gällande svenska regler.</w:t>
      </w:r>
    </w:p>
    <w:p w:rsidR="00347BF7" w:rsidRDefault="00347BF7">
      <w:pPr>
        <w:pStyle w:val="RKrubrik"/>
      </w:pPr>
      <w:r>
        <w:t>Ekonomiska konsekvenser</w:t>
      </w:r>
    </w:p>
    <w:p w:rsidR="00347BF7" w:rsidRDefault="00347BF7">
      <w:pPr>
        <w:pStyle w:val="RKnormal"/>
      </w:pPr>
      <w:r>
        <w:t>Beslutet om budgeten för Horisont 2020 fattas av Europeiska rådet och Europaparlamentet. Det särskilda programmet inom Horisont 2020 rymmer inga ekonomiska konsekvenser utöver detta.</w:t>
      </w:r>
    </w:p>
    <w:p w:rsidR="00347BF7" w:rsidRDefault="00347BF7">
      <w:pPr>
        <w:pStyle w:val="RKnormal"/>
      </w:pPr>
    </w:p>
    <w:p w:rsidR="00347BF7" w:rsidRPr="001856B5" w:rsidRDefault="00347BF7" w:rsidP="00826FEA">
      <w:pPr>
        <w:pStyle w:val="RKnormal"/>
      </w:pPr>
      <w:r w:rsidRPr="001856B5">
        <w:t xml:space="preserve">Av kommissionens konsekvensanalys framgår att förslaget till ramprogram bedöms ha positiva effekter på såväl BNP-tillväxt, konkurrenskraft som sysselsättning (SEC(2011)1427). </w:t>
      </w:r>
    </w:p>
    <w:p w:rsidR="00347BF7" w:rsidRDefault="00347BF7">
      <w:pPr>
        <w:pStyle w:val="RKnormal"/>
      </w:pPr>
    </w:p>
    <w:p w:rsidR="00347BF7" w:rsidRPr="001856B5" w:rsidRDefault="00347BF7" w:rsidP="00826FEA">
      <w:pPr>
        <w:pStyle w:val="RKnormal"/>
      </w:pPr>
      <w:r w:rsidRPr="001856B5">
        <w:t>Det svenska deltagandet inom det pågående sjunde ramprogrammet för forskning (2007–2013) är högt och motsvarar ca 3,9 procent av de beviljade medlen, vilket innebär en positiv nettoeffekt</w:t>
      </w:r>
      <w:r>
        <w:t xml:space="preserve"> för Sverige</w:t>
      </w:r>
      <w:r w:rsidRPr="001856B5">
        <w:t>.</w:t>
      </w:r>
    </w:p>
    <w:p w:rsidR="00347BF7" w:rsidRDefault="00347BF7">
      <w:pPr>
        <w:pStyle w:val="RKrubrik"/>
      </w:pPr>
      <w:r>
        <w:t>Övrigt</w:t>
      </w:r>
    </w:p>
    <w:p w:rsidR="00347BF7" w:rsidRDefault="00347BF7">
      <w:pPr>
        <w:pStyle w:val="RKnormal"/>
      </w:pPr>
    </w:p>
    <w:p w:rsidR="00347BF7" w:rsidRDefault="00347BF7">
      <w:pPr>
        <w:pStyle w:val="RKnormal"/>
        <w:rPr>
          <w:i/>
          <w:iCs/>
        </w:rPr>
      </w:pPr>
      <w:bookmarkStart w:id="1" w:name="_GoBack"/>
      <w:bookmarkEnd w:id="1"/>
    </w:p>
    <w:sectPr w:rsidR="00347BF7" w:rsidSect="00194885">
      <w:headerReference w:type="even" r:id="rId6"/>
      <w:headerReference w:type="default" r:id="rId7"/>
      <w:headerReference w:type="first" r:id="rId8"/>
      <w:type w:val="continuous"/>
      <w:pgSz w:w="11907" w:h="16840" w:code="9"/>
      <w:pgMar w:top="567" w:right="1701" w:bottom="1134" w:left="2835" w:header="709" w:footer="539"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7BF7" w:rsidRDefault="00347BF7">
      <w:r>
        <w:separator/>
      </w:r>
    </w:p>
  </w:endnote>
  <w:endnote w:type="continuationSeparator" w:id="0">
    <w:p w:rsidR="00347BF7" w:rsidRDefault="00347B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OrigGarmnd BT">
    <w:altName w:val="Constantia"/>
    <w:panose1 w:val="00000000000000000000"/>
    <w:charset w:val="00"/>
    <w:family w:val="roman"/>
    <w:notTrueType/>
    <w:pitch w:val="variable"/>
    <w:sig w:usb0="00000003" w:usb1="00000000" w:usb2="00000000" w:usb3="00000000" w:csb0="00000001" w:csb1="00000000"/>
  </w:font>
  <w:font w:name="TradeGothic">
    <w:altName w:val="Courier"/>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7BF7" w:rsidRDefault="00347BF7">
      <w:r>
        <w:separator/>
      </w:r>
    </w:p>
  </w:footnote>
  <w:footnote w:type="continuationSeparator" w:id="0">
    <w:p w:rsidR="00347BF7" w:rsidRDefault="00347B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BF7" w:rsidRDefault="00347BF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tbl>
    <w:tblPr>
      <w:tblW w:w="0" w:type="auto"/>
      <w:tblInd w:w="-1168" w:type="dxa"/>
      <w:tblLook w:val="0000"/>
    </w:tblPr>
    <w:tblGrid>
      <w:gridCol w:w="3119"/>
      <w:gridCol w:w="4111"/>
      <w:gridCol w:w="1525"/>
    </w:tblGrid>
    <w:tr w:rsidR="00347BF7">
      <w:trPr>
        <w:cantSplit/>
      </w:trPr>
      <w:tc>
        <w:tcPr>
          <w:tcW w:w="3119" w:type="dxa"/>
        </w:tcPr>
        <w:p w:rsidR="00347BF7" w:rsidRDefault="00347BF7">
          <w:pPr>
            <w:pStyle w:val="Header"/>
            <w:spacing w:line="200" w:lineRule="atLeast"/>
            <w:ind w:right="357"/>
            <w:rPr>
              <w:rFonts w:ascii="TradeGothic" w:hAnsi="TradeGothic"/>
              <w:b/>
              <w:bCs/>
              <w:sz w:val="16"/>
            </w:rPr>
          </w:pPr>
        </w:p>
      </w:tc>
      <w:tc>
        <w:tcPr>
          <w:tcW w:w="4111" w:type="dxa"/>
          <w:tcMar>
            <w:left w:w="567" w:type="dxa"/>
          </w:tcMar>
        </w:tcPr>
        <w:p w:rsidR="00347BF7" w:rsidRDefault="00347BF7">
          <w:pPr>
            <w:pStyle w:val="Header"/>
            <w:ind w:right="360"/>
          </w:pPr>
        </w:p>
      </w:tc>
      <w:tc>
        <w:tcPr>
          <w:tcW w:w="1525" w:type="dxa"/>
        </w:tcPr>
        <w:p w:rsidR="00347BF7" w:rsidRDefault="00347BF7">
          <w:pPr>
            <w:pStyle w:val="Header"/>
            <w:ind w:right="360"/>
          </w:pPr>
        </w:p>
      </w:tc>
    </w:tr>
  </w:tbl>
  <w:p w:rsidR="00347BF7" w:rsidRDefault="00347BF7">
    <w:pPr>
      <w:pStyle w:val="Header"/>
      <w:ind w:right="357" w:firstLine="35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BF7" w:rsidRDefault="00347BF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tbl>
    <w:tblPr>
      <w:tblW w:w="0" w:type="auto"/>
      <w:tblInd w:w="-1168" w:type="dxa"/>
      <w:tblLook w:val="0000"/>
    </w:tblPr>
    <w:tblGrid>
      <w:gridCol w:w="3119"/>
      <w:gridCol w:w="4111"/>
      <w:gridCol w:w="1525"/>
    </w:tblGrid>
    <w:tr w:rsidR="00347BF7">
      <w:trPr>
        <w:cantSplit/>
      </w:trPr>
      <w:tc>
        <w:tcPr>
          <w:tcW w:w="3119" w:type="dxa"/>
        </w:tcPr>
        <w:p w:rsidR="00347BF7" w:rsidRDefault="00347BF7">
          <w:pPr>
            <w:pStyle w:val="Header"/>
            <w:spacing w:line="200" w:lineRule="atLeast"/>
            <w:ind w:right="357"/>
            <w:rPr>
              <w:rFonts w:ascii="TradeGothic" w:hAnsi="TradeGothic"/>
              <w:b/>
              <w:bCs/>
              <w:sz w:val="16"/>
            </w:rPr>
          </w:pPr>
        </w:p>
      </w:tc>
      <w:tc>
        <w:tcPr>
          <w:tcW w:w="4111" w:type="dxa"/>
          <w:tcMar>
            <w:left w:w="567" w:type="dxa"/>
          </w:tcMar>
        </w:tcPr>
        <w:p w:rsidR="00347BF7" w:rsidRDefault="00347BF7">
          <w:pPr>
            <w:pStyle w:val="Header"/>
            <w:ind w:right="360"/>
          </w:pPr>
        </w:p>
      </w:tc>
      <w:tc>
        <w:tcPr>
          <w:tcW w:w="1525" w:type="dxa"/>
        </w:tcPr>
        <w:p w:rsidR="00347BF7" w:rsidRDefault="00347BF7">
          <w:pPr>
            <w:pStyle w:val="Header"/>
            <w:ind w:right="360"/>
          </w:pPr>
        </w:p>
      </w:tc>
    </w:tr>
  </w:tbl>
  <w:p w:rsidR="00347BF7" w:rsidRDefault="00347BF7">
    <w:pPr>
      <w:pStyle w:val="Header"/>
      <w:ind w:right="357" w:firstLine="35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BF7" w:rsidRDefault="00347BF7">
    <w:pPr>
      <w:framePr w:w="2948" w:h="1321" w:hRule="exact" w:wrap="notBeside" w:vAnchor="page" w:hAnchor="page" w:x="1362" w:y="653"/>
    </w:pPr>
    <w:r w:rsidRPr="00CD2268">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i1026" type="#_x0000_t75" style="width:147pt;height:66pt;visibility:visible">
          <v:imagedata r:id="rId1" o:title=""/>
        </v:shape>
      </w:pict>
    </w:r>
  </w:p>
  <w:p w:rsidR="00347BF7" w:rsidRDefault="00347BF7">
    <w:pPr>
      <w:pStyle w:val="RKrubrik"/>
      <w:keepNext w:val="0"/>
      <w:tabs>
        <w:tab w:val="clear" w:pos="1134"/>
        <w:tab w:val="clear" w:pos="2835"/>
      </w:tabs>
      <w:spacing w:before="0" w:after="0" w:line="320" w:lineRule="atLeast"/>
      <w:rPr>
        <w:bCs/>
      </w:rPr>
    </w:pPr>
  </w:p>
  <w:p w:rsidR="00347BF7" w:rsidRDefault="00347BF7">
    <w:pPr>
      <w:rPr>
        <w:rFonts w:ascii="TradeGothic" w:hAnsi="TradeGothic"/>
        <w:b/>
        <w:bCs/>
        <w:spacing w:val="12"/>
        <w:sz w:val="22"/>
      </w:rPr>
    </w:pPr>
  </w:p>
  <w:p w:rsidR="00347BF7" w:rsidRDefault="00347BF7">
    <w:pPr>
      <w:pStyle w:val="RKrubrik"/>
      <w:keepNext w:val="0"/>
      <w:tabs>
        <w:tab w:val="clear" w:pos="1134"/>
        <w:tab w:val="clear" w:pos="2835"/>
      </w:tabs>
      <w:spacing w:before="0" w:after="0" w:line="320" w:lineRule="atLeast"/>
      <w:rPr>
        <w:bCs/>
      </w:rPr>
    </w:pPr>
  </w:p>
  <w:p w:rsidR="00347BF7" w:rsidRDefault="00347BF7">
    <w:pPr>
      <w:rPr>
        <w:rFonts w:ascii="TradeGothic" w:hAnsi="TradeGothic"/>
        <w:i/>
        <w:iCs/>
        <w:sz w:val="18"/>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001"/>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Departement" w:val="Utbildningsdepartementet"/>
    <w:docVar w:name="Regering" w:val="N"/>
  </w:docVars>
  <w:rsids>
    <w:rsidRoot w:val="006B1D92"/>
    <w:rsid w:val="00025C9E"/>
    <w:rsid w:val="000D2CAB"/>
    <w:rsid w:val="001134B7"/>
    <w:rsid w:val="00150384"/>
    <w:rsid w:val="00156E4D"/>
    <w:rsid w:val="00160901"/>
    <w:rsid w:val="0016356D"/>
    <w:rsid w:val="001805B7"/>
    <w:rsid w:val="001856B5"/>
    <w:rsid w:val="00194885"/>
    <w:rsid w:val="001B12A9"/>
    <w:rsid w:val="002E12F5"/>
    <w:rsid w:val="00321B9A"/>
    <w:rsid w:val="00347BF7"/>
    <w:rsid w:val="00367B1C"/>
    <w:rsid w:val="004A328D"/>
    <w:rsid w:val="004B21D6"/>
    <w:rsid w:val="00587424"/>
    <w:rsid w:val="0058762B"/>
    <w:rsid w:val="005A1F3E"/>
    <w:rsid w:val="00606049"/>
    <w:rsid w:val="006216AF"/>
    <w:rsid w:val="006B1D92"/>
    <w:rsid w:val="006B6235"/>
    <w:rsid w:val="006E4E11"/>
    <w:rsid w:val="007242A3"/>
    <w:rsid w:val="00731199"/>
    <w:rsid w:val="007A6855"/>
    <w:rsid w:val="007C7041"/>
    <w:rsid w:val="00826FEA"/>
    <w:rsid w:val="00877A03"/>
    <w:rsid w:val="0088280D"/>
    <w:rsid w:val="008A5300"/>
    <w:rsid w:val="0092027A"/>
    <w:rsid w:val="00955E31"/>
    <w:rsid w:val="00992E72"/>
    <w:rsid w:val="00A21783"/>
    <w:rsid w:val="00A55AA4"/>
    <w:rsid w:val="00A962B4"/>
    <w:rsid w:val="00AF26D1"/>
    <w:rsid w:val="00B70D20"/>
    <w:rsid w:val="00BA3EF0"/>
    <w:rsid w:val="00C54A1B"/>
    <w:rsid w:val="00C812BA"/>
    <w:rsid w:val="00C82E5E"/>
    <w:rsid w:val="00CA2844"/>
    <w:rsid w:val="00CD1378"/>
    <w:rsid w:val="00CD2268"/>
    <w:rsid w:val="00D133D7"/>
    <w:rsid w:val="00DC1DE5"/>
    <w:rsid w:val="00E1750A"/>
    <w:rsid w:val="00E253E6"/>
    <w:rsid w:val="00E375EB"/>
    <w:rsid w:val="00E671A6"/>
    <w:rsid w:val="00E80146"/>
    <w:rsid w:val="00E904D0"/>
    <w:rsid w:val="00EC25F9"/>
    <w:rsid w:val="00ED20EB"/>
    <w:rsid w:val="00ED583F"/>
    <w:rsid w:val="00F55D33"/>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885"/>
    <w:pPr>
      <w:overflowPunct w:val="0"/>
      <w:autoSpaceDE w:val="0"/>
      <w:autoSpaceDN w:val="0"/>
      <w:adjustRightInd w:val="0"/>
      <w:spacing w:line="320" w:lineRule="atLeast"/>
      <w:textAlignment w:val="baseline"/>
    </w:pPr>
    <w:rPr>
      <w:rFonts w:ascii="OrigGarmnd BT" w:hAnsi="OrigGarmnd BT"/>
      <w:sz w:val="24"/>
      <w:szCs w:val="20"/>
      <w:lang w:eastAsia="en-US"/>
    </w:rPr>
  </w:style>
  <w:style w:type="paragraph" w:styleId="Heading1">
    <w:name w:val="heading 1"/>
    <w:basedOn w:val="Normal"/>
    <w:next w:val="RKnormal"/>
    <w:link w:val="Heading1Char"/>
    <w:uiPriority w:val="99"/>
    <w:qFormat/>
    <w:rsid w:val="00194885"/>
    <w:pPr>
      <w:keepNext/>
      <w:tabs>
        <w:tab w:val="left" w:pos="1134"/>
      </w:tabs>
      <w:spacing w:before="680" w:after="160"/>
      <w:outlineLvl w:val="0"/>
    </w:pPr>
    <w:rPr>
      <w:rFonts w:ascii="TradeGothic" w:hAnsi="TradeGothic"/>
      <w:b/>
      <w:kern w:val="28"/>
      <w:sz w:val="22"/>
    </w:rPr>
  </w:style>
  <w:style w:type="paragraph" w:styleId="Heading2">
    <w:name w:val="heading 2"/>
    <w:basedOn w:val="Heading1"/>
    <w:next w:val="RKnormal"/>
    <w:link w:val="Heading2Char"/>
    <w:uiPriority w:val="99"/>
    <w:qFormat/>
    <w:rsid w:val="00194885"/>
    <w:pPr>
      <w:spacing w:before="360"/>
      <w:outlineLvl w:val="1"/>
    </w:pPr>
  </w:style>
  <w:style w:type="paragraph" w:styleId="Heading3">
    <w:name w:val="heading 3"/>
    <w:basedOn w:val="Heading2"/>
    <w:next w:val="RKnormal"/>
    <w:link w:val="Heading3Char"/>
    <w:uiPriority w:val="99"/>
    <w:qFormat/>
    <w:rsid w:val="00194885"/>
    <w:pPr>
      <w:spacing w:after="120" w:line="240" w:lineRule="atLeast"/>
      <w:outlineLvl w:val="2"/>
    </w:pPr>
    <w:rPr>
      <w:b w:val="0"/>
    </w:rPr>
  </w:style>
  <w:style w:type="paragraph" w:styleId="Heading4">
    <w:name w:val="heading 4"/>
    <w:basedOn w:val="Heading3"/>
    <w:next w:val="RKnormal"/>
    <w:link w:val="Heading4Char"/>
    <w:uiPriority w:val="99"/>
    <w:qFormat/>
    <w:rsid w:val="00194885"/>
    <w:pPr>
      <w:spacing w:after="40"/>
      <w:outlineLvl w:val="3"/>
    </w:pPr>
    <w:rPr>
      <w:rFonts w:ascii="OrigGarmnd BT" w:hAnsi="OrigGarmnd BT"/>
      <w:b/>
      <w: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0D61"/>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7A0D61"/>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7A0D61"/>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7A0D61"/>
    <w:rPr>
      <w:rFonts w:asciiTheme="minorHAnsi" w:eastAsiaTheme="minorEastAsia" w:hAnsiTheme="minorHAnsi" w:cstheme="minorBidi"/>
      <w:b/>
      <w:bCs/>
      <w:sz w:val="28"/>
      <w:szCs w:val="28"/>
      <w:lang w:eastAsia="en-US"/>
    </w:rPr>
  </w:style>
  <w:style w:type="paragraph" w:customStyle="1" w:styleId="Avsndare">
    <w:name w:val="Avsändare"/>
    <w:basedOn w:val="Normal"/>
    <w:uiPriority w:val="99"/>
    <w:rsid w:val="00194885"/>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Footer">
    <w:name w:val="footer"/>
    <w:basedOn w:val="Normal"/>
    <w:link w:val="FooterChar"/>
    <w:uiPriority w:val="99"/>
    <w:rsid w:val="00194885"/>
    <w:pPr>
      <w:tabs>
        <w:tab w:val="left" w:pos="1928"/>
        <w:tab w:val="left" w:pos="3742"/>
      </w:tabs>
      <w:spacing w:line="160" w:lineRule="exact"/>
    </w:pPr>
    <w:rPr>
      <w:rFonts w:ascii="TradeGothic" w:hAnsi="TradeGothic"/>
      <w:sz w:val="12"/>
    </w:rPr>
  </w:style>
  <w:style w:type="character" w:customStyle="1" w:styleId="FooterChar">
    <w:name w:val="Footer Char"/>
    <w:basedOn w:val="DefaultParagraphFont"/>
    <w:link w:val="Footer"/>
    <w:uiPriority w:val="99"/>
    <w:semiHidden/>
    <w:rsid w:val="007A0D61"/>
    <w:rPr>
      <w:rFonts w:ascii="OrigGarmnd BT" w:hAnsi="OrigGarmnd BT"/>
      <w:sz w:val="24"/>
      <w:szCs w:val="20"/>
      <w:lang w:eastAsia="en-US"/>
    </w:rPr>
  </w:style>
  <w:style w:type="paragraph" w:styleId="Header">
    <w:name w:val="header"/>
    <w:basedOn w:val="Normal"/>
    <w:link w:val="HeaderChar"/>
    <w:uiPriority w:val="99"/>
    <w:rsid w:val="00194885"/>
    <w:pPr>
      <w:tabs>
        <w:tab w:val="center" w:pos="4153"/>
        <w:tab w:val="right" w:pos="8306"/>
      </w:tabs>
    </w:pPr>
  </w:style>
  <w:style w:type="character" w:customStyle="1" w:styleId="HeaderChar">
    <w:name w:val="Header Char"/>
    <w:basedOn w:val="DefaultParagraphFont"/>
    <w:link w:val="Header"/>
    <w:uiPriority w:val="99"/>
    <w:semiHidden/>
    <w:rsid w:val="007A0D61"/>
    <w:rPr>
      <w:rFonts w:ascii="OrigGarmnd BT" w:hAnsi="OrigGarmnd BT"/>
      <w:sz w:val="24"/>
      <w:szCs w:val="20"/>
      <w:lang w:eastAsia="en-US"/>
    </w:rPr>
  </w:style>
  <w:style w:type="paragraph" w:customStyle="1" w:styleId="RKnormal">
    <w:name w:val="RKnormal"/>
    <w:basedOn w:val="Normal"/>
    <w:uiPriority w:val="99"/>
    <w:rsid w:val="00AF26D1"/>
    <w:pPr>
      <w:tabs>
        <w:tab w:val="left" w:pos="709"/>
        <w:tab w:val="left" w:pos="2835"/>
      </w:tabs>
      <w:spacing w:line="240" w:lineRule="atLeast"/>
    </w:pPr>
  </w:style>
  <w:style w:type="paragraph" w:customStyle="1" w:styleId="RKrubrik">
    <w:name w:val="RKrubrik"/>
    <w:basedOn w:val="RKnormal"/>
    <w:next w:val="RKnormal"/>
    <w:uiPriority w:val="99"/>
    <w:rsid w:val="00194885"/>
    <w:pPr>
      <w:keepNext/>
      <w:tabs>
        <w:tab w:val="left" w:pos="1134"/>
      </w:tabs>
      <w:spacing w:before="360" w:after="120"/>
    </w:pPr>
    <w:rPr>
      <w:rFonts w:ascii="TradeGothic" w:hAnsi="TradeGothic"/>
      <w:b/>
      <w:sz w:val="22"/>
    </w:rPr>
  </w:style>
  <w:style w:type="character" w:styleId="PageNumber">
    <w:name w:val="page number"/>
    <w:basedOn w:val="DefaultParagraphFont"/>
    <w:uiPriority w:val="99"/>
    <w:rsid w:val="00194885"/>
    <w:rPr>
      <w:rFonts w:cs="Times New Roman"/>
    </w:rPr>
  </w:style>
  <w:style w:type="paragraph" w:styleId="BalloonText">
    <w:name w:val="Balloon Text"/>
    <w:basedOn w:val="Normal"/>
    <w:link w:val="BalloonTextChar"/>
    <w:uiPriority w:val="99"/>
    <w:rsid w:val="006B1D9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6B1D92"/>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752852578">
      <w:marLeft w:val="0"/>
      <w:marRight w:val="0"/>
      <w:marTop w:val="0"/>
      <w:marBottom w:val="0"/>
      <w:divBdr>
        <w:top w:val="none" w:sz="0" w:space="0" w:color="auto"/>
        <w:left w:val="none" w:sz="0" w:space="0" w:color="auto"/>
        <w:bottom w:val="none" w:sz="0" w:space="0" w:color="auto"/>
        <w:right w:val="none" w:sz="0" w:space="0" w:color="auto"/>
      </w:divBdr>
    </w:div>
    <w:div w:id="1752852579">
      <w:marLeft w:val="0"/>
      <w:marRight w:val="0"/>
      <w:marTop w:val="0"/>
      <w:marBottom w:val="0"/>
      <w:divBdr>
        <w:top w:val="none" w:sz="0" w:space="0" w:color="auto"/>
        <w:left w:val="none" w:sz="0" w:space="0" w:color="auto"/>
        <w:bottom w:val="none" w:sz="0" w:space="0" w:color="auto"/>
        <w:right w:val="none" w:sz="0" w:space="0" w:color="auto"/>
      </w:divBdr>
    </w:div>
    <w:div w:id="1752852580">
      <w:marLeft w:val="0"/>
      <w:marRight w:val="0"/>
      <w:marTop w:val="0"/>
      <w:marBottom w:val="0"/>
      <w:divBdr>
        <w:top w:val="none" w:sz="0" w:space="0" w:color="auto"/>
        <w:left w:val="none" w:sz="0" w:space="0" w:color="auto"/>
        <w:bottom w:val="none" w:sz="0" w:space="0" w:color="auto"/>
        <w:right w:val="none" w:sz="0" w:space="0" w:color="auto"/>
      </w:divBdr>
    </w:div>
    <w:div w:id="1752852581">
      <w:marLeft w:val="0"/>
      <w:marRight w:val="0"/>
      <w:marTop w:val="0"/>
      <w:marBottom w:val="0"/>
      <w:divBdr>
        <w:top w:val="none" w:sz="0" w:space="0" w:color="auto"/>
        <w:left w:val="none" w:sz="0" w:space="0" w:color="auto"/>
        <w:bottom w:val="none" w:sz="0" w:space="0" w:color="auto"/>
        <w:right w:val="none" w:sz="0" w:space="0" w:color="auto"/>
      </w:divBdr>
    </w:div>
    <w:div w:id="1752852582">
      <w:marLeft w:val="0"/>
      <w:marRight w:val="0"/>
      <w:marTop w:val="0"/>
      <w:marBottom w:val="0"/>
      <w:divBdr>
        <w:top w:val="none" w:sz="0" w:space="0" w:color="auto"/>
        <w:left w:val="none" w:sz="0" w:space="0" w:color="auto"/>
        <w:bottom w:val="none" w:sz="0" w:space="0" w:color="auto"/>
        <w:right w:val="none" w:sz="0" w:space="0" w:color="auto"/>
      </w:divBdr>
    </w:div>
    <w:div w:id="1752852583">
      <w:marLeft w:val="0"/>
      <w:marRight w:val="0"/>
      <w:marTop w:val="0"/>
      <w:marBottom w:val="0"/>
      <w:divBdr>
        <w:top w:val="none" w:sz="0" w:space="0" w:color="auto"/>
        <w:left w:val="none" w:sz="0" w:space="0" w:color="auto"/>
        <w:bottom w:val="none" w:sz="0" w:space="0" w:color="auto"/>
        <w:right w:val="none" w:sz="0" w:space="0" w:color="auto"/>
      </w:divBdr>
    </w:div>
    <w:div w:id="1752852584">
      <w:marLeft w:val="0"/>
      <w:marRight w:val="0"/>
      <w:marTop w:val="0"/>
      <w:marBottom w:val="0"/>
      <w:divBdr>
        <w:top w:val="none" w:sz="0" w:space="0" w:color="auto"/>
        <w:left w:val="none" w:sz="0" w:space="0" w:color="auto"/>
        <w:bottom w:val="none" w:sz="0" w:space="0" w:color="auto"/>
        <w:right w:val="none" w:sz="0" w:space="0" w:color="auto"/>
      </w:divBdr>
    </w:div>
    <w:div w:id="1752852585">
      <w:marLeft w:val="0"/>
      <w:marRight w:val="0"/>
      <w:marTop w:val="0"/>
      <w:marBottom w:val="0"/>
      <w:divBdr>
        <w:top w:val="none" w:sz="0" w:space="0" w:color="auto"/>
        <w:left w:val="none" w:sz="0" w:space="0" w:color="auto"/>
        <w:bottom w:val="none" w:sz="0" w:space="0" w:color="auto"/>
        <w:right w:val="none" w:sz="0" w:space="0" w:color="auto"/>
      </w:divBdr>
    </w:div>
    <w:div w:id="1752852586">
      <w:marLeft w:val="0"/>
      <w:marRight w:val="0"/>
      <w:marTop w:val="0"/>
      <w:marBottom w:val="0"/>
      <w:divBdr>
        <w:top w:val="none" w:sz="0" w:space="0" w:color="auto"/>
        <w:left w:val="none" w:sz="0" w:space="0" w:color="auto"/>
        <w:bottom w:val="none" w:sz="0" w:space="0" w:color="auto"/>
        <w:right w:val="none" w:sz="0" w:space="0" w:color="auto"/>
      </w:divBdr>
    </w:div>
    <w:div w:id="1752852587">
      <w:marLeft w:val="0"/>
      <w:marRight w:val="0"/>
      <w:marTop w:val="0"/>
      <w:marBottom w:val="0"/>
      <w:divBdr>
        <w:top w:val="none" w:sz="0" w:space="0" w:color="auto"/>
        <w:left w:val="none" w:sz="0" w:space="0" w:color="auto"/>
        <w:bottom w:val="none" w:sz="0" w:space="0" w:color="auto"/>
        <w:right w:val="none" w:sz="0" w:space="0" w:color="auto"/>
      </w:divBdr>
    </w:div>
    <w:div w:id="17528525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689</Words>
  <Characters>4589</Characters>
  <Application>Microsoft Office Outlook</Application>
  <DocSecurity>0</DocSecurity>
  <Lines>0</Lines>
  <Paragraphs>0</Paragraphs>
  <ScaleCrop>false</ScaleCrop>
  <Company>Regeringskansliet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Per-Erik Yngwe</dc:creator>
  <cp:keywords/>
  <dc:description/>
  <cp:lastModifiedBy>ha0808ab</cp:lastModifiedBy>
  <cp:revision>2</cp:revision>
  <cp:lastPrinted>2012-11-30T14:28:00Z</cp:lastPrinted>
  <dcterms:created xsi:type="dcterms:W3CDTF">2012-11-30T14:29:00Z</dcterms:created>
  <dcterms:modified xsi:type="dcterms:W3CDTF">2012-11-30T14:29:00Z</dcterms:modified>
  <cp:category>Rådspromemoria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7;0;0;266</vt:lpwstr>
  </property>
  <property fmtid="{D5CDD505-2E9C-101B-9397-08002B2CF9AE}" pid="3" name="Sprak">
    <vt:lpwstr>Svenska</vt:lpwstr>
  </property>
  <property fmtid="{D5CDD505-2E9C-101B-9397-08002B2CF9AE}" pid="4" name="DokID">
    <vt:i4>60</vt:i4>
  </property>
  <property fmtid="{D5CDD505-2E9C-101B-9397-08002B2CF9AE}" pid="5" name="ContentTypeId">
    <vt:lpwstr>0x01010053E1D612BA3F4E21AA250ECD751942B30071C30A2A98223B4594CDC4429D65CC14</vt:lpwstr>
  </property>
  <property fmtid="{D5CDD505-2E9C-101B-9397-08002B2CF9AE}" pid="6" name="_dlc_DocIdItemGuid">
    <vt:lpwstr>757102de-1da1-4227-aa1d-2c165e4b367f</vt:lpwstr>
  </property>
  <property fmtid="{D5CDD505-2E9C-101B-9397-08002B2CF9AE}" pid="7" name="TaxCatchAll">
    <vt:lpwstr/>
  </property>
  <property fmtid="{D5CDD505-2E9C-101B-9397-08002B2CF9AE}" pid="8" name="c9cd366cc722410295b9eacffbd73909">
    <vt:lpwstr/>
  </property>
  <property fmtid="{D5CDD505-2E9C-101B-9397-08002B2CF9AE}" pid="9" name="k46d94c0acf84ab9a79866a9d8b1905f">
    <vt:lpwstr/>
  </property>
  <property fmtid="{D5CDD505-2E9C-101B-9397-08002B2CF9AE}" pid="10" name="RKOrdnaClass">
    <vt:lpwstr/>
  </property>
  <property fmtid="{D5CDD505-2E9C-101B-9397-08002B2CF9AE}" pid="11" name="Diarienummer">
    <vt:lpwstr/>
  </property>
  <property fmtid="{D5CDD505-2E9C-101B-9397-08002B2CF9AE}" pid="12" name="RKOrdnaCheckInComment">
    <vt:lpwstr/>
  </property>
  <property fmtid="{D5CDD505-2E9C-101B-9397-08002B2CF9AE}" pid="13" name="Nyckelord">
    <vt:lpwstr/>
  </property>
  <property fmtid="{D5CDD505-2E9C-101B-9397-08002B2CF9AE}" pid="14" name="Sekretess">
    <vt:lpwstr>0</vt:lpwstr>
  </property>
  <property fmtid="{D5CDD505-2E9C-101B-9397-08002B2CF9AE}" pid="15" name="_dlc_DocId">
    <vt:lpwstr>WC5HESE2CEK2-13-3309</vt:lpwstr>
  </property>
  <property fmtid="{D5CDD505-2E9C-101B-9397-08002B2CF9AE}" pid="16" name="_dlc_DocIdUrl">
    <vt:lpwstr>http://rkdhs-u/enhet/FP/_layouts/DocIdRedir.aspx?ID=WC5HESE2CEK2-13-3309, WC5HESE2CEK2-13-3309</vt:lpwstr>
  </property>
</Properties>
</file>