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AB03F" w14:textId="77777777" w:rsidR="00745669" w:rsidRDefault="00745669" w:rsidP="00745669">
      <w:pPr>
        <w:pStyle w:val="UDrubrik"/>
        <w:tabs>
          <w:tab w:val="left" w:pos="1701"/>
          <w:tab w:val="left" w:pos="1985"/>
        </w:tabs>
        <w:rPr>
          <w:rFonts w:cs="Arial"/>
          <w:sz w:val="28"/>
        </w:rPr>
      </w:pPr>
    </w:p>
    <w:p w14:paraId="67BAB040" w14:textId="77777777" w:rsidR="00745669" w:rsidRDefault="00745669" w:rsidP="00745669">
      <w:pPr>
        <w:pStyle w:val="UDrubrik"/>
        <w:tabs>
          <w:tab w:val="left" w:pos="1701"/>
          <w:tab w:val="left" w:pos="1985"/>
        </w:tabs>
        <w:rPr>
          <w:rFonts w:cs="Arial"/>
          <w:sz w:val="28"/>
        </w:rPr>
      </w:pPr>
    </w:p>
    <w:p w14:paraId="67BAB041" w14:textId="77777777" w:rsidR="00745669" w:rsidRDefault="00745669" w:rsidP="00745669">
      <w:pPr>
        <w:pStyle w:val="UDrubrik"/>
        <w:tabs>
          <w:tab w:val="left" w:pos="1701"/>
          <w:tab w:val="left" w:pos="1985"/>
        </w:tabs>
        <w:rPr>
          <w:rFonts w:cs="Arial"/>
          <w:sz w:val="28"/>
        </w:rPr>
      </w:pPr>
    </w:p>
    <w:p w14:paraId="67BAB042" w14:textId="77777777" w:rsidR="00745669" w:rsidRDefault="00745669" w:rsidP="00745669">
      <w:pPr>
        <w:pStyle w:val="UDrubrik"/>
        <w:tabs>
          <w:tab w:val="left" w:pos="1701"/>
          <w:tab w:val="left" w:pos="1985"/>
        </w:tabs>
        <w:rPr>
          <w:rFonts w:cs="Arial"/>
          <w:sz w:val="28"/>
        </w:rPr>
      </w:pPr>
    </w:p>
    <w:p w14:paraId="67BAB043" w14:textId="61315280" w:rsidR="00745669" w:rsidRDefault="00745669" w:rsidP="00745669">
      <w:pPr>
        <w:pStyle w:val="UDrubrik"/>
        <w:tabs>
          <w:tab w:val="left" w:pos="1701"/>
          <w:tab w:val="left" w:pos="1985"/>
        </w:tabs>
        <w:rPr>
          <w:rFonts w:cs="Arial"/>
          <w:sz w:val="28"/>
        </w:rPr>
      </w:pPr>
      <w:r>
        <w:rPr>
          <w:rFonts w:cs="Arial"/>
          <w:sz w:val="28"/>
        </w:rPr>
        <w:t xml:space="preserve">Troliga A-punkter inför kommande rådsmöten som </w:t>
      </w:r>
      <w:r w:rsidR="00803760">
        <w:rPr>
          <w:rFonts w:cs="Arial"/>
          <w:sz w:val="28"/>
        </w:rPr>
        <w:t>förväntas godkännas</w:t>
      </w:r>
      <w:r>
        <w:rPr>
          <w:rFonts w:cs="Arial"/>
          <w:sz w:val="28"/>
        </w:rPr>
        <w:t xml:space="preserve"> vid </w:t>
      </w:r>
      <w:proofErr w:type="spellStart"/>
      <w:r w:rsidR="00803760">
        <w:rPr>
          <w:rFonts w:cs="Arial"/>
          <w:sz w:val="28"/>
        </w:rPr>
        <w:t>Coreper</w:t>
      </w:r>
      <w:proofErr w:type="spellEnd"/>
      <w:r w:rsidR="00803760">
        <w:rPr>
          <w:rFonts w:cs="Arial"/>
          <w:sz w:val="28"/>
        </w:rPr>
        <w:t xml:space="preserve"> II</w:t>
      </w:r>
      <w:r>
        <w:rPr>
          <w:rFonts w:cs="Arial"/>
          <w:sz w:val="28"/>
        </w:rPr>
        <w:t xml:space="preserve"> den </w:t>
      </w:r>
      <w:r w:rsidR="00803760">
        <w:rPr>
          <w:rFonts w:cs="Arial"/>
          <w:sz w:val="28"/>
        </w:rPr>
        <w:t>9 november 2016.</w:t>
      </w:r>
    </w:p>
    <w:p w14:paraId="67BAB044" w14:textId="77777777" w:rsidR="00745669" w:rsidRDefault="00745669" w:rsidP="00745669">
      <w:pPr>
        <w:pStyle w:val="Brdtext"/>
      </w:pPr>
    </w:p>
    <w:p w14:paraId="67BAB046" w14:textId="77777777" w:rsidR="00745669" w:rsidRDefault="0074566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7BAB047" w14:textId="77777777" w:rsidR="00745669" w:rsidRPr="00283DF3" w:rsidRDefault="00745669">
          <w:pPr>
            <w:pStyle w:val="Innehllsfrteckningsrubrik"/>
            <w:rPr>
              <w:color w:val="auto"/>
              <w:lang w:val="sv-SE"/>
            </w:rPr>
          </w:pPr>
          <w:r w:rsidRPr="00283DF3">
            <w:rPr>
              <w:color w:val="auto"/>
              <w:lang w:val="sv-SE"/>
            </w:rPr>
            <w:t>Innehållsförteckning</w:t>
          </w:r>
        </w:p>
        <w:p w14:paraId="67BAB048" w14:textId="77777777" w:rsidR="00745669" w:rsidRPr="00283DF3" w:rsidRDefault="00745669" w:rsidP="00745669">
          <w:pPr>
            <w:rPr>
              <w:lang w:eastAsia="ja-JP"/>
            </w:rPr>
          </w:pPr>
        </w:p>
        <w:p w14:paraId="44AC3CBA" w14:textId="77777777" w:rsidR="009A197A" w:rsidRDefault="0074566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bookmarkStart w:id="0" w:name="_GoBack"/>
          <w:bookmarkEnd w:id="0"/>
          <w:r w:rsidR="009A197A" w:rsidRPr="009B24D8">
            <w:rPr>
              <w:rStyle w:val="Hyperlnk"/>
              <w:noProof/>
            </w:rPr>
            <w:fldChar w:fldCharType="begin"/>
          </w:r>
          <w:r w:rsidR="009A197A" w:rsidRPr="009B24D8">
            <w:rPr>
              <w:rStyle w:val="Hyperlnk"/>
              <w:noProof/>
            </w:rPr>
            <w:instrText xml:space="preserve"> </w:instrText>
          </w:r>
          <w:r w:rsidR="009A197A">
            <w:rPr>
              <w:noProof/>
            </w:rPr>
            <w:instrText>HYPERLINK \l "_Toc466456318"</w:instrText>
          </w:r>
          <w:r w:rsidR="009A197A" w:rsidRPr="009B24D8">
            <w:rPr>
              <w:rStyle w:val="Hyperlnk"/>
              <w:noProof/>
            </w:rPr>
            <w:instrText xml:space="preserve"> </w:instrText>
          </w:r>
          <w:r w:rsidR="009A197A" w:rsidRPr="009B24D8">
            <w:rPr>
              <w:rStyle w:val="Hyperlnk"/>
              <w:noProof/>
            </w:rPr>
          </w:r>
          <w:r w:rsidR="009A197A" w:rsidRPr="009B24D8">
            <w:rPr>
              <w:rStyle w:val="Hyperlnk"/>
              <w:noProof/>
            </w:rPr>
            <w:fldChar w:fldCharType="separate"/>
          </w:r>
          <w:r w:rsidR="009A197A" w:rsidRPr="009B24D8">
            <w:rPr>
              <w:rStyle w:val="Hyperlnk"/>
              <w:noProof/>
            </w:rPr>
            <w:t>1.</w:t>
          </w:r>
          <w:r w:rsidR="009A197A">
            <w:rPr>
              <w:rFonts w:asciiTheme="minorHAnsi" w:eastAsiaTheme="minorEastAsia" w:hAnsiTheme="minorHAnsi" w:cstheme="minorBidi"/>
              <w:noProof/>
              <w:lang w:eastAsia="sv-SE"/>
            </w:rPr>
            <w:tab/>
          </w:r>
          <w:r w:rsidR="009A197A" w:rsidRPr="009B24D8">
            <w:rPr>
              <w:rStyle w:val="Hyperlnk"/>
              <w:noProof/>
            </w:rPr>
            <w:t>Case before the General Court of the European Union Case T-379/16 (Basicmed Enterprises Ltd and Others v. Council of the European Union, European Commission, European Central Bank (ECB), Eurogroup, represented by the Council of the European Union, European Union, represented by the European Commission)</w:t>
          </w:r>
          <w:r w:rsidR="009A197A">
            <w:rPr>
              <w:noProof/>
              <w:webHidden/>
            </w:rPr>
            <w:tab/>
          </w:r>
          <w:r w:rsidR="009A197A">
            <w:rPr>
              <w:noProof/>
              <w:webHidden/>
            </w:rPr>
            <w:fldChar w:fldCharType="begin"/>
          </w:r>
          <w:r w:rsidR="009A197A">
            <w:rPr>
              <w:noProof/>
              <w:webHidden/>
            </w:rPr>
            <w:instrText xml:space="preserve"> PAGEREF _Toc466456318 \h </w:instrText>
          </w:r>
          <w:r w:rsidR="009A197A">
            <w:rPr>
              <w:noProof/>
              <w:webHidden/>
            </w:rPr>
          </w:r>
          <w:r w:rsidR="009A197A">
            <w:rPr>
              <w:noProof/>
              <w:webHidden/>
            </w:rPr>
            <w:fldChar w:fldCharType="separate"/>
          </w:r>
          <w:r w:rsidR="009A197A">
            <w:rPr>
              <w:noProof/>
              <w:webHidden/>
            </w:rPr>
            <w:t>4</w:t>
          </w:r>
          <w:r w:rsidR="009A197A">
            <w:rPr>
              <w:noProof/>
              <w:webHidden/>
            </w:rPr>
            <w:fldChar w:fldCharType="end"/>
          </w:r>
          <w:r w:rsidR="009A197A" w:rsidRPr="009B24D8">
            <w:rPr>
              <w:rStyle w:val="Hyperlnk"/>
              <w:noProof/>
            </w:rPr>
            <w:fldChar w:fldCharType="end"/>
          </w:r>
        </w:p>
        <w:p w14:paraId="1EA2949F"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19" w:history="1">
            <w:r w:rsidRPr="009B24D8">
              <w:rPr>
                <w:rStyle w:val="Hyperlnk"/>
                <w:noProof/>
              </w:rPr>
              <w:t>2.</w:t>
            </w:r>
            <w:r>
              <w:rPr>
                <w:rFonts w:asciiTheme="minorHAnsi" w:eastAsiaTheme="minorEastAsia" w:hAnsiTheme="minorHAnsi" w:cstheme="minorBidi"/>
                <w:noProof/>
                <w:lang w:eastAsia="sv-SE"/>
              </w:rPr>
              <w:tab/>
            </w:r>
            <w:r w:rsidRPr="009B24D8">
              <w:rPr>
                <w:rStyle w:val="Hyperlnk"/>
                <w:noProof/>
              </w:rPr>
              <w:t>Resolutions, Decision and Opinions adopted by the European Parliament at its part-session in Strasbourg from 24-27 October 2016</w:t>
            </w:r>
            <w:r>
              <w:rPr>
                <w:noProof/>
                <w:webHidden/>
              </w:rPr>
              <w:tab/>
            </w:r>
            <w:r>
              <w:rPr>
                <w:noProof/>
                <w:webHidden/>
              </w:rPr>
              <w:fldChar w:fldCharType="begin"/>
            </w:r>
            <w:r>
              <w:rPr>
                <w:noProof/>
                <w:webHidden/>
              </w:rPr>
              <w:instrText xml:space="preserve"> PAGEREF _Toc466456319 \h </w:instrText>
            </w:r>
            <w:r>
              <w:rPr>
                <w:noProof/>
                <w:webHidden/>
              </w:rPr>
            </w:r>
            <w:r>
              <w:rPr>
                <w:noProof/>
                <w:webHidden/>
              </w:rPr>
              <w:fldChar w:fldCharType="separate"/>
            </w:r>
            <w:r>
              <w:rPr>
                <w:noProof/>
                <w:webHidden/>
              </w:rPr>
              <w:t>4</w:t>
            </w:r>
            <w:r>
              <w:rPr>
                <w:noProof/>
                <w:webHidden/>
              </w:rPr>
              <w:fldChar w:fldCharType="end"/>
            </w:r>
          </w:hyperlink>
        </w:p>
        <w:p w14:paraId="5E2C6490"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20" w:history="1">
            <w:r w:rsidRPr="009B24D8">
              <w:rPr>
                <w:rStyle w:val="Hyperlnk"/>
                <w:noProof/>
              </w:rPr>
              <w:t>3.</w:t>
            </w:r>
            <w:r>
              <w:rPr>
                <w:rFonts w:asciiTheme="minorHAnsi" w:eastAsiaTheme="minorEastAsia" w:hAnsiTheme="minorHAnsi" w:cstheme="minorBidi"/>
                <w:noProof/>
                <w:lang w:eastAsia="sv-SE"/>
              </w:rPr>
              <w:tab/>
            </w:r>
            <w:r w:rsidRPr="009B24D8">
              <w:rPr>
                <w:rStyle w:val="Hyperlnk"/>
                <w:noProof/>
              </w:rPr>
              <w:t>Submission of the national side of commemorative 2 euro coins by Latvia</w:t>
            </w:r>
            <w:r>
              <w:rPr>
                <w:noProof/>
                <w:webHidden/>
              </w:rPr>
              <w:tab/>
            </w:r>
            <w:r>
              <w:rPr>
                <w:noProof/>
                <w:webHidden/>
              </w:rPr>
              <w:fldChar w:fldCharType="begin"/>
            </w:r>
            <w:r>
              <w:rPr>
                <w:noProof/>
                <w:webHidden/>
              </w:rPr>
              <w:instrText xml:space="preserve"> PAGEREF _Toc466456320 \h </w:instrText>
            </w:r>
            <w:r>
              <w:rPr>
                <w:noProof/>
                <w:webHidden/>
              </w:rPr>
            </w:r>
            <w:r>
              <w:rPr>
                <w:noProof/>
                <w:webHidden/>
              </w:rPr>
              <w:fldChar w:fldCharType="separate"/>
            </w:r>
            <w:r>
              <w:rPr>
                <w:noProof/>
                <w:webHidden/>
              </w:rPr>
              <w:t>4</w:t>
            </w:r>
            <w:r>
              <w:rPr>
                <w:noProof/>
                <w:webHidden/>
              </w:rPr>
              <w:fldChar w:fldCharType="end"/>
            </w:r>
          </w:hyperlink>
        </w:p>
        <w:p w14:paraId="681AC91E"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21" w:history="1">
            <w:r w:rsidRPr="009B24D8">
              <w:rPr>
                <w:rStyle w:val="Hyperlnk"/>
                <w:noProof/>
              </w:rPr>
              <w:t>4.</w:t>
            </w:r>
            <w:r>
              <w:rPr>
                <w:rFonts w:asciiTheme="minorHAnsi" w:eastAsiaTheme="minorEastAsia" w:hAnsiTheme="minorHAnsi" w:cstheme="minorBidi"/>
                <w:noProof/>
                <w:lang w:eastAsia="sv-SE"/>
              </w:rPr>
              <w:tab/>
            </w:r>
            <w:r w:rsidRPr="009B24D8">
              <w:rPr>
                <w:rStyle w:val="Hyperlnk"/>
                <w:noProof/>
              </w:rPr>
              <w:t>Submission of a new draft national design of Luxembourg euro coins</w:t>
            </w:r>
            <w:r>
              <w:rPr>
                <w:noProof/>
                <w:webHidden/>
              </w:rPr>
              <w:tab/>
            </w:r>
            <w:r>
              <w:rPr>
                <w:noProof/>
                <w:webHidden/>
              </w:rPr>
              <w:fldChar w:fldCharType="begin"/>
            </w:r>
            <w:r>
              <w:rPr>
                <w:noProof/>
                <w:webHidden/>
              </w:rPr>
              <w:instrText xml:space="preserve"> PAGEREF _Toc466456321 \h </w:instrText>
            </w:r>
            <w:r>
              <w:rPr>
                <w:noProof/>
                <w:webHidden/>
              </w:rPr>
            </w:r>
            <w:r>
              <w:rPr>
                <w:noProof/>
                <w:webHidden/>
              </w:rPr>
              <w:fldChar w:fldCharType="separate"/>
            </w:r>
            <w:r>
              <w:rPr>
                <w:noProof/>
                <w:webHidden/>
              </w:rPr>
              <w:t>4</w:t>
            </w:r>
            <w:r>
              <w:rPr>
                <w:noProof/>
                <w:webHidden/>
              </w:rPr>
              <w:fldChar w:fldCharType="end"/>
            </w:r>
          </w:hyperlink>
        </w:p>
        <w:p w14:paraId="66A277CF"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22" w:history="1">
            <w:r w:rsidRPr="009B24D8">
              <w:rPr>
                <w:rStyle w:val="Hyperlnk"/>
                <w:noProof/>
              </w:rPr>
              <w:t>5.</w:t>
            </w:r>
            <w:r>
              <w:rPr>
                <w:rFonts w:asciiTheme="minorHAnsi" w:eastAsiaTheme="minorEastAsia" w:hAnsiTheme="minorHAnsi" w:cstheme="minorBidi"/>
                <w:noProof/>
                <w:lang w:eastAsia="sv-SE"/>
              </w:rPr>
              <w:tab/>
            </w:r>
            <w:r w:rsidRPr="009B24D8">
              <w:rPr>
                <w:rStyle w:val="Hyperlnk"/>
                <w:noProof/>
              </w:rPr>
              <w:t>Commission Delegated Regulation (EU) …/... of 19.10.2016 amending Commission Delegated Regulation (EU) No 148/2013 supplementing Regulation (EU) No 648/2012 of the European Parliament and of the Council on OTC derivatives, central counterparties and trade repositories with regard to regulatory technical standards on the minimum details of the data to be reported to trade repositories</w:t>
            </w:r>
            <w:r>
              <w:rPr>
                <w:noProof/>
                <w:webHidden/>
              </w:rPr>
              <w:tab/>
            </w:r>
            <w:r>
              <w:rPr>
                <w:noProof/>
                <w:webHidden/>
              </w:rPr>
              <w:fldChar w:fldCharType="begin"/>
            </w:r>
            <w:r>
              <w:rPr>
                <w:noProof/>
                <w:webHidden/>
              </w:rPr>
              <w:instrText xml:space="preserve"> PAGEREF _Toc466456322 \h </w:instrText>
            </w:r>
            <w:r>
              <w:rPr>
                <w:noProof/>
                <w:webHidden/>
              </w:rPr>
            </w:r>
            <w:r>
              <w:rPr>
                <w:noProof/>
                <w:webHidden/>
              </w:rPr>
              <w:fldChar w:fldCharType="separate"/>
            </w:r>
            <w:r>
              <w:rPr>
                <w:noProof/>
                <w:webHidden/>
              </w:rPr>
              <w:t>5</w:t>
            </w:r>
            <w:r>
              <w:rPr>
                <w:noProof/>
                <w:webHidden/>
              </w:rPr>
              <w:fldChar w:fldCharType="end"/>
            </w:r>
          </w:hyperlink>
        </w:p>
        <w:p w14:paraId="01DB4055"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23" w:history="1">
            <w:r w:rsidRPr="009B24D8">
              <w:rPr>
                <w:rStyle w:val="Hyperlnk"/>
                <w:noProof/>
              </w:rPr>
              <w:t>6.</w:t>
            </w:r>
            <w:r>
              <w:rPr>
                <w:rFonts w:asciiTheme="minorHAnsi" w:eastAsiaTheme="minorEastAsia" w:hAnsiTheme="minorHAnsi" w:cstheme="minorBidi"/>
                <w:noProof/>
                <w:lang w:eastAsia="sv-SE"/>
              </w:rPr>
              <w:tab/>
            </w:r>
            <w:r w:rsidRPr="009B24D8">
              <w:rPr>
                <w:rStyle w:val="Hyperlnk"/>
                <w:noProof/>
              </w:rPr>
              <w:t>No objection decision on publication of ESRB Recommendation and Warnings</w:t>
            </w:r>
            <w:r>
              <w:rPr>
                <w:noProof/>
                <w:webHidden/>
              </w:rPr>
              <w:tab/>
            </w:r>
            <w:r>
              <w:rPr>
                <w:noProof/>
                <w:webHidden/>
              </w:rPr>
              <w:fldChar w:fldCharType="begin"/>
            </w:r>
            <w:r>
              <w:rPr>
                <w:noProof/>
                <w:webHidden/>
              </w:rPr>
              <w:instrText xml:space="preserve"> PAGEREF _Toc466456323 \h </w:instrText>
            </w:r>
            <w:r>
              <w:rPr>
                <w:noProof/>
                <w:webHidden/>
              </w:rPr>
            </w:r>
            <w:r>
              <w:rPr>
                <w:noProof/>
                <w:webHidden/>
              </w:rPr>
              <w:fldChar w:fldCharType="separate"/>
            </w:r>
            <w:r>
              <w:rPr>
                <w:noProof/>
                <w:webHidden/>
              </w:rPr>
              <w:t>5</w:t>
            </w:r>
            <w:r>
              <w:rPr>
                <w:noProof/>
                <w:webHidden/>
              </w:rPr>
              <w:fldChar w:fldCharType="end"/>
            </w:r>
          </w:hyperlink>
        </w:p>
        <w:p w14:paraId="533FA138"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24" w:history="1">
            <w:r w:rsidRPr="009B24D8">
              <w:rPr>
                <w:rStyle w:val="Hyperlnk"/>
                <w:noProof/>
              </w:rPr>
              <w:t>7.</w:t>
            </w:r>
            <w:r>
              <w:rPr>
                <w:rFonts w:asciiTheme="minorHAnsi" w:eastAsiaTheme="minorEastAsia" w:hAnsiTheme="minorHAnsi" w:cstheme="minorBidi"/>
                <w:noProof/>
                <w:lang w:eastAsia="sv-SE"/>
              </w:rPr>
              <w:tab/>
            </w:r>
            <w:r w:rsidRPr="009B24D8">
              <w:rPr>
                <w:rStyle w:val="Hyperlnk"/>
                <w:noProof/>
              </w:rPr>
              <w:t>Proposal for a Decision of the European Parliament and of the Council on the mobilisation of the European Union Solidarity Fund to provide assistance to Germany</w:t>
            </w:r>
            <w:r>
              <w:rPr>
                <w:noProof/>
                <w:webHidden/>
              </w:rPr>
              <w:tab/>
            </w:r>
            <w:r>
              <w:rPr>
                <w:noProof/>
                <w:webHidden/>
              </w:rPr>
              <w:fldChar w:fldCharType="begin"/>
            </w:r>
            <w:r>
              <w:rPr>
                <w:noProof/>
                <w:webHidden/>
              </w:rPr>
              <w:instrText xml:space="preserve"> PAGEREF _Toc466456324 \h </w:instrText>
            </w:r>
            <w:r>
              <w:rPr>
                <w:noProof/>
                <w:webHidden/>
              </w:rPr>
            </w:r>
            <w:r>
              <w:rPr>
                <w:noProof/>
                <w:webHidden/>
              </w:rPr>
              <w:fldChar w:fldCharType="separate"/>
            </w:r>
            <w:r>
              <w:rPr>
                <w:noProof/>
                <w:webHidden/>
              </w:rPr>
              <w:t>6</w:t>
            </w:r>
            <w:r>
              <w:rPr>
                <w:noProof/>
                <w:webHidden/>
              </w:rPr>
              <w:fldChar w:fldCharType="end"/>
            </w:r>
          </w:hyperlink>
        </w:p>
        <w:p w14:paraId="4B18BEDB"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25" w:history="1">
            <w:r w:rsidRPr="009B24D8">
              <w:rPr>
                <w:rStyle w:val="Hyperlnk"/>
                <w:noProof/>
              </w:rPr>
              <w:t>8.</w:t>
            </w:r>
            <w:r>
              <w:rPr>
                <w:rFonts w:asciiTheme="minorHAnsi" w:eastAsiaTheme="minorEastAsia" w:hAnsiTheme="minorHAnsi" w:cstheme="minorBidi"/>
                <w:noProof/>
                <w:lang w:eastAsia="sv-SE"/>
              </w:rPr>
              <w:tab/>
            </w:r>
            <w:r w:rsidRPr="009B24D8">
              <w:rPr>
                <w:rStyle w:val="Hyperlnk"/>
                <w:noProof/>
              </w:rPr>
              <w:t>Draft amending budget No 6 to the general budget accompanying the proposal to mobilise the European Union Solidarity Fund to provide assistance to Germany</w:t>
            </w:r>
            <w:r>
              <w:rPr>
                <w:noProof/>
                <w:webHidden/>
              </w:rPr>
              <w:tab/>
            </w:r>
            <w:r>
              <w:rPr>
                <w:noProof/>
                <w:webHidden/>
              </w:rPr>
              <w:fldChar w:fldCharType="begin"/>
            </w:r>
            <w:r>
              <w:rPr>
                <w:noProof/>
                <w:webHidden/>
              </w:rPr>
              <w:instrText xml:space="preserve"> PAGEREF _Toc466456325 \h </w:instrText>
            </w:r>
            <w:r>
              <w:rPr>
                <w:noProof/>
                <w:webHidden/>
              </w:rPr>
            </w:r>
            <w:r>
              <w:rPr>
                <w:noProof/>
                <w:webHidden/>
              </w:rPr>
              <w:fldChar w:fldCharType="separate"/>
            </w:r>
            <w:r>
              <w:rPr>
                <w:noProof/>
                <w:webHidden/>
              </w:rPr>
              <w:t>6</w:t>
            </w:r>
            <w:r>
              <w:rPr>
                <w:noProof/>
                <w:webHidden/>
              </w:rPr>
              <w:fldChar w:fldCharType="end"/>
            </w:r>
          </w:hyperlink>
        </w:p>
        <w:p w14:paraId="0F5EBC6A" w14:textId="77777777" w:rsidR="009A197A" w:rsidRDefault="009A197A">
          <w:pPr>
            <w:pStyle w:val="Innehll1"/>
            <w:tabs>
              <w:tab w:val="left" w:pos="440"/>
              <w:tab w:val="right" w:leader="dot" w:pos="9062"/>
            </w:tabs>
            <w:rPr>
              <w:rFonts w:asciiTheme="minorHAnsi" w:eastAsiaTheme="minorEastAsia" w:hAnsiTheme="minorHAnsi" w:cstheme="minorBidi"/>
              <w:noProof/>
              <w:lang w:eastAsia="sv-SE"/>
            </w:rPr>
          </w:pPr>
          <w:hyperlink w:anchor="_Toc466456326" w:history="1">
            <w:r w:rsidRPr="009B24D8">
              <w:rPr>
                <w:rStyle w:val="Hyperlnk"/>
                <w:noProof/>
              </w:rPr>
              <w:t>9.</w:t>
            </w:r>
            <w:r>
              <w:rPr>
                <w:rFonts w:asciiTheme="minorHAnsi" w:eastAsiaTheme="minorEastAsia" w:hAnsiTheme="minorHAnsi" w:cstheme="minorBidi"/>
                <w:noProof/>
                <w:lang w:eastAsia="sv-SE"/>
              </w:rPr>
              <w:tab/>
            </w:r>
            <w:r w:rsidRPr="009B24D8">
              <w:rPr>
                <w:rStyle w:val="Hyperlnk"/>
                <w:noProof/>
              </w:rPr>
              <w:t>Draft amending budget No 6 to the general budget accompanying the proposal to mobilise the European Union Solidarity Fund to provide assistance to Germany</w:t>
            </w:r>
            <w:r>
              <w:rPr>
                <w:noProof/>
                <w:webHidden/>
              </w:rPr>
              <w:tab/>
            </w:r>
            <w:r>
              <w:rPr>
                <w:noProof/>
                <w:webHidden/>
              </w:rPr>
              <w:fldChar w:fldCharType="begin"/>
            </w:r>
            <w:r>
              <w:rPr>
                <w:noProof/>
                <w:webHidden/>
              </w:rPr>
              <w:instrText xml:space="preserve"> PAGEREF _Toc466456326 \h </w:instrText>
            </w:r>
            <w:r>
              <w:rPr>
                <w:noProof/>
                <w:webHidden/>
              </w:rPr>
            </w:r>
            <w:r>
              <w:rPr>
                <w:noProof/>
                <w:webHidden/>
              </w:rPr>
              <w:fldChar w:fldCharType="separate"/>
            </w:r>
            <w:r>
              <w:rPr>
                <w:noProof/>
                <w:webHidden/>
              </w:rPr>
              <w:t>7</w:t>
            </w:r>
            <w:r>
              <w:rPr>
                <w:noProof/>
                <w:webHidden/>
              </w:rPr>
              <w:fldChar w:fldCharType="end"/>
            </w:r>
          </w:hyperlink>
        </w:p>
        <w:p w14:paraId="406EF4B7"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27" w:history="1">
            <w:r w:rsidRPr="009B24D8">
              <w:rPr>
                <w:rStyle w:val="Hyperlnk"/>
                <w:noProof/>
              </w:rPr>
              <w:t>10.</w:t>
            </w:r>
            <w:r>
              <w:rPr>
                <w:rFonts w:asciiTheme="minorHAnsi" w:eastAsiaTheme="minorEastAsia" w:hAnsiTheme="minorHAnsi" w:cstheme="minorBidi"/>
                <w:noProof/>
                <w:lang w:eastAsia="sv-SE"/>
              </w:rPr>
              <w:tab/>
            </w:r>
            <w:r w:rsidRPr="009B24D8">
              <w:rPr>
                <w:rStyle w:val="Hyperlnk"/>
                <w:noProof/>
              </w:rPr>
              <w:t>Draft Regulation of the European Parliament and of the Council amending Regulation (EU) No 1303/2013 as regards certain provisions relating to financial management for certain Member States experiencing or threatened with serious difficulties with respect to their financial stability (First reading)</w:t>
            </w:r>
            <w:r>
              <w:rPr>
                <w:noProof/>
                <w:webHidden/>
              </w:rPr>
              <w:tab/>
            </w:r>
            <w:r>
              <w:rPr>
                <w:noProof/>
                <w:webHidden/>
              </w:rPr>
              <w:fldChar w:fldCharType="begin"/>
            </w:r>
            <w:r>
              <w:rPr>
                <w:noProof/>
                <w:webHidden/>
              </w:rPr>
              <w:instrText xml:space="preserve"> PAGEREF _Toc466456327 \h </w:instrText>
            </w:r>
            <w:r>
              <w:rPr>
                <w:noProof/>
                <w:webHidden/>
              </w:rPr>
            </w:r>
            <w:r>
              <w:rPr>
                <w:noProof/>
                <w:webHidden/>
              </w:rPr>
              <w:fldChar w:fldCharType="separate"/>
            </w:r>
            <w:r>
              <w:rPr>
                <w:noProof/>
                <w:webHidden/>
              </w:rPr>
              <w:t>7</w:t>
            </w:r>
            <w:r>
              <w:rPr>
                <w:noProof/>
                <w:webHidden/>
              </w:rPr>
              <w:fldChar w:fldCharType="end"/>
            </w:r>
          </w:hyperlink>
        </w:p>
        <w:p w14:paraId="7BAEF1E2"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28" w:history="1">
            <w:r w:rsidRPr="009B24D8">
              <w:rPr>
                <w:rStyle w:val="Hyperlnk"/>
                <w:noProof/>
              </w:rPr>
              <w:t>11.</w:t>
            </w:r>
            <w:r>
              <w:rPr>
                <w:rFonts w:asciiTheme="minorHAnsi" w:eastAsiaTheme="minorEastAsia" w:hAnsiTheme="minorHAnsi" w:cstheme="minorBidi"/>
                <w:noProof/>
                <w:lang w:eastAsia="sv-SE"/>
              </w:rPr>
              <w:tab/>
            </w:r>
            <w:r w:rsidRPr="009B24D8">
              <w:rPr>
                <w:rStyle w:val="Hyperlnk"/>
                <w:noProof/>
              </w:rPr>
              <w:t>Draft Council conclusions on Special Report No 1/2016 "Is the Commission's system for performance measurement in relation to farmers' incomes well designed and based on sound data?"</w:t>
            </w:r>
            <w:r>
              <w:rPr>
                <w:noProof/>
                <w:webHidden/>
              </w:rPr>
              <w:tab/>
            </w:r>
            <w:r>
              <w:rPr>
                <w:noProof/>
                <w:webHidden/>
              </w:rPr>
              <w:fldChar w:fldCharType="begin"/>
            </w:r>
            <w:r>
              <w:rPr>
                <w:noProof/>
                <w:webHidden/>
              </w:rPr>
              <w:instrText xml:space="preserve"> PAGEREF _Toc466456328 \h </w:instrText>
            </w:r>
            <w:r>
              <w:rPr>
                <w:noProof/>
                <w:webHidden/>
              </w:rPr>
            </w:r>
            <w:r>
              <w:rPr>
                <w:noProof/>
                <w:webHidden/>
              </w:rPr>
              <w:fldChar w:fldCharType="separate"/>
            </w:r>
            <w:r>
              <w:rPr>
                <w:noProof/>
                <w:webHidden/>
              </w:rPr>
              <w:t>8</w:t>
            </w:r>
            <w:r>
              <w:rPr>
                <w:noProof/>
                <w:webHidden/>
              </w:rPr>
              <w:fldChar w:fldCharType="end"/>
            </w:r>
          </w:hyperlink>
        </w:p>
        <w:p w14:paraId="01827067"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29" w:history="1">
            <w:r w:rsidRPr="009B24D8">
              <w:rPr>
                <w:rStyle w:val="Hyperlnk"/>
                <w:noProof/>
              </w:rPr>
              <w:t>12.</w:t>
            </w:r>
            <w:r>
              <w:rPr>
                <w:rFonts w:asciiTheme="minorHAnsi" w:eastAsiaTheme="minorEastAsia" w:hAnsiTheme="minorHAnsi" w:cstheme="minorBidi"/>
                <w:noProof/>
                <w:lang w:eastAsia="sv-SE"/>
              </w:rPr>
              <w:tab/>
            </w:r>
            <w:r w:rsidRPr="009B24D8">
              <w:rPr>
                <w:rStyle w:val="Hyperlnk"/>
                <w:noProof/>
              </w:rPr>
              <w:t>Draft Council Implementing Decision on the launch of automated data exchange with regard to DNA data in Denmark</w:t>
            </w:r>
            <w:r>
              <w:rPr>
                <w:noProof/>
                <w:webHidden/>
              </w:rPr>
              <w:tab/>
            </w:r>
            <w:r>
              <w:rPr>
                <w:noProof/>
                <w:webHidden/>
              </w:rPr>
              <w:fldChar w:fldCharType="begin"/>
            </w:r>
            <w:r>
              <w:rPr>
                <w:noProof/>
                <w:webHidden/>
              </w:rPr>
              <w:instrText xml:space="preserve"> PAGEREF _Toc466456329 \h </w:instrText>
            </w:r>
            <w:r>
              <w:rPr>
                <w:noProof/>
                <w:webHidden/>
              </w:rPr>
            </w:r>
            <w:r>
              <w:rPr>
                <w:noProof/>
                <w:webHidden/>
              </w:rPr>
              <w:fldChar w:fldCharType="separate"/>
            </w:r>
            <w:r>
              <w:rPr>
                <w:noProof/>
                <w:webHidden/>
              </w:rPr>
              <w:t>8</w:t>
            </w:r>
            <w:r>
              <w:rPr>
                <w:noProof/>
                <w:webHidden/>
              </w:rPr>
              <w:fldChar w:fldCharType="end"/>
            </w:r>
          </w:hyperlink>
        </w:p>
        <w:p w14:paraId="041ED84B"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0" w:history="1">
            <w:r w:rsidRPr="009B24D8">
              <w:rPr>
                <w:rStyle w:val="Hyperlnk"/>
                <w:noProof/>
              </w:rPr>
              <w:t>13.</w:t>
            </w:r>
            <w:r>
              <w:rPr>
                <w:rFonts w:asciiTheme="minorHAnsi" w:eastAsiaTheme="minorEastAsia" w:hAnsiTheme="minorHAnsi" w:cstheme="minorBidi"/>
                <w:noProof/>
                <w:lang w:eastAsia="sv-SE"/>
              </w:rPr>
              <w:tab/>
            </w:r>
            <w:r w:rsidRPr="009B24D8">
              <w:rPr>
                <w:rStyle w:val="Hyperlnk"/>
                <w:noProof/>
              </w:rPr>
              <w:t>Draft Council Implementing Decision on the launch of automated data exchange with regard to dactyloscopic data in Denmark</w:t>
            </w:r>
            <w:r>
              <w:rPr>
                <w:noProof/>
                <w:webHidden/>
              </w:rPr>
              <w:tab/>
            </w:r>
            <w:r>
              <w:rPr>
                <w:noProof/>
                <w:webHidden/>
              </w:rPr>
              <w:fldChar w:fldCharType="begin"/>
            </w:r>
            <w:r>
              <w:rPr>
                <w:noProof/>
                <w:webHidden/>
              </w:rPr>
              <w:instrText xml:space="preserve"> PAGEREF _Toc466456330 \h </w:instrText>
            </w:r>
            <w:r>
              <w:rPr>
                <w:noProof/>
                <w:webHidden/>
              </w:rPr>
            </w:r>
            <w:r>
              <w:rPr>
                <w:noProof/>
                <w:webHidden/>
              </w:rPr>
              <w:fldChar w:fldCharType="separate"/>
            </w:r>
            <w:r>
              <w:rPr>
                <w:noProof/>
                <w:webHidden/>
              </w:rPr>
              <w:t>9</w:t>
            </w:r>
            <w:r>
              <w:rPr>
                <w:noProof/>
                <w:webHidden/>
              </w:rPr>
              <w:fldChar w:fldCharType="end"/>
            </w:r>
          </w:hyperlink>
        </w:p>
        <w:p w14:paraId="2E5C638E"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1" w:history="1">
            <w:r w:rsidRPr="009B24D8">
              <w:rPr>
                <w:rStyle w:val="Hyperlnk"/>
                <w:noProof/>
              </w:rPr>
              <w:t>14.</w:t>
            </w:r>
            <w:r>
              <w:rPr>
                <w:rFonts w:asciiTheme="minorHAnsi" w:eastAsiaTheme="minorEastAsia" w:hAnsiTheme="minorHAnsi" w:cstheme="minorBidi"/>
                <w:noProof/>
                <w:lang w:eastAsia="sv-SE"/>
              </w:rPr>
              <w:tab/>
            </w:r>
            <w:r w:rsidRPr="009B24D8">
              <w:rPr>
                <w:rStyle w:val="Hyperlnk"/>
                <w:noProof/>
              </w:rPr>
              <w:t>Draft Council Decision on the conclusion, on behalf of the European Union, of the Agreement between the European Union and the People’s Republic of China on the short-stay visa waiver for holders of diplomatic passports</w:t>
            </w:r>
            <w:r>
              <w:rPr>
                <w:noProof/>
                <w:webHidden/>
              </w:rPr>
              <w:tab/>
            </w:r>
            <w:r>
              <w:rPr>
                <w:noProof/>
                <w:webHidden/>
              </w:rPr>
              <w:fldChar w:fldCharType="begin"/>
            </w:r>
            <w:r>
              <w:rPr>
                <w:noProof/>
                <w:webHidden/>
              </w:rPr>
              <w:instrText xml:space="preserve"> PAGEREF _Toc466456331 \h </w:instrText>
            </w:r>
            <w:r>
              <w:rPr>
                <w:noProof/>
                <w:webHidden/>
              </w:rPr>
            </w:r>
            <w:r>
              <w:rPr>
                <w:noProof/>
                <w:webHidden/>
              </w:rPr>
              <w:fldChar w:fldCharType="separate"/>
            </w:r>
            <w:r>
              <w:rPr>
                <w:noProof/>
                <w:webHidden/>
              </w:rPr>
              <w:t>9</w:t>
            </w:r>
            <w:r>
              <w:rPr>
                <w:noProof/>
                <w:webHidden/>
              </w:rPr>
              <w:fldChar w:fldCharType="end"/>
            </w:r>
          </w:hyperlink>
        </w:p>
        <w:p w14:paraId="2964074D"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2" w:history="1">
            <w:r w:rsidRPr="009B24D8">
              <w:rPr>
                <w:rStyle w:val="Hyperlnk"/>
                <w:noProof/>
              </w:rPr>
              <w:t>15.</w:t>
            </w:r>
            <w:r>
              <w:rPr>
                <w:rFonts w:asciiTheme="minorHAnsi" w:eastAsiaTheme="minorEastAsia" w:hAnsiTheme="minorHAnsi" w:cstheme="minorBidi"/>
                <w:noProof/>
                <w:lang w:eastAsia="sv-SE"/>
              </w:rPr>
              <w:tab/>
            </w:r>
            <w:r w:rsidRPr="009B24D8">
              <w:rPr>
                <w:rStyle w:val="Hyperlnk"/>
                <w:noProof/>
              </w:rPr>
              <w:t>Commission Delegated Regulation (EU) …/... of 3.10.2016 on the common monitoring and evaluation framework provided for in Regulation (EU) No 514/2014 of the European Parliament and the Council [laying down general provisions on the Asylum, Migration and Integration Fund and on the instrument for financial support for police cooperation, preventing and combating crime, and crisis management]</w:t>
            </w:r>
            <w:r>
              <w:rPr>
                <w:noProof/>
                <w:webHidden/>
              </w:rPr>
              <w:tab/>
            </w:r>
            <w:r>
              <w:rPr>
                <w:noProof/>
                <w:webHidden/>
              </w:rPr>
              <w:fldChar w:fldCharType="begin"/>
            </w:r>
            <w:r>
              <w:rPr>
                <w:noProof/>
                <w:webHidden/>
              </w:rPr>
              <w:instrText xml:space="preserve"> PAGEREF _Toc466456332 \h </w:instrText>
            </w:r>
            <w:r>
              <w:rPr>
                <w:noProof/>
                <w:webHidden/>
              </w:rPr>
            </w:r>
            <w:r>
              <w:rPr>
                <w:noProof/>
                <w:webHidden/>
              </w:rPr>
              <w:fldChar w:fldCharType="separate"/>
            </w:r>
            <w:r>
              <w:rPr>
                <w:noProof/>
                <w:webHidden/>
              </w:rPr>
              <w:t>10</w:t>
            </w:r>
            <w:r>
              <w:rPr>
                <w:noProof/>
                <w:webHidden/>
              </w:rPr>
              <w:fldChar w:fldCharType="end"/>
            </w:r>
          </w:hyperlink>
        </w:p>
        <w:p w14:paraId="7D78DED0"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3" w:history="1">
            <w:r w:rsidRPr="009B24D8">
              <w:rPr>
                <w:rStyle w:val="Hyperlnk"/>
                <w:noProof/>
              </w:rPr>
              <w:t>16.</w:t>
            </w:r>
            <w:r>
              <w:rPr>
                <w:rFonts w:asciiTheme="minorHAnsi" w:eastAsiaTheme="minorEastAsia" w:hAnsiTheme="minorHAnsi" w:cstheme="minorBidi"/>
                <w:noProof/>
                <w:lang w:eastAsia="sv-SE"/>
              </w:rPr>
              <w:tab/>
            </w:r>
            <w:r w:rsidRPr="009B24D8">
              <w:rPr>
                <w:rStyle w:val="Hyperlnk"/>
                <w:noProof/>
              </w:rPr>
              <w:t>Draft Council Conclusions on the Communication from the Commission to the European Parliament, the Council, the European Economic and Social Committee and the Committee of the Regions: Strengthening Europe's Cyber Resilience System and Fostering a Competitive and Innovative Cybersecurity Industry</w:t>
            </w:r>
            <w:r>
              <w:rPr>
                <w:noProof/>
                <w:webHidden/>
              </w:rPr>
              <w:tab/>
            </w:r>
            <w:r>
              <w:rPr>
                <w:noProof/>
                <w:webHidden/>
              </w:rPr>
              <w:fldChar w:fldCharType="begin"/>
            </w:r>
            <w:r>
              <w:rPr>
                <w:noProof/>
                <w:webHidden/>
              </w:rPr>
              <w:instrText xml:space="preserve"> PAGEREF _Toc466456333 \h </w:instrText>
            </w:r>
            <w:r>
              <w:rPr>
                <w:noProof/>
                <w:webHidden/>
              </w:rPr>
            </w:r>
            <w:r>
              <w:rPr>
                <w:noProof/>
                <w:webHidden/>
              </w:rPr>
              <w:fldChar w:fldCharType="separate"/>
            </w:r>
            <w:r>
              <w:rPr>
                <w:noProof/>
                <w:webHidden/>
              </w:rPr>
              <w:t>11</w:t>
            </w:r>
            <w:r>
              <w:rPr>
                <w:noProof/>
                <w:webHidden/>
              </w:rPr>
              <w:fldChar w:fldCharType="end"/>
            </w:r>
          </w:hyperlink>
        </w:p>
        <w:p w14:paraId="2108BED9"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4" w:history="1">
            <w:r w:rsidRPr="009B24D8">
              <w:rPr>
                <w:rStyle w:val="Hyperlnk"/>
                <w:noProof/>
              </w:rPr>
              <w:t>17.</w:t>
            </w:r>
            <w:r>
              <w:rPr>
                <w:rFonts w:asciiTheme="minorHAnsi" w:eastAsiaTheme="minorEastAsia" w:hAnsiTheme="minorHAnsi" w:cstheme="minorBidi"/>
                <w:noProof/>
                <w:lang w:eastAsia="sv-SE"/>
              </w:rPr>
              <w:tab/>
            </w:r>
            <w:r w:rsidRPr="009B24D8">
              <w:rPr>
                <w:rStyle w:val="Hyperlnk"/>
                <w:noProof/>
              </w:rPr>
              <w:t>European Economic Area</w:t>
            </w:r>
            <w:r>
              <w:rPr>
                <w:noProof/>
                <w:webHidden/>
              </w:rPr>
              <w:tab/>
            </w:r>
            <w:r>
              <w:rPr>
                <w:noProof/>
                <w:webHidden/>
              </w:rPr>
              <w:fldChar w:fldCharType="begin"/>
            </w:r>
            <w:r>
              <w:rPr>
                <w:noProof/>
                <w:webHidden/>
              </w:rPr>
              <w:instrText xml:space="preserve"> PAGEREF _Toc466456334 \h </w:instrText>
            </w:r>
            <w:r>
              <w:rPr>
                <w:noProof/>
                <w:webHidden/>
              </w:rPr>
            </w:r>
            <w:r>
              <w:rPr>
                <w:noProof/>
                <w:webHidden/>
              </w:rPr>
              <w:fldChar w:fldCharType="separate"/>
            </w:r>
            <w:r>
              <w:rPr>
                <w:noProof/>
                <w:webHidden/>
              </w:rPr>
              <w:t>11</w:t>
            </w:r>
            <w:r>
              <w:rPr>
                <w:noProof/>
                <w:webHidden/>
              </w:rPr>
              <w:fldChar w:fldCharType="end"/>
            </w:r>
          </w:hyperlink>
        </w:p>
        <w:p w14:paraId="678E4EA4"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5" w:history="1">
            <w:r w:rsidRPr="009B24D8">
              <w:rPr>
                <w:rStyle w:val="Hyperlnk"/>
                <w:noProof/>
              </w:rPr>
              <w:t>18.</w:t>
            </w:r>
            <w:r>
              <w:rPr>
                <w:rFonts w:asciiTheme="minorHAnsi" w:eastAsiaTheme="minorEastAsia" w:hAnsiTheme="minorHAnsi" w:cstheme="minorBidi"/>
                <w:noProof/>
                <w:lang w:eastAsia="sv-SE"/>
              </w:rPr>
              <w:tab/>
            </w:r>
            <w:r w:rsidRPr="009B24D8">
              <w:rPr>
                <w:rStyle w:val="Hyperlnk"/>
                <w:noProof/>
              </w:rPr>
              <w:t>Relations with Kosovo*:</w:t>
            </w:r>
            <w:r>
              <w:rPr>
                <w:noProof/>
                <w:webHidden/>
              </w:rPr>
              <w:tab/>
            </w:r>
            <w:r>
              <w:rPr>
                <w:noProof/>
                <w:webHidden/>
              </w:rPr>
              <w:fldChar w:fldCharType="begin"/>
            </w:r>
            <w:r>
              <w:rPr>
                <w:noProof/>
                <w:webHidden/>
              </w:rPr>
              <w:instrText xml:space="preserve"> PAGEREF _Toc466456335 \h </w:instrText>
            </w:r>
            <w:r>
              <w:rPr>
                <w:noProof/>
                <w:webHidden/>
              </w:rPr>
            </w:r>
            <w:r>
              <w:rPr>
                <w:noProof/>
                <w:webHidden/>
              </w:rPr>
              <w:fldChar w:fldCharType="separate"/>
            </w:r>
            <w:r>
              <w:rPr>
                <w:noProof/>
                <w:webHidden/>
              </w:rPr>
              <w:t>12</w:t>
            </w:r>
            <w:r>
              <w:rPr>
                <w:noProof/>
                <w:webHidden/>
              </w:rPr>
              <w:fldChar w:fldCharType="end"/>
            </w:r>
          </w:hyperlink>
        </w:p>
        <w:p w14:paraId="596BD22D"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6" w:history="1">
            <w:r w:rsidRPr="009B24D8">
              <w:rPr>
                <w:rStyle w:val="Hyperlnk"/>
                <w:noProof/>
              </w:rPr>
              <w:t>19.</w:t>
            </w:r>
            <w:r>
              <w:rPr>
                <w:rFonts w:asciiTheme="minorHAnsi" w:eastAsiaTheme="minorEastAsia" w:hAnsiTheme="minorHAnsi" w:cstheme="minorBidi"/>
                <w:noProof/>
                <w:lang w:eastAsia="sv-SE"/>
              </w:rPr>
              <w:tab/>
            </w:r>
            <w:r w:rsidRPr="009B24D8">
              <w:rPr>
                <w:rStyle w:val="Hyperlnk"/>
                <w:noProof/>
              </w:rPr>
              <w:t>Proposal for a Council Decision on the conclusion of an agreement between the European Union and Iceland on the protection of geographical indications for agricultural products and foodstuffs</w:t>
            </w:r>
            <w:r>
              <w:rPr>
                <w:noProof/>
                <w:webHidden/>
              </w:rPr>
              <w:tab/>
            </w:r>
            <w:r>
              <w:rPr>
                <w:noProof/>
                <w:webHidden/>
              </w:rPr>
              <w:fldChar w:fldCharType="begin"/>
            </w:r>
            <w:r>
              <w:rPr>
                <w:noProof/>
                <w:webHidden/>
              </w:rPr>
              <w:instrText xml:space="preserve"> PAGEREF _Toc466456336 \h </w:instrText>
            </w:r>
            <w:r>
              <w:rPr>
                <w:noProof/>
                <w:webHidden/>
              </w:rPr>
            </w:r>
            <w:r>
              <w:rPr>
                <w:noProof/>
                <w:webHidden/>
              </w:rPr>
              <w:fldChar w:fldCharType="separate"/>
            </w:r>
            <w:r>
              <w:rPr>
                <w:noProof/>
                <w:webHidden/>
              </w:rPr>
              <w:t>12</w:t>
            </w:r>
            <w:r>
              <w:rPr>
                <w:noProof/>
                <w:webHidden/>
              </w:rPr>
              <w:fldChar w:fldCharType="end"/>
            </w:r>
          </w:hyperlink>
        </w:p>
        <w:p w14:paraId="186AF812"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7" w:history="1">
            <w:r w:rsidRPr="009B24D8">
              <w:rPr>
                <w:rStyle w:val="Hyperlnk"/>
                <w:noProof/>
              </w:rPr>
              <w:t>20.</w:t>
            </w:r>
            <w:r>
              <w:rPr>
                <w:rFonts w:asciiTheme="minorHAnsi" w:eastAsiaTheme="minorEastAsia" w:hAnsiTheme="minorHAnsi" w:cstheme="minorBidi"/>
                <w:noProof/>
                <w:lang w:eastAsia="sv-SE"/>
              </w:rPr>
              <w:tab/>
            </w:r>
            <w:r w:rsidRPr="009B24D8">
              <w:rPr>
                <w:rStyle w:val="Hyperlnk"/>
                <w:noProof/>
              </w:rPr>
              <w:t>Draft Council Decision on the signing, on behalf of the European Union, of an agreement between the European Union and Iceland on the protection of geographical indications for agricultural products and foodstuffs</w:t>
            </w:r>
            <w:r>
              <w:rPr>
                <w:noProof/>
                <w:webHidden/>
              </w:rPr>
              <w:tab/>
            </w:r>
            <w:r>
              <w:rPr>
                <w:noProof/>
                <w:webHidden/>
              </w:rPr>
              <w:fldChar w:fldCharType="begin"/>
            </w:r>
            <w:r>
              <w:rPr>
                <w:noProof/>
                <w:webHidden/>
              </w:rPr>
              <w:instrText xml:space="preserve"> PAGEREF _Toc466456337 \h </w:instrText>
            </w:r>
            <w:r>
              <w:rPr>
                <w:noProof/>
                <w:webHidden/>
              </w:rPr>
            </w:r>
            <w:r>
              <w:rPr>
                <w:noProof/>
                <w:webHidden/>
              </w:rPr>
              <w:fldChar w:fldCharType="separate"/>
            </w:r>
            <w:r>
              <w:rPr>
                <w:noProof/>
                <w:webHidden/>
              </w:rPr>
              <w:t>13</w:t>
            </w:r>
            <w:r>
              <w:rPr>
                <w:noProof/>
                <w:webHidden/>
              </w:rPr>
              <w:fldChar w:fldCharType="end"/>
            </w:r>
          </w:hyperlink>
        </w:p>
        <w:p w14:paraId="5ABB7758"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8" w:history="1">
            <w:r w:rsidRPr="009B24D8">
              <w:rPr>
                <w:rStyle w:val="Hyperlnk"/>
                <w:noProof/>
              </w:rPr>
              <w:t>21.</w:t>
            </w:r>
            <w:r>
              <w:rPr>
                <w:rFonts w:asciiTheme="minorHAnsi" w:eastAsiaTheme="minorEastAsia" w:hAnsiTheme="minorHAnsi" w:cstheme="minorBidi"/>
                <w:noProof/>
                <w:lang w:eastAsia="sv-SE"/>
              </w:rPr>
              <w:tab/>
            </w:r>
            <w:r w:rsidRPr="009B24D8">
              <w:rPr>
                <w:rStyle w:val="Hyperlnk"/>
                <w:noProof/>
              </w:rPr>
              <w:t>Proposal for a Council Decision on the conclusion of an agreement in the form of an exchange of letters between the European Union and Iceland concerning additional trade preferences in agricultural products</w:t>
            </w:r>
            <w:r>
              <w:rPr>
                <w:noProof/>
                <w:webHidden/>
              </w:rPr>
              <w:tab/>
            </w:r>
            <w:r>
              <w:rPr>
                <w:noProof/>
                <w:webHidden/>
              </w:rPr>
              <w:fldChar w:fldCharType="begin"/>
            </w:r>
            <w:r>
              <w:rPr>
                <w:noProof/>
                <w:webHidden/>
              </w:rPr>
              <w:instrText xml:space="preserve"> PAGEREF _Toc466456338 \h </w:instrText>
            </w:r>
            <w:r>
              <w:rPr>
                <w:noProof/>
                <w:webHidden/>
              </w:rPr>
            </w:r>
            <w:r>
              <w:rPr>
                <w:noProof/>
                <w:webHidden/>
              </w:rPr>
              <w:fldChar w:fldCharType="separate"/>
            </w:r>
            <w:r>
              <w:rPr>
                <w:noProof/>
                <w:webHidden/>
              </w:rPr>
              <w:t>13</w:t>
            </w:r>
            <w:r>
              <w:rPr>
                <w:noProof/>
                <w:webHidden/>
              </w:rPr>
              <w:fldChar w:fldCharType="end"/>
            </w:r>
          </w:hyperlink>
        </w:p>
        <w:p w14:paraId="64DE5CA2"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39" w:history="1">
            <w:r w:rsidRPr="009B24D8">
              <w:rPr>
                <w:rStyle w:val="Hyperlnk"/>
                <w:noProof/>
              </w:rPr>
              <w:t>22.</w:t>
            </w:r>
            <w:r>
              <w:rPr>
                <w:rFonts w:asciiTheme="minorHAnsi" w:eastAsiaTheme="minorEastAsia" w:hAnsiTheme="minorHAnsi" w:cstheme="minorBidi"/>
                <w:noProof/>
                <w:lang w:eastAsia="sv-SE"/>
              </w:rPr>
              <w:tab/>
            </w:r>
            <w:r w:rsidRPr="009B24D8">
              <w:rPr>
                <w:rStyle w:val="Hyperlnk"/>
                <w:noProof/>
              </w:rPr>
              <w:t>Draft Council Decision on the signing, on behalf of the European Union, of an agreement in the form of an exchange of letters between the European Union and Iceland concerning additional trade preferences in agricultural products</w:t>
            </w:r>
            <w:r>
              <w:rPr>
                <w:noProof/>
                <w:webHidden/>
              </w:rPr>
              <w:tab/>
            </w:r>
            <w:r>
              <w:rPr>
                <w:noProof/>
                <w:webHidden/>
              </w:rPr>
              <w:fldChar w:fldCharType="begin"/>
            </w:r>
            <w:r>
              <w:rPr>
                <w:noProof/>
                <w:webHidden/>
              </w:rPr>
              <w:instrText xml:space="preserve"> PAGEREF _Toc466456339 \h </w:instrText>
            </w:r>
            <w:r>
              <w:rPr>
                <w:noProof/>
                <w:webHidden/>
              </w:rPr>
            </w:r>
            <w:r>
              <w:rPr>
                <w:noProof/>
                <w:webHidden/>
              </w:rPr>
              <w:fldChar w:fldCharType="separate"/>
            </w:r>
            <w:r>
              <w:rPr>
                <w:noProof/>
                <w:webHidden/>
              </w:rPr>
              <w:t>14</w:t>
            </w:r>
            <w:r>
              <w:rPr>
                <w:noProof/>
                <w:webHidden/>
              </w:rPr>
              <w:fldChar w:fldCharType="end"/>
            </w:r>
          </w:hyperlink>
        </w:p>
        <w:p w14:paraId="4194A1BF"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40" w:history="1">
            <w:r w:rsidRPr="009B24D8">
              <w:rPr>
                <w:rStyle w:val="Hyperlnk"/>
                <w:noProof/>
              </w:rPr>
              <w:t>23.</w:t>
            </w:r>
            <w:r>
              <w:rPr>
                <w:rFonts w:asciiTheme="minorHAnsi" w:eastAsiaTheme="minorEastAsia" w:hAnsiTheme="minorHAnsi" w:cstheme="minorBidi"/>
                <w:noProof/>
                <w:lang w:eastAsia="sv-SE"/>
              </w:rPr>
              <w:tab/>
            </w:r>
            <w:r w:rsidRPr="009B24D8">
              <w:rPr>
                <w:rStyle w:val="Hyperlnk"/>
                <w:noProof/>
              </w:rPr>
              <w:t>Proposal for a Council Decision on the conclusion, on behalf of the Union, of the Enhanced Partnership and Cooperation Agreement between the European Union and its Member States, of the one part, and the Republic of Kazakhstan, of the other part</w:t>
            </w:r>
            <w:r>
              <w:rPr>
                <w:noProof/>
                <w:webHidden/>
              </w:rPr>
              <w:tab/>
            </w:r>
            <w:r>
              <w:rPr>
                <w:noProof/>
                <w:webHidden/>
              </w:rPr>
              <w:fldChar w:fldCharType="begin"/>
            </w:r>
            <w:r>
              <w:rPr>
                <w:noProof/>
                <w:webHidden/>
              </w:rPr>
              <w:instrText xml:space="preserve"> PAGEREF _Toc466456340 \h </w:instrText>
            </w:r>
            <w:r>
              <w:rPr>
                <w:noProof/>
                <w:webHidden/>
              </w:rPr>
            </w:r>
            <w:r>
              <w:rPr>
                <w:noProof/>
                <w:webHidden/>
              </w:rPr>
              <w:fldChar w:fldCharType="separate"/>
            </w:r>
            <w:r>
              <w:rPr>
                <w:noProof/>
                <w:webHidden/>
              </w:rPr>
              <w:t>14</w:t>
            </w:r>
            <w:r>
              <w:rPr>
                <w:noProof/>
                <w:webHidden/>
              </w:rPr>
              <w:fldChar w:fldCharType="end"/>
            </w:r>
          </w:hyperlink>
        </w:p>
        <w:p w14:paraId="7E0DEFA1"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41" w:history="1">
            <w:r w:rsidRPr="009B24D8">
              <w:rPr>
                <w:rStyle w:val="Hyperlnk"/>
                <w:noProof/>
              </w:rPr>
              <w:t>24.</w:t>
            </w:r>
            <w:r>
              <w:rPr>
                <w:rFonts w:asciiTheme="minorHAnsi" w:eastAsiaTheme="minorEastAsia" w:hAnsiTheme="minorHAnsi" w:cstheme="minorBidi"/>
                <w:noProof/>
                <w:lang w:eastAsia="sv-SE"/>
              </w:rPr>
              <w:tab/>
            </w:r>
            <w:r w:rsidRPr="009B24D8">
              <w:rPr>
                <w:rStyle w:val="Hyperlnk"/>
                <w:noProof/>
              </w:rPr>
              <w:t>(poss.) Draft Council Conclusions on the Fifth Review Conference of the Convention on Prohibitions or Restrictions on the Use of Certain Conventional Weapons Which May be Deemed to be Excessively Injurious or to Have Indiscriminate Effects (CCW) (Geneva, 12-16 December 2016)</w:t>
            </w:r>
            <w:r>
              <w:rPr>
                <w:noProof/>
                <w:webHidden/>
              </w:rPr>
              <w:tab/>
            </w:r>
            <w:r>
              <w:rPr>
                <w:noProof/>
                <w:webHidden/>
              </w:rPr>
              <w:fldChar w:fldCharType="begin"/>
            </w:r>
            <w:r>
              <w:rPr>
                <w:noProof/>
                <w:webHidden/>
              </w:rPr>
              <w:instrText xml:space="preserve"> PAGEREF _Toc466456341 \h </w:instrText>
            </w:r>
            <w:r>
              <w:rPr>
                <w:noProof/>
                <w:webHidden/>
              </w:rPr>
            </w:r>
            <w:r>
              <w:rPr>
                <w:noProof/>
                <w:webHidden/>
              </w:rPr>
              <w:fldChar w:fldCharType="separate"/>
            </w:r>
            <w:r>
              <w:rPr>
                <w:noProof/>
                <w:webHidden/>
              </w:rPr>
              <w:t>15</w:t>
            </w:r>
            <w:r>
              <w:rPr>
                <w:noProof/>
                <w:webHidden/>
              </w:rPr>
              <w:fldChar w:fldCharType="end"/>
            </w:r>
          </w:hyperlink>
        </w:p>
        <w:p w14:paraId="77AEEC1F"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42" w:history="1">
            <w:r w:rsidRPr="009B24D8">
              <w:rPr>
                <w:rStyle w:val="Hyperlnk"/>
                <w:noProof/>
                <w:lang w:val="en-US"/>
              </w:rPr>
              <w:t>25.</w:t>
            </w:r>
            <w:r>
              <w:rPr>
                <w:rFonts w:asciiTheme="minorHAnsi" w:eastAsiaTheme="minorEastAsia" w:hAnsiTheme="minorHAnsi" w:cstheme="minorBidi"/>
                <w:noProof/>
                <w:lang w:eastAsia="sv-SE"/>
              </w:rPr>
              <w:tab/>
            </w:r>
            <w:r w:rsidRPr="009B24D8">
              <w:rPr>
                <w:rStyle w:val="Hyperlnk"/>
                <w:noProof/>
                <w:lang w:val="en-US"/>
              </w:rPr>
              <w:t>Draft Council Conclusions on EU-wide strategic framework to support Security Sector Reform (SSR)</w:t>
            </w:r>
            <w:r>
              <w:rPr>
                <w:noProof/>
                <w:webHidden/>
              </w:rPr>
              <w:tab/>
            </w:r>
            <w:r>
              <w:rPr>
                <w:noProof/>
                <w:webHidden/>
              </w:rPr>
              <w:fldChar w:fldCharType="begin"/>
            </w:r>
            <w:r>
              <w:rPr>
                <w:noProof/>
                <w:webHidden/>
              </w:rPr>
              <w:instrText xml:space="preserve"> PAGEREF _Toc466456342 \h </w:instrText>
            </w:r>
            <w:r>
              <w:rPr>
                <w:noProof/>
                <w:webHidden/>
              </w:rPr>
            </w:r>
            <w:r>
              <w:rPr>
                <w:noProof/>
                <w:webHidden/>
              </w:rPr>
              <w:fldChar w:fldCharType="separate"/>
            </w:r>
            <w:r>
              <w:rPr>
                <w:noProof/>
                <w:webHidden/>
              </w:rPr>
              <w:t>15</w:t>
            </w:r>
            <w:r>
              <w:rPr>
                <w:noProof/>
                <w:webHidden/>
              </w:rPr>
              <w:fldChar w:fldCharType="end"/>
            </w:r>
          </w:hyperlink>
        </w:p>
        <w:p w14:paraId="0CA54C30"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43" w:history="1">
            <w:r w:rsidRPr="009B24D8">
              <w:rPr>
                <w:rStyle w:val="Hyperlnk"/>
                <w:noProof/>
              </w:rPr>
              <w:t>26.</w:t>
            </w:r>
            <w:r>
              <w:rPr>
                <w:rFonts w:asciiTheme="minorHAnsi" w:eastAsiaTheme="minorEastAsia" w:hAnsiTheme="minorHAnsi" w:cstheme="minorBidi"/>
                <w:noProof/>
                <w:lang w:eastAsia="sv-SE"/>
              </w:rPr>
              <w:tab/>
            </w:r>
            <w:r w:rsidRPr="009B24D8">
              <w:rPr>
                <w:rStyle w:val="Hyperlnk"/>
                <w:noProof/>
              </w:rPr>
              <w:t>Single Progress Report on the Development of EU Military Capabilities in the period from November 2015 to October 2016</w:t>
            </w:r>
            <w:r>
              <w:rPr>
                <w:noProof/>
                <w:webHidden/>
              </w:rPr>
              <w:tab/>
            </w:r>
            <w:r>
              <w:rPr>
                <w:noProof/>
                <w:webHidden/>
              </w:rPr>
              <w:fldChar w:fldCharType="begin"/>
            </w:r>
            <w:r>
              <w:rPr>
                <w:noProof/>
                <w:webHidden/>
              </w:rPr>
              <w:instrText xml:space="preserve"> PAGEREF _Toc466456343 \h </w:instrText>
            </w:r>
            <w:r>
              <w:rPr>
                <w:noProof/>
                <w:webHidden/>
              </w:rPr>
            </w:r>
            <w:r>
              <w:rPr>
                <w:noProof/>
                <w:webHidden/>
              </w:rPr>
              <w:fldChar w:fldCharType="separate"/>
            </w:r>
            <w:r>
              <w:rPr>
                <w:noProof/>
                <w:webHidden/>
              </w:rPr>
              <w:t>16</w:t>
            </w:r>
            <w:r>
              <w:rPr>
                <w:noProof/>
                <w:webHidden/>
              </w:rPr>
              <w:fldChar w:fldCharType="end"/>
            </w:r>
          </w:hyperlink>
        </w:p>
        <w:p w14:paraId="3C6888B5"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44" w:history="1">
            <w:r w:rsidRPr="009B24D8">
              <w:rPr>
                <w:rStyle w:val="Hyperlnk"/>
                <w:noProof/>
              </w:rPr>
              <w:t>27.</w:t>
            </w:r>
            <w:r>
              <w:rPr>
                <w:rFonts w:asciiTheme="minorHAnsi" w:eastAsiaTheme="minorEastAsia" w:hAnsiTheme="minorHAnsi" w:cstheme="minorBidi"/>
                <w:noProof/>
                <w:lang w:eastAsia="sv-SE"/>
              </w:rPr>
              <w:tab/>
            </w:r>
            <w:r w:rsidRPr="009B24D8">
              <w:rPr>
                <w:rStyle w:val="Hyperlnk"/>
                <w:noProof/>
              </w:rPr>
              <w:t>(poss.) Report by the Head of the European Defence Agency to the Council</w:t>
            </w:r>
            <w:r>
              <w:rPr>
                <w:noProof/>
                <w:webHidden/>
              </w:rPr>
              <w:tab/>
            </w:r>
            <w:r>
              <w:rPr>
                <w:noProof/>
                <w:webHidden/>
              </w:rPr>
              <w:fldChar w:fldCharType="begin"/>
            </w:r>
            <w:r>
              <w:rPr>
                <w:noProof/>
                <w:webHidden/>
              </w:rPr>
              <w:instrText xml:space="preserve"> PAGEREF _Toc466456344 \h </w:instrText>
            </w:r>
            <w:r>
              <w:rPr>
                <w:noProof/>
                <w:webHidden/>
              </w:rPr>
            </w:r>
            <w:r>
              <w:rPr>
                <w:noProof/>
                <w:webHidden/>
              </w:rPr>
              <w:fldChar w:fldCharType="separate"/>
            </w:r>
            <w:r>
              <w:rPr>
                <w:noProof/>
                <w:webHidden/>
              </w:rPr>
              <w:t>17</w:t>
            </w:r>
            <w:r>
              <w:rPr>
                <w:noProof/>
                <w:webHidden/>
              </w:rPr>
              <w:fldChar w:fldCharType="end"/>
            </w:r>
          </w:hyperlink>
        </w:p>
        <w:p w14:paraId="1151553C"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45" w:history="1">
            <w:r w:rsidRPr="009B24D8">
              <w:rPr>
                <w:rStyle w:val="Hyperlnk"/>
                <w:noProof/>
              </w:rPr>
              <w:t>28.</w:t>
            </w:r>
            <w:r>
              <w:rPr>
                <w:rFonts w:asciiTheme="minorHAnsi" w:eastAsiaTheme="minorEastAsia" w:hAnsiTheme="minorHAnsi" w:cstheme="minorBidi"/>
                <w:noProof/>
                <w:lang w:eastAsia="sv-SE"/>
              </w:rPr>
              <w:tab/>
            </w:r>
            <w:r w:rsidRPr="009B24D8">
              <w:rPr>
                <w:rStyle w:val="Hyperlnk"/>
                <w:noProof/>
              </w:rPr>
              <w:t>(poss.) Request for declassification of EUJUST THEMIS Operation Plan</w:t>
            </w:r>
            <w:r>
              <w:rPr>
                <w:noProof/>
                <w:webHidden/>
              </w:rPr>
              <w:tab/>
            </w:r>
            <w:r>
              <w:rPr>
                <w:noProof/>
                <w:webHidden/>
              </w:rPr>
              <w:fldChar w:fldCharType="begin"/>
            </w:r>
            <w:r>
              <w:rPr>
                <w:noProof/>
                <w:webHidden/>
              </w:rPr>
              <w:instrText xml:space="preserve"> PAGEREF _Toc466456345 \h </w:instrText>
            </w:r>
            <w:r>
              <w:rPr>
                <w:noProof/>
                <w:webHidden/>
              </w:rPr>
            </w:r>
            <w:r>
              <w:rPr>
                <w:noProof/>
                <w:webHidden/>
              </w:rPr>
              <w:fldChar w:fldCharType="separate"/>
            </w:r>
            <w:r>
              <w:rPr>
                <w:noProof/>
                <w:webHidden/>
              </w:rPr>
              <w:t>17</w:t>
            </w:r>
            <w:r>
              <w:rPr>
                <w:noProof/>
                <w:webHidden/>
              </w:rPr>
              <w:fldChar w:fldCharType="end"/>
            </w:r>
          </w:hyperlink>
        </w:p>
        <w:p w14:paraId="783F8B3A" w14:textId="77777777" w:rsidR="009A197A" w:rsidRDefault="009A197A">
          <w:pPr>
            <w:pStyle w:val="Innehll1"/>
            <w:tabs>
              <w:tab w:val="left" w:pos="660"/>
              <w:tab w:val="right" w:leader="dot" w:pos="9062"/>
            </w:tabs>
            <w:rPr>
              <w:rFonts w:asciiTheme="minorHAnsi" w:eastAsiaTheme="minorEastAsia" w:hAnsiTheme="minorHAnsi" w:cstheme="minorBidi"/>
              <w:noProof/>
              <w:lang w:eastAsia="sv-SE"/>
            </w:rPr>
          </w:pPr>
          <w:hyperlink w:anchor="_Toc466456346" w:history="1">
            <w:r w:rsidRPr="009B24D8">
              <w:rPr>
                <w:rStyle w:val="Hyperlnk"/>
                <w:noProof/>
              </w:rPr>
              <w:t>29.</w:t>
            </w:r>
            <w:r>
              <w:rPr>
                <w:rFonts w:asciiTheme="minorHAnsi" w:eastAsiaTheme="minorEastAsia" w:hAnsiTheme="minorHAnsi" w:cstheme="minorBidi"/>
                <w:noProof/>
                <w:lang w:eastAsia="sv-SE"/>
              </w:rPr>
              <w:tab/>
            </w:r>
            <w:r w:rsidRPr="009B24D8">
              <w:rPr>
                <w:rStyle w:val="Hyperlnk"/>
                <w:noProof/>
              </w:rPr>
              <w:t>Draft Council Decision on a Union contribution to the establishment and the secure management of a Low Enriched Uranium (LEU) Bank under the control of the International Atomic Energy Agency (IAEA) in the framework of the EU Strategy against the Proliferation of Weapons of Mass Destruction</w:t>
            </w:r>
            <w:r>
              <w:rPr>
                <w:noProof/>
                <w:webHidden/>
              </w:rPr>
              <w:tab/>
            </w:r>
            <w:r>
              <w:rPr>
                <w:noProof/>
                <w:webHidden/>
              </w:rPr>
              <w:fldChar w:fldCharType="begin"/>
            </w:r>
            <w:r>
              <w:rPr>
                <w:noProof/>
                <w:webHidden/>
              </w:rPr>
              <w:instrText xml:space="preserve"> PAGEREF _Toc466456346 \h </w:instrText>
            </w:r>
            <w:r>
              <w:rPr>
                <w:noProof/>
                <w:webHidden/>
              </w:rPr>
            </w:r>
            <w:r>
              <w:rPr>
                <w:noProof/>
                <w:webHidden/>
              </w:rPr>
              <w:fldChar w:fldCharType="separate"/>
            </w:r>
            <w:r>
              <w:rPr>
                <w:noProof/>
                <w:webHidden/>
              </w:rPr>
              <w:t>17</w:t>
            </w:r>
            <w:r>
              <w:rPr>
                <w:noProof/>
                <w:webHidden/>
              </w:rPr>
              <w:fldChar w:fldCharType="end"/>
            </w:r>
          </w:hyperlink>
        </w:p>
        <w:p w14:paraId="67BAB067" w14:textId="77777777" w:rsidR="00745669" w:rsidRDefault="00745669">
          <w:r>
            <w:rPr>
              <w:b/>
              <w:bCs/>
              <w:noProof/>
            </w:rPr>
            <w:fldChar w:fldCharType="end"/>
          </w:r>
        </w:p>
      </w:sdtContent>
    </w:sdt>
    <w:p w14:paraId="67BAB068" w14:textId="77777777" w:rsidR="00745669" w:rsidRDefault="00745669">
      <w:pPr>
        <w:ind w:left="0"/>
      </w:pPr>
      <w:r>
        <w:br w:type="page"/>
      </w:r>
    </w:p>
    <w:p w14:paraId="67BAB06A" w14:textId="77777777" w:rsidR="00745669" w:rsidRDefault="00745669" w:rsidP="00745669">
      <w:pPr>
        <w:pStyle w:val="Rubrik1"/>
      </w:pPr>
      <w:bookmarkStart w:id="1" w:name="_Toc364854645"/>
      <w:bookmarkStart w:id="2" w:name="_Toc466456318"/>
      <w:r>
        <w:rPr>
          <w:noProof/>
        </w:rPr>
        <w:lastRenderedPageBreak/>
        <w:t>Case before the General Court of the European Union</w:t>
      </w:r>
      <w:r>
        <w:rPr>
          <w:noProof/>
        </w:rPr>
        <w:br/>
        <w:t>Case T-379/16 (Basicmed Enterprises Ltd and Others v. Council of the European Union, European Commission, European Central Bank (ECB), Eurogroup, represented by the Council of the European Union, European Union, represented by the European Commission)</w:t>
      </w:r>
      <w:bookmarkEnd w:id="2"/>
    </w:p>
    <w:p w14:paraId="67BAB06B" w14:textId="77777777" w:rsidR="00745669" w:rsidRDefault="00745669" w:rsidP="00745669">
      <w:pPr>
        <w:rPr>
          <w:lang w:val="en-US"/>
        </w:rPr>
      </w:pPr>
      <w:r>
        <w:rPr>
          <w:noProof/>
          <w:lang w:val="en-US"/>
        </w:rPr>
        <w:t>=</w:t>
      </w:r>
      <w:r>
        <w:rPr>
          <w:lang w:val="en-US"/>
        </w:rPr>
        <w:t>Information note for the Permanent Representatives Committee (Part 2)</w:t>
      </w:r>
      <w:r>
        <w:rPr>
          <w:lang w:val="en-US"/>
        </w:rPr>
        <w:br/>
      </w:r>
      <w:r>
        <w:rPr>
          <w:noProof/>
          <w:lang w:val="en-US"/>
        </w:rPr>
        <w:t>13894</w:t>
      </w:r>
      <w:r>
        <w:rPr>
          <w:lang w:val="en-US"/>
        </w:rPr>
        <w:t>/16 JUR 548 ECOFIN 985 UEM 351</w:t>
      </w:r>
    </w:p>
    <w:p w14:paraId="67BAB06C" w14:textId="77777777" w:rsidR="00745669" w:rsidRDefault="00745669" w:rsidP="00745669">
      <w:r>
        <w:rPr>
          <w:b/>
        </w:rPr>
        <w:t>Ansvarigt statsråd</w:t>
      </w:r>
      <w:r>
        <w:rPr>
          <w:b/>
        </w:rPr>
        <w:br/>
      </w:r>
      <w:r>
        <w:rPr>
          <w:noProof/>
        </w:rPr>
        <w:t>Ann</w:t>
      </w:r>
      <w:r>
        <w:t xml:space="preserve"> Linde</w:t>
      </w:r>
    </w:p>
    <w:p w14:paraId="67BAB06D"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6E"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6F"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70"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71"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72"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73"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74"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75"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77" w14:textId="34ACF6F3" w:rsidR="00D9267A" w:rsidRDefault="00745669" w:rsidP="0080376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EU-tribunalen där rådet har utsett ombud. </w:t>
      </w:r>
    </w:p>
    <w:p w14:paraId="67BAB078" w14:textId="77777777" w:rsidR="00D9267A" w:rsidRDefault="00745669">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67BAB079" w14:textId="77777777" w:rsidR="00D9267A" w:rsidRDefault="00745669">
      <w:pPr>
        <w:spacing w:after="280" w:afterAutospacing="1"/>
      </w:pPr>
      <w:r>
        <w:rPr>
          <w:b/>
          <w:bCs/>
        </w:rPr>
        <w:t>Bakgrund:</w:t>
      </w:r>
      <w:r>
        <w:t xml:space="preserve"> I målet har insättare och aktieägare i Bank </w:t>
      </w:r>
      <w:proofErr w:type="spellStart"/>
      <w:r>
        <w:t>of</w:t>
      </w:r>
      <w:proofErr w:type="spellEnd"/>
      <w:r>
        <w:t xml:space="preserve"> </w:t>
      </w:r>
      <w:proofErr w:type="spellStart"/>
      <w:r>
        <w:t>Cyprus</w:t>
      </w:r>
      <w:proofErr w:type="spellEnd"/>
      <w:r>
        <w:t xml:space="preserve"> Public Company Ltd and </w:t>
      </w:r>
      <w:proofErr w:type="spellStart"/>
      <w:r>
        <w:t>of</w:t>
      </w:r>
      <w:proofErr w:type="spellEnd"/>
      <w:r>
        <w:t xml:space="preserve"> </w:t>
      </w:r>
      <w:proofErr w:type="spellStart"/>
      <w:r>
        <w:t>Cyprus</w:t>
      </w:r>
      <w:proofErr w:type="spellEnd"/>
      <w:r>
        <w:t xml:space="preserve"> </w:t>
      </w:r>
      <w:proofErr w:type="spellStart"/>
      <w:r>
        <w:t>Popular</w:t>
      </w:r>
      <w:proofErr w:type="spellEnd"/>
      <w:r>
        <w:t xml:space="preserve"> Bank Public Co Ltd, väckt skadeståndstalan i enlighet med artiklarna 268, </w:t>
      </w:r>
      <w:proofErr w:type="gramStart"/>
      <w:r>
        <w:t>340.2</w:t>
      </w:r>
      <w:proofErr w:type="gramEnd"/>
      <w:r>
        <w:t xml:space="preserve"> och 340.3 FEUF mot bl.a. rådet för skada som påstås ha uppkommit som en följd av åtgärder som rådet kommit överens om i samband med 2013 års </w:t>
      </w:r>
      <w:proofErr w:type="spellStart"/>
      <w:r>
        <w:t>bail-inprogram</w:t>
      </w:r>
      <w:proofErr w:type="spellEnd"/>
      <w:r>
        <w:t xml:space="preserve"> (nedskrivning och konvertering av aktier och skulder) på Cypern. Eftersom rådet är svarande i målet kommer det att ge in ett svaromål.</w:t>
      </w:r>
    </w:p>
    <w:p w14:paraId="67BAB07C" w14:textId="77777777" w:rsidR="00745669" w:rsidRDefault="00745669" w:rsidP="00745669">
      <w:pPr>
        <w:pStyle w:val="Rubrik1"/>
      </w:pPr>
      <w:bookmarkStart w:id="3" w:name="_Toc466456319"/>
      <w:r>
        <w:rPr>
          <w:noProof/>
        </w:rPr>
        <w:t>Resolutions, Decision and Opinions adopted by the European Parliament at its part-session in Strasbourg from 24-27 October 2016</w:t>
      </w:r>
      <w:bookmarkEnd w:id="3"/>
    </w:p>
    <w:p w14:paraId="67BAB07D" w14:textId="37C783BC" w:rsidR="00745669" w:rsidRDefault="00745669" w:rsidP="00745669">
      <w:pPr>
        <w:rPr>
          <w:lang w:val="en-US"/>
        </w:rPr>
      </w:pPr>
      <w:r>
        <w:rPr>
          <w:noProof/>
          <w:lang w:val="en-US"/>
        </w:rPr>
        <w:t>13508</w:t>
      </w:r>
      <w:r>
        <w:rPr>
          <w:lang w:val="en-US"/>
        </w:rPr>
        <w:t xml:space="preserve">/16 PE-RE 7 </w:t>
      </w:r>
    </w:p>
    <w:p w14:paraId="67BAB07E" w14:textId="77777777" w:rsidR="00745669" w:rsidRDefault="00745669" w:rsidP="00745669">
      <w:r>
        <w:rPr>
          <w:b/>
        </w:rPr>
        <w:t>Ansvarigt statsråd</w:t>
      </w:r>
      <w:r>
        <w:rPr>
          <w:b/>
        </w:rPr>
        <w:br/>
      </w:r>
      <w:r>
        <w:rPr>
          <w:noProof/>
        </w:rPr>
        <w:t>Stefan</w:t>
      </w:r>
      <w:r>
        <w:t xml:space="preserve"> </w:t>
      </w:r>
      <w:proofErr w:type="spellStart"/>
      <w:r>
        <w:t>Löfven</w:t>
      </w:r>
      <w:proofErr w:type="spellEnd"/>
    </w:p>
    <w:p w14:paraId="67BAB07F"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80"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8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82"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83"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84"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85"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86"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87"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88" w14:textId="77777777" w:rsidR="00745669" w:rsidRDefault="00745669" w:rsidP="00745669">
      <w:r>
        <w:instrText>"</w:instrText>
      </w:r>
      <w:r>
        <w:rPr>
          <w:b/>
        </w:rPr>
        <w:instrText xml:space="preserve"> </w:instrText>
      </w:r>
      <w:r>
        <w:rPr>
          <w:b/>
        </w:rPr>
        <w:fldChar w:fldCharType="end"/>
      </w:r>
      <w:r w:rsidRPr="00B44CE2">
        <w:rPr>
          <w:b/>
        </w:rPr>
        <w:t>Annotering</w:t>
      </w:r>
      <w:r>
        <w:rPr>
          <w:b/>
        </w:rPr>
        <w:br/>
      </w:r>
      <w:r>
        <w:t>Föranleder ingen annotering.</w:t>
      </w:r>
    </w:p>
    <w:p w14:paraId="67BAB089" w14:textId="77777777" w:rsidR="00745669" w:rsidRDefault="00745669" w:rsidP="00745669">
      <w:pPr>
        <w:pStyle w:val="Rubrik1"/>
      </w:pPr>
      <w:bookmarkStart w:id="4" w:name="_Toc466456320"/>
      <w:r>
        <w:rPr>
          <w:noProof/>
        </w:rPr>
        <w:t>Submission of the national side of commemorative 2 euro coins by Latvia</w:t>
      </w:r>
      <w:bookmarkEnd w:id="4"/>
    </w:p>
    <w:p w14:paraId="67BAB08A" w14:textId="4721B682" w:rsidR="00745669" w:rsidRDefault="00745669" w:rsidP="00745669">
      <w:pPr>
        <w:rPr>
          <w:lang w:val="en-US"/>
        </w:rPr>
      </w:pPr>
      <w:r>
        <w:rPr>
          <w:noProof/>
          <w:lang w:val="en-US"/>
        </w:rPr>
        <w:t>13625</w:t>
      </w:r>
      <w:r>
        <w:rPr>
          <w:lang w:val="en-US"/>
        </w:rPr>
        <w:t>/16 ECOFIN 952 UEM 340</w:t>
      </w:r>
    </w:p>
    <w:p w14:paraId="67BAB08B" w14:textId="77777777" w:rsidR="00745669" w:rsidRDefault="00745669" w:rsidP="00745669">
      <w:r>
        <w:rPr>
          <w:b/>
        </w:rPr>
        <w:t>Ansvarigt statsråd</w:t>
      </w:r>
      <w:r>
        <w:rPr>
          <w:b/>
        </w:rPr>
        <w:br/>
      </w:r>
      <w:r>
        <w:rPr>
          <w:noProof/>
        </w:rPr>
        <w:t>Per</w:t>
      </w:r>
      <w:r>
        <w:t xml:space="preserve"> Bolund</w:t>
      </w:r>
    </w:p>
    <w:p w14:paraId="67BAB08C"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8D"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8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8F"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90"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9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92"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93"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94"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95" w14:textId="77777777" w:rsidR="00745669" w:rsidRDefault="00745669" w:rsidP="00745669">
      <w:r>
        <w:instrText>"</w:instrText>
      </w:r>
      <w:r>
        <w:rPr>
          <w:b/>
        </w:rPr>
        <w:instrText xml:space="preserve"> </w:instrText>
      </w:r>
      <w:r>
        <w:rPr>
          <w:b/>
        </w:rPr>
        <w:fldChar w:fldCharType="end"/>
      </w:r>
      <w:r w:rsidRPr="00B44CE2">
        <w:rPr>
          <w:b/>
        </w:rPr>
        <w:t>Annotering</w:t>
      </w:r>
      <w:r>
        <w:rPr>
          <w:b/>
        </w:rPr>
        <w:br/>
      </w:r>
      <w:r>
        <w:t>Föranleder ingen annotering.</w:t>
      </w:r>
    </w:p>
    <w:p w14:paraId="67BAB096" w14:textId="77777777" w:rsidR="00745669" w:rsidRDefault="00745669" w:rsidP="00745669">
      <w:pPr>
        <w:pStyle w:val="Rubrik1"/>
      </w:pPr>
      <w:bookmarkStart w:id="5" w:name="_Toc466456321"/>
      <w:r>
        <w:rPr>
          <w:noProof/>
        </w:rPr>
        <w:t>Submission of a new draft national design of Luxembourg euro coins</w:t>
      </w:r>
      <w:bookmarkEnd w:id="5"/>
    </w:p>
    <w:p w14:paraId="67BAB097" w14:textId="074836EA" w:rsidR="00745669" w:rsidRDefault="00745669" w:rsidP="00745669">
      <w:pPr>
        <w:rPr>
          <w:lang w:val="en-US"/>
        </w:rPr>
      </w:pPr>
      <w:r>
        <w:rPr>
          <w:noProof/>
          <w:lang w:val="en-US"/>
        </w:rPr>
        <w:t>13628</w:t>
      </w:r>
      <w:r>
        <w:rPr>
          <w:lang w:val="en-US"/>
        </w:rPr>
        <w:t>/16 ECOFIN 953 UEM 341</w:t>
      </w:r>
    </w:p>
    <w:p w14:paraId="67BAB098" w14:textId="77777777" w:rsidR="00745669" w:rsidRDefault="00745669" w:rsidP="00745669">
      <w:r>
        <w:rPr>
          <w:b/>
        </w:rPr>
        <w:lastRenderedPageBreak/>
        <w:t>Ansvarigt statsråd</w:t>
      </w:r>
      <w:r>
        <w:rPr>
          <w:b/>
        </w:rPr>
        <w:br/>
      </w:r>
      <w:r>
        <w:rPr>
          <w:noProof/>
        </w:rPr>
        <w:t>Per</w:t>
      </w:r>
      <w:r>
        <w:t xml:space="preserve"> Bolund</w:t>
      </w:r>
    </w:p>
    <w:p w14:paraId="67BAB099"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9A"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9B"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9C"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9D"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9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9F"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A0"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A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A2" w14:textId="77777777" w:rsidR="00745669" w:rsidRDefault="00745669" w:rsidP="00745669">
      <w:r>
        <w:instrText>"</w:instrText>
      </w:r>
      <w:r>
        <w:rPr>
          <w:b/>
        </w:rPr>
        <w:instrText xml:space="preserve"> </w:instrText>
      </w:r>
      <w:r>
        <w:rPr>
          <w:b/>
        </w:rPr>
        <w:fldChar w:fldCharType="end"/>
      </w:r>
      <w:r w:rsidRPr="00B44CE2">
        <w:rPr>
          <w:b/>
        </w:rPr>
        <w:t>Annotering</w:t>
      </w:r>
      <w:r>
        <w:rPr>
          <w:b/>
        </w:rPr>
        <w:br/>
      </w:r>
      <w:r>
        <w:t>Föranleder ingen annotering.</w:t>
      </w:r>
    </w:p>
    <w:p w14:paraId="67BAB0A3" w14:textId="77777777" w:rsidR="00745669" w:rsidRDefault="00745669" w:rsidP="00745669">
      <w:pPr>
        <w:pStyle w:val="Rubrik1"/>
      </w:pPr>
      <w:bookmarkStart w:id="6" w:name="_Toc466456322"/>
      <w:r>
        <w:rPr>
          <w:noProof/>
        </w:rPr>
        <w:t>Commission Delegated Regulation (EU) …/... of 19.10.2016 amending Commission Delegated Regulation (EU) No 148/2013 supplementing Regulation (EU) No 648/2012 of the European Parliament and of the Council on OTC derivatives, central counterparties and trade repositories with regard to regulatory technical standards on the minimum details of the data to be reported to trade repositories</w:t>
      </w:r>
      <w:bookmarkEnd w:id="6"/>
    </w:p>
    <w:p w14:paraId="67BAB0A4" w14:textId="77777777" w:rsidR="00745669" w:rsidRDefault="00745669" w:rsidP="00745669">
      <w:pPr>
        <w:rPr>
          <w:lang w:val="en-US"/>
        </w:rPr>
      </w:pPr>
      <w:r>
        <w:rPr>
          <w:noProof/>
          <w:lang w:val="en-US"/>
        </w:rPr>
        <w:t>=</w:t>
      </w:r>
      <w:r>
        <w:rPr>
          <w:lang w:val="en-US"/>
        </w:rPr>
        <w:t>Intention not to raise objections to a delegated act</w:t>
      </w:r>
      <w:r>
        <w:rPr>
          <w:lang w:val="en-US"/>
        </w:rPr>
        <w:br/>
      </w:r>
      <w:r>
        <w:rPr>
          <w:noProof/>
          <w:lang w:val="en-US"/>
        </w:rPr>
        <w:t>13915</w:t>
      </w:r>
      <w:r>
        <w:rPr>
          <w:lang w:val="en-US"/>
        </w:rPr>
        <w:t>/16 EF 326 ECOFIN 990 DELACT 22513471/16 EF 309 ECOFIN 929 DELACT 219+ ADD 1</w:t>
      </w:r>
    </w:p>
    <w:p w14:paraId="67BAB0A5" w14:textId="77777777" w:rsidR="00745669" w:rsidRDefault="00745669" w:rsidP="00745669">
      <w:r>
        <w:rPr>
          <w:b/>
        </w:rPr>
        <w:t>Ansvarigt statsråd</w:t>
      </w:r>
      <w:r>
        <w:rPr>
          <w:b/>
        </w:rPr>
        <w:br/>
      </w:r>
      <w:r>
        <w:rPr>
          <w:noProof/>
        </w:rPr>
        <w:t>Per</w:t>
      </w:r>
      <w:r>
        <w:t xml:space="preserve"> Bolund</w:t>
      </w:r>
    </w:p>
    <w:p w14:paraId="67BAB0A6"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A7"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A8"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A9"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AA"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AB"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AC"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AD"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A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B0" w14:textId="4966107D" w:rsidR="00D9267A" w:rsidRDefault="00745669" w:rsidP="0080376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w:t>
      </w:r>
    </w:p>
    <w:p w14:paraId="67BAB0B1" w14:textId="6B9375E2" w:rsidR="00D9267A" w:rsidRDefault="00745669">
      <w:pPr>
        <w:spacing w:after="280" w:afterAutospacing="1"/>
      </w:pPr>
      <w:r>
        <w:rPr>
          <w:b/>
          <w:bCs/>
        </w:rPr>
        <w:t>Hur regeringen ställer sig till den blivande A-punkten:</w:t>
      </w:r>
      <w:r>
        <w:t xml:space="preserve"> Regeringen avser att inte invända mot den delegerade akten. </w:t>
      </w:r>
    </w:p>
    <w:p w14:paraId="67BAB0B2" w14:textId="6715C2DD" w:rsidR="00D9267A" w:rsidRDefault="00745669">
      <w:pPr>
        <w:spacing w:after="280" w:afterAutospacing="1"/>
      </w:pPr>
      <w:r>
        <w:rPr>
          <w:b/>
          <w:bCs/>
        </w:rPr>
        <w:t>Bakgrund:</w:t>
      </w:r>
      <w:r>
        <w:t xml:space="preserve"> Europaparlamentets och rådets förordning (EU) nr 648/2012 om OTC-derivat, centrala motparter och transaktionsregister syftar till att minska riskerna i handeln med derivatkontrakt som handlas utanför reglerade marknader (OTC-derivat). Enligt förordningen ska motparter och centrala motparter rapportera uppgifter om varje derivatkontrakt som de ingått, liksom varje ändring eller avslutande av kontraktet, till ett transaktionsregister. Europeiska värdepappers- och marknadsmyndigheten (</w:t>
      </w:r>
      <w:proofErr w:type="spellStart"/>
      <w:r>
        <w:t>Esma</w:t>
      </w:r>
      <w:proofErr w:type="spellEnd"/>
      <w:r>
        <w:t xml:space="preserve">) ska enligt förordningen utarbeta förslag till tekniska standarder för tillsyn för att fastställa uppgifter och typer av rapporter åtminstone beträffande parterna till ett derivatkontrakt och kontraktets väsentliga kännetecken. Kommissionen antog den 19 december 2012 delegerad förordning (EU) 148/2013 och den nu aktuella delegerade akten är en ändring av denna. Ändringarna sker med utgångspunkt i erfarenheter från transaktionsrapporteringen och den senaste utvecklingen och syftar till att åtgärda brister, förtydliga innehållet och förbättra enhetlighet med rapportering enligt angränsande regelverk. </w:t>
      </w:r>
    </w:p>
    <w:p w14:paraId="67BAB0B4" w14:textId="77777777" w:rsidR="00745669" w:rsidRDefault="00745669" w:rsidP="00745669">
      <w:pPr>
        <w:pStyle w:val="Rubrik1"/>
      </w:pPr>
      <w:bookmarkStart w:id="7" w:name="_Toc466456323"/>
      <w:r>
        <w:rPr>
          <w:noProof/>
        </w:rPr>
        <w:t>No objection decision on publication of ESRB Recommendation and Warnings</w:t>
      </w:r>
      <w:bookmarkEnd w:id="7"/>
    </w:p>
    <w:p w14:paraId="67BAB0B5" w14:textId="06FAB8CC" w:rsidR="00745669" w:rsidRDefault="00745669" w:rsidP="00745669">
      <w:pPr>
        <w:rPr>
          <w:lang w:val="en-US"/>
        </w:rPr>
      </w:pPr>
      <w:r>
        <w:rPr>
          <w:noProof/>
          <w:lang w:val="en-US"/>
        </w:rPr>
        <w:t>13930</w:t>
      </w:r>
      <w:r>
        <w:rPr>
          <w:lang w:val="en-US"/>
        </w:rPr>
        <w:t xml:space="preserve">/1/16 </w:t>
      </w:r>
      <w:proofErr w:type="gramStart"/>
      <w:r>
        <w:rPr>
          <w:lang w:val="en-US"/>
        </w:rPr>
        <w:t>REV</w:t>
      </w:r>
      <w:proofErr w:type="gramEnd"/>
      <w:r>
        <w:rPr>
          <w:lang w:val="en-US"/>
        </w:rPr>
        <w:t xml:space="preserve"> 1 EF 328 ECOFIN 997</w:t>
      </w:r>
    </w:p>
    <w:p w14:paraId="67BAB0B6" w14:textId="77777777" w:rsidR="00745669" w:rsidRDefault="00745669" w:rsidP="00745669">
      <w:r>
        <w:rPr>
          <w:b/>
        </w:rPr>
        <w:t>Ansvarigt statsråd</w:t>
      </w:r>
      <w:r>
        <w:rPr>
          <w:b/>
        </w:rPr>
        <w:br/>
      </w:r>
      <w:r>
        <w:rPr>
          <w:noProof/>
        </w:rPr>
        <w:t>Magdalena</w:t>
      </w:r>
      <w:r>
        <w:t xml:space="preserve"> Andersson</w:t>
      </w:r>
    </w:p>
    <w:p w14:paraId="67BAB0B7"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B8"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B9"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BA"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BB"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BC"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BD"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BE"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BF"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C2" w14:textId="05C105B4" w:rsidR="00D9267A" w:rsidRDefault="00745669" w:rsidP="00803760">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inte motsätta sig publiceringen av Europeiska systemrisknämndens varningar och rekommendation.</w:t>
      </w:r>
    </w:p>
    <w:p w14:paraId="67BAB0C4" w14:textId="5BEA3DCE" w:rsidR="00D9267A" w:rsidRDefault="00745669">
      <w:pPr>
        <w:spacing w:after="280" w:afterAutospacing="1"/>
      </w:pPr>
      <w:r>
        <w:rPr>
          <w:b/>
          <w:bCs/>
        </w:rPr>
        <w:lastRenderedPageBreak/>
        <w:t xml:space="preserve">Hur regeringen ställer sig till den blivande A-punkten: </w:t>
      </w:r>
      <w:r>
        <w:t>Regeringen avser inte motsätta sig publiceringen</w:t>
      </w:r>
      <w:r>
        <w:rPr>
          <w:b/>
          <w:bCs/>
        </w:rPr>
        <w:t>.</w:t>
      </w:r>
    </w:p>
    <w:p w14:paraId="67BAB0C5" w14:textId="4E54BDB0" w:rsidR="00D9267A" w:rsidRDefault="00745669">
      <w:pPr>
        <w:spacing w:after="280" w:afterAutospacing="1"/>
      </w:pPr>
      <w:r>
        <w:rPr>
          <w:b/>
          <w:bCs/>
        </w:rPr>
        <w:t xml:space="preserve">Bakgrund: </w:t>
      </w:r>
      <w:r>
        <w:t>Den 22 september beslutade den europeiska systemrisknämnden (ESRB) om att anta varningar till åtta medlemsstater i EU avseende sårbarheter relaterade till bostadssektorn. Vidare fattade ESRB den 4 oktober beslut om att anta en rekommendation avseende insamling av data som täcker fastighetssektorn i Europa.</w:t>
      </w:r>
    </w:p>
    <w:p w14:paraId="67BAB0C6" w14:textId="77777777" w:rsidR="00D9267A" w:rsidRDefault="00745669">
      <w:pPr>
        <w:spacing w:after="280" w:afterAutospacing="1"/>
      </w:pPr>
      <w:r>
        <w:t>ESRB avser att publicera varningarna och rekommendationen den 28 november 2016. Enlighet artikel 18(1) i förordning (EU) No 1092/2010 ska rådet informeras och ges möjlighet att reagera innan ett slutligt beslut om att publicera varningar och rekommendationer fattas av ESRB.</w:t>
      </w:r>
    </w:p>
    <w:p w14:paraId="67BAB0C9" w14:textId="77777777" w:rsidR="00745669" w:rsidRDefault="00745669" w:rsidP="00745669">
      <w:pPr>
        <w:pStyle w:val="Rubrik1"/>
      </w:pPr>
      <w:bookmarkStart w:id="8" w:name="_Toc466456324"/>
      <w:r>
        <w:rPr>
          <w:noProof/>
        </w:rPr>
        <w:t>Proposal for a Decision of the European Parliament and of the Council on the mobilisation of the European Union Solidarity Fund to provide assistance to Germany</w:t>
      </w:r>
      <w:bookmarkEnd w:id="8"/>
    </w:p>
    <w:p w14:paraId="67BAB0CA" w14:textId="4BC4AD60" w:rsidR="00745669" w:rsidRDefault="00745669" w:rsidP="00745669">
      <w:pPr>
        <w:rPr>
          <w:lang w:val="en-US"/>
        </w:rPr>
      </w:pPr>
      <w:r>
        <w:rPr>
          <w:noProof/>
          <w:lang w:val="en-US"/>
        </w:rPr>
        <w:t>13651</w:t>
      </w:r>
      <w:r>
        <w:rPr>
          <w:lang w:val="en-US"/>
        </w:rPr>
        <w:t>/16 FIN 697</w:t>
      </w:r>
    </w:p>
    <w:p w14:paraId="67BAB0CB" w14:textId="77777777" w:rsidR="00745669" w:rsidRDefault="00745669" w:rsidP="00745669">
      <w:r>
        <w:rPr>
          <w:b/>
        </w:rPr>
        <w:t>Ansvarigt statsråd</w:t>
      </w:r>
      <w:r>
        <w:rPr>
          <w:b/>
        </w:rPr>
        <w:br/>
      </w:r>
      <w:r>
        <w:rPr>
          <w:noProof/>
        </w:rPr>
        <w:t>Magdalena</w:t>
      </w:r>
      <w:r>
        <w:t xml:space="preserve"> Andersson</w:t>
      </w:r>
    </w:p>
    <w:p w14:paraId="67BAB0CC"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CD"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C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CF"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D0"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D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D2"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D3"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D4"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D6" w14:textId="781C43E7" w:rsidR="00D9267A" w:rsidRDefault="00745669" w:rsidP="0074566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beslutet om att Solidaritetsfonden ska användas. </w:t>
      </w:r>
      <w:r>
        <w:br/>
      </w:r>
      <w:r>
        <w:br/>
      </w:r>
      <w:r>
        <w:rPr>
          <w:b/>
          <w:bCs/>
        </w:rPr>
        <w:t>Hur regeringen ställer sig till den blivande A-punkten:</w:t>
      </w:r>
      <w:r>
        <w:t xml:space="preserve"> Regeringen kan godkänna förslaget.</w:t>
      </w:r>
      <w:r>
        <w:br/>
      </w:r>
      <w:r>
        <w:br/>
      </w:r>
      <w:r>
        <w:rPr>
          <w:b/>
          <w:bCs/>
        </w:rPr>
        <w:t>Bakgrund:</w:t>
      </w:r>
      <w:r>
        <w:t xml:space="preserve"> EU:s solidaritetsfond kan användas för att stödja regioner som har drabbats av katastrofer. För att säkerställa en snabb tillgång till budgetmedel kan fonden tas i anspråk för ett belopp om högst 500 miljoner euro (i 2011 års priser) per år. Motsvarande anslag ska då föras in i EU:s budget. Tyskland har ansökt om stöd efter översvämningar som drabbade landet sommaren 2015. </w:t>
      </w:r>
      <w:proofErr w:type="gramStart"/>
      <w:r>
        <w:t>KOM</w:t>
      </w:r>
      <w:proofErr w:type="gramEnd"/>
      <w:r>
        <w:t xml:space="preserve"> </w:t>
      </w:r>
      <w:proofErr w:type="gramStart"/>
      <w:r>
        <w:t>föreslår</w:t>
      </w:r>
      <w:proofErr w:type="gramEnd"/>
      <w:r>
        <w:t xml:space="preserve"> att Tyskland beviljas stöd om 31 475 125 euro.</w:t>
      </w:r>
    </w:p>
    <w:p w14:paraId="67BAB0D8" w14:textId="77777777" w:rsidR="00745669" w:rsidRDefault="00745669" w:rsidP="00745669">
      <w:pPr>
        <w:pStyle w:val="Rubrik1"/>
      </w:pPr>
      <w:bookmarkStart w:id="9" w:name="_Toc466456325"/>
      <w:r>
        <w:rPr>
          <w:noProof/>
        </w:rPr>
        <w:t>Draft amending budget No 6 to the general budget accompanying the proposal to mobilise the European Union Solidarity Fund to provide assistance to Germany</w:t>
      </w:r>
      <w:bookmarkEnd w:id="9"/>
    </w:p>
    <w:p w14:paraId="67BAB0D9" w14:textId="77777777" w:rsidR="00745669" w:rsidRDefault="00745669" w:rsidP="00745669">
      <w:pPr>
        <w:rPr>
          <w:lang w:val="en-US"/>
        </w:rPr>
      </w:pPr>
      <w:r>
        <w:rPr>
          <w:noProof/>
          <w:lang w:val="en-US"/>
        </w:rPr>
        <w:t>=</w:t>
      </w:r>
      <w:r>
        <w:rPr>
          <w:lang w:val="en-US"/>
        </w:rPr>
        <w:t>Information to national Parliaments</w:t>
      </w:r>
      <w:r>
        <w:rPr>
          <w:lang w:val="en-US"/>
        </w:rPr>
        <w:br/>
      </w:r>
      <w:r>
        <w:rPr>
          <w:noProof/>
          <w:lang w:val="en-US"/>
        </w:rPr>
        <w:t>13652</w:t>
      </w:r>
      <w:r>
        <w:rPr>
          <w:lang w:val="en-US"/>
        </w:rPr>
        <w:t>/16 FIN 698 INST 438</w:t>
      </w:r>
    </w:p>
    <w:p w14:paraId="67BAB0DA" w14:textId="77777777" w:rsidR="00745669" w:rsidRDefault="00745669" w:rsidP="00745669">
      <w:r>
        <w:rPr>
          <w:b/>
        </w:rPr>
        <w:t>Ansvarigt statsråd</w:t>
      </w:r>
      <w:r>
        <w:rPr>
          <w:b/>
        </w:rPr>
        <w:br/>
      </w:r>
      <w:r>
        <w:rPr>
          <w:noProof/>
        </w:rPr>
        <w:t>Magdalena</w:t>
      </w:r>
      <w:r>
        <w:t xml:space="preserve"> Andersson</w:t>
      </w:r>
    </w:p>
    <w:p w14:paraId="67BAB0DB"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DC"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DD"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DE"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DF"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E0"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E1"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E2"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E3"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E5" w14:textId="30160DAE" w:rsidR="00D9267A" w:rsidRDefault="00745669" w:rsidP="00745669">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besluta att förkorta tidsfristen på åtta veckor för informationen till de nationella parlamenten, godkänna meddelandet till de nationella parlamenten från rådets generalsekretariat samt besluta att förkorta tidsfristen på tio dagar för att föra upp punkten på rådets preliminära dagordning.</w:t>
      </w:r>
    </w:p>
    <w:p w14:paraId="67BAB0E6" w14:textId="77777777" w:rsidR="00D9267A" w:rsidRDefault="00745669">
      <w:pPr>
        <w:spacing w:after="280" w:afterAutospacing="1"/>
      </w:pPr>
      <w:r>
        <w:rPr>
          <w:b/>
          <w:bCs/>
        </w:rPr>
        <w:lastRenderedPageBreak/>
        <w:t xml:space="preserve">Hur regeringen ställer sig till den blivande A-punkten: </w:t>
      </w:r>
      <w:r>
        <w:t>Regeringen kan godkänna förslaget.</w:t>
      </w:r>
    </w:p>
    <w:p w14:paraId="67BAB0E7" w14:textId="77777777" w:rsidR="00D9267A" w:rsidRDefault="00745669">
      <w:pPr>
        <w:spacing w:after="280" w:afterAutospacing="1"/>
      </w:pPr>
      <w:r>
        <w:rPr>
          <w:b/>
          <w:bCs/>
        </w:rPr>
        <w:t xml:space="preserve">Bakgrund: </w:t>
      </w:r>
      <w:r>
        <w:t xml:space="preserve">EU:s solidaritetsfond kan användas för att stödja regioner som har drabbats av katastrofer. För att säkerställa en snabb tillgång till budgetmedel kan fonden tas i anspråk för ett belopp om högst 500 miljoner euro (i 2011 års priser) per år. Motsvarande anslag ska då föras in i EU:s budget. Tyskland har ansökt om </w:t>
      </w:r>
      <w:proofErr w:type="gramStart"/>
      <w:r>
        <w:t>stöd  efter</w:t>
      </w:r>
      <w:proofErr w:type="gramEnd"/>
      <w:r>
        <w:t xml:space="preserve"> översvämningar som drabbade landet sommaren 2015. </w:t>
      </w:r>
      <w:proofErr w:type="gramStart"/>
      <w:r>
        <w:t>KOM</w:t>
      </w:r>
      <w:proofErr w:type="gramEnd"/>
      <w:r>
        <w:t xml:space="preserve"> </w:t>
      </w:r>
      <w:proofErr w:type="gramStart"/>
      <w:r>
        <w:t>föreslår</w:t>
      </w:r>
      <w:proofErr w:type="gramEnd"/>
      <w:r>
        <w:t xml:space="preserve"> att Tyskland beviljas stöd om 31 475 125 euro. Eftersom förslaget till ändringsbudget nr 6/2016 för att bevilja DE stöd från solidaritetsfonden måste antas utan dröjsmål, anser rådet det vara motiverat att i enlighet med artikel 3.3 i rådets arbetsordning förkorta tidsfristen på åtta veckor för information till de nationella parlamenten liksom tidsfristen på tio dagar för att föra upp punkten på rådets preliminära dagordning enligt artikel 4 i protokoll nr 1."</w:t>
      </w:r>
    </w:p>
    <w:p w14:paraId="67BAB0E9" w14:textId="77777777" w:rsidR="00745669" w:rsidRDefault="00745669" w:rsidP="00745669">
      <w:pPr>
        <w:pStyle w:val="Rubrik1"/>
      </w:pPr>
      <w:bookmarkStart w:id="10" w:name="_Toc466456326"/>
      <w:r>
        <w:rPr>
          <w:noProof/>
        </w:rPr>
        <w:t>Draft amending budget No 6 to the general budget accompanying the proposal to mobilise the European Union Solidarity Fund to provide assistance to Germany</w:t>
      </w:r>
      <w:bookmarkEnd w:id="10"/>
    </w:p>
    <w:p w14:paraId="67BAB0EA" w14:textId="25611336" w:rsidR="00745669" w:rsidRDefault="00745669" w:rsidP="00745669">
      <w:pPr>
        <w:rPr>
          <w:lang w:val="en-US"/>
        </w:rPr>
      </w:pPr>
      <w:r>
        <w:rPr>
          <w:noProof/>
          <w:lang w:val="en-US"/>
        </w:rPr>
        <w:t>13653</w:t>
      </w:r>
      <w:r>
        <w:rPr>
          <w:lang w:val="en-US"/>
        </w:rPr>
        <w:t>/16 FIN 699 PE-L 65</w:t>
      </w:r>
    </w:p>
    <w:p w14:paraId="67BAB0EB" w14:textId="77777777" w:rsidR="00745669" w:rsidRDefault="00745669" w:rsidP="00745669">
      <w:r>
        <w:rPr>
          <w:b/>
        </w:rPr>
        <w:t>Ansvarigt statsråd</w:t>
      </w:r>
      <w:r>
        <w:rPr>
          <w:b/>
        </w:rPr>
        <w:br/>
      </w:r>
      <w:r>
        <w:rPr>
          <w:noProof/>
        </w:rPr>
        <w:t>Magdalena</w:t>
      </w:r>
      <w:r>
        <w:t xml:space="preserve"> Andersson</w:t>
      </w:r>
    </w:p>
    <w:p w14:paraId="67BAB0EC"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ED"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0E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0EF"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0F0"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0F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0F2"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0F3"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0F4"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0F6" w14:textId="6633079B" w:rsidR="00D9267A" w:rsidRDefault="00745669" w:rsidP="00745669">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godkänna förslaget till ändringsbudget för att Solidaritetsfonden ska användas för stöd till Tyskland. </w:t>
      </w:r>
    </w:p>
    <w:p w14:paraId="67BAB0F7" w14:textId="77777777" w:rsidR="00D9267A" w:rsidRDefault="00745669">
      <w:pPr>
        <w:spacing w:after="280" w:afterAutospacing="1"/>
      </w:pPr>
      <w:r>
        <w:rPr>
          <w:b/>
          <w:bCs/>
        </w:rPr>
        <w:t xml:space="preserve">Hur regeringen ställer sig till den blivande A-punkten: </w:t>
      </w:r>
      <w:r>
        <w:t>Regeringen kan godkänna förslaget.</w:t>
      </w:r>
    </w:p>
    <w:p w14:paraId="67BAB0FA" w14:textId="19D8AE60" w:rsidR="00745669" w:rsidRDefault="00745669">
      <w:pPr>
        <w:spacing w:after="280" w:afterAutospacing="1"/>
        <w:rPr>
          <w:noProof/>
        </w:rPr>
      </w:pPr>
      <w:r>
        <w:rPr>
          <w:b/>
          <w:bCs/>
        </w:rPr>
        <w:t xml:space="preserve">Bakgrund: </w:t>
      </w:r>
      <w:r>
        <w:t xml:space="preserve">EU:s solidaritetsfond kan användas för att stödja regioner som har drabbats av katastrofer. För att säkerställa en snabb tillgång till budgetmedel kan fonden tas i anspråk för ett belopp om högst 500 miljoner euro (i 2011 års priser) per år. Motsvarande anslag ska då föras in i EU:s budget. Tyskland har ansökt om stöd efter översvämningar som drabbade landet sommaren 2015. </w:t>
      </w:r>
      <w:proofErr w:type="gramStart"/>
      <w:r>
        <w:t>KOM</w:t>
      </w:r>
      <w:proofErr w:type="gramEnd"/>
      <w:r>
        <w:t xml:space="preserve"> </w:t>
      </w:r>
      <w:proofErr w:type="gramStart"/>
      <w:r>
        <w:t>föreslår</w:t>
      </w:r>
      <w:proofErr w:type="gramEnd"/>
      <w:r>
        <w:t xml:space="preserve"> att Tyskland beviljas stöd om 31 475 125 euro.</w:t>
      </w:r>
    </w:p>
    <w:p w14:paraId="67BAB0FB" w14:textId="77777777" w:rsidR="00745669" w:rsidRDefault="00745669" w:rsidP="00745669">
      <w:pPr>
        <w:pStyle w:val="Rubrik1"/>
      </w:pPr>
      <w:bookmarkStart w:id="11" w:name="_Toc466456327"/>
      <w:r>
        <w:rPr>
          <w:noProof/>
        </w:rPr>
        <w:t>Draft Regulation of the European Parliament and of the Council amending Regulation (EU) No 1303/2013 as regards certain provisions relating to financial management for certain Member States experiencing or threatened with serious difficulties with respect to their financial stability (First reading)</w:t>
      </w:r>
      <w:bookmarkEnd w:id="11"/>
    </w:p>
    <w:p w14:paraId="67BAB0FC" w14:textId="77777777" w:rsidR="00745669" w:rsidRDefault="00745669" w:rsidP="00745669">
      <w:pPr>
        <w:rPr>
          <w:lang w:val="en-US"/>
        </w:rPr>
      </w:pPr>
      <w:r>
        <w:rPr>
          <w:noProof/>
          <w:lang w:val="en-US"/>
        </w:rPr>
        <w:t>=</w:t>
      </w:r>
      <w:r>
        <w:rPr>
          <w:lang w:val="en-US"/>
        </w:rPr>
        <w:t>Adoption of the legislative act</w:t>
      </w:r>
      <w:r>
        <w:rPr>
          <w:lang w:val="en-US"/>
        </w:rPr>
        <w:br/>
      </w:r>
      <w:r>
        <w:rPr>
          <w:noProof/>
          <w:lang w:val="en-US"/>
        </w:rPr>
        <w:t>13688</w:t>
      </w:r>
      <w:r>
        <w:rPr>
          <w:lang w:val="en-US"/>
        </w:rPr>
        <w:t>/16 CODEC 1521 FSTR 71 FC 65 REGIO 92 SOC 644 EMPL 440BUDGET 31 AGRISTR 55 PECHE 395 CADREFIN 94PE-CONS 39/16 FSTR 63 FC 55 REGIO 79 SOC 560 EMPL 370 BUDGET 26AGRISTR 51 PECHE 336 CADREFIN 72 CODEC 1309</w:t>
      </w:r>
    </w:p>
    <w:p w14:paraId="67BAB0FD" w14:textId="6EE74955" w:rsidR="00745669" w:rsidRDefault="00745669" w:rsidP="00745669">
      <w:r>
        <w:rPr>
          <w:b/>
        </w:rPr>
        <w:t>Ansvarigt statsråd</w:t>
      </w:r>
      <w:r>
        <w:rPr>
          <w:b/>
        </w:rPr>
        <w:br/>
      </w:r>
      <w:r>
        <w:rPr>
          <w:noProof/>
        </w:rPr>
        <w:t>Sven-Erik</w:t>
      </w:r>
      <w:r>
        <w:t xml:space="preserve"> Bucht</w:t>
      </w:r>
    </w:p>
    <w:p w14:paraId="67BAB0FE"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0FF"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00"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01"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02"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03"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04"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05"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06"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08" w14:textId="5652632E" w:rsidR="00D9267A" w:rsidRDefault="00745669" w:rsidP="00745669">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rsidRPr="00745669">
        <w:rPr>
          <w:bCs/>
        </w:rPr>
        <w:t xml:space="preserve">Att anta en akt som förlänger de möjligheter som finns att </w:t>
      </w:r>
      <w:r w:rsidRPr="00745669">
        <w:rPr>
          <w:bCs/>
        </w:rPr>
        <w:lastRenderedPageBreak/>
        <w:t xml:space="preserve">tidigarelägga betalningar till länder som befinner sig i anpassningsprogram </w:t>
      </w:r>
      <w:proofErr w:type="spellStart"/>
      <w:r w:rsidRPr="00745669">
        <w:rPr>
          <w:bCs/>
        </w:rPr>
        <w:t>pga</w:t>
      </w:r>
      <w:proofErr w:type="spellEnd"/>
      <w:r w:rsidRPr="00745669">
        <w:rPr>
          <w:bCs/>
        </w:rPr>
        <w:t xml:space="preserve"> av budgetproblem samt förlänger möjligheten för Cypern att ha en högre medfinansieringsgrad.</w:t>
      </w:r>
    </w:p>
    <w:p w14:paraId="67BAB109" w14:textId="31B3C270" w:rsidR="00D9267A" w:rsidRDefault="00745669">
      <w:pPr>
        <w:spacing w:after="280" w:afterAutospacing="1"/>
      </w:pPr>
      <w:r>
        <w:rPr>
          <w:b/>
          <w:bCs/>
        </w:rPr>
        <w:t>Hur regeringen ställer sig till den blivande A-punkten:</w:t>
      </w:r>
      <w:r>
        <w:t xml:space="preserve"> Kan accepteras</w:t>
      </w:r>
      <w:r w:rsidR="006568C0">
        <w:t>.</w:t>
      </w:r>
    </w:p>
    <w:p w14:paraId="67BAB10B" w14:textId="6A146D94" w:rsidR="00745669" w:rsidRDefault="00745669">
      <w:pPr>
        <w:spacing w:after="280" w:afterAutospacing="1"/>
        <w:rPr>
          <w:noProof/>
        </w:rPr>
      </w:pPr>
      <w:r>
        <w:rPr>
          <w:b/>
          <w:bCs/>
        </w:rPr>
        <w:t>Bakgrund:</w:t>
      </w:r>
      <w:r>
        <w:t xml:space="preserve"> I förordningen 1303/2013 fanns en tidsbegränsad möjliget att tidigarelägga utbetalningar till de medlemsstater som hade ekonomiska problem av den art som gjorde att de är föremål för de ekonomiska anpassningsprogrammen. Denna möjlighet var dock tidsbegränsad till 2016. Förslaget till akt föreslår att detta förlängs för perioden fram till 2020. Endast Grekland berörs av denna förändring. Den andra förändringen berör den särskilda artikel som medger en högre </w:t>
      </w:r>
      <w:proofErr w:type="spellStart"/>
      <w:r>
        <w:t>medfinanseringsgrad</w:t>
      </w:r>
      <w:proofErr w:type="spellEnd"/>
      <w:r>
        <w:t xml:space="preserve"> för Cypern, även denna var tidsbegränsad till 2016 och föreslås förlängas till 2020. Båda förändringarna är budgetneutrala sett över perioden 2014-2020. </w:t>
      </w:r>
    </w:p>
    <w:p w14:paraId="67BAB10C" w14:textId="77777777" w:rsidR="00745669" w:rsidRDefault="00745669" w:rsidP="00745669">
      <w:pPr>
        <w:pStyle w:val="Rubrik1"/>
      </w:pPr>
      <w:bookmarkStart w:id="12" w:name="_Toc466456328"/>
      <w:r>
        <w:rPr>
          <w:noProof/>
        </w:rPr>
        <w:t>Draft Council conclusions on Special Report No 1/2016 "Is the Commission's system for performance measurement in relation to farmers' incomes well designed and based on sound data?"</w:t>
      </w:r>
      <w:bookmarkEnd w:id="12"/>
    </w:p>
    <w:p w14:paraId="67BAB10D" w14:textId="77777777" w:rsidR="00745669" w:rsidRDefault="00745669" w:rsidP="00745669">
      <w:pPr>
        <w:rPr>
          <w:lang w:val="en-US"/>
        </w:rPr>
      </w:pPr>
      <w:r>
        <w:rPr>
          <w:noProof/>
          <w:lang w:val="en-US"/>
        </w:rPr>
        <w:t>=</w:t>
      </w:r>
      <w:r>
        <w:rPr>
          <w:lang w:val="en-US"/>
        </w:rPr>
        <w:t>Adoption</w:t>
      </w:r>
      <w:r>
        <w:rPr>
          <w:lang w:val="en-US"/>
        </w:rPr>
        <w:br/>
      </w:r>
      <w:r>
        <w:rPr>
          <w:noProof/>
          <w:lang w:val="en-US"/>
        </w:rPr>
        <w:t>13321</w:t>
      </w:r>
      <w:r>
        <w:rPr>
          <w:lang w:val="en-US"/>
        </w:rPr>
        <w:t>/16 FIN 659 AGRI 552 AGRIFIN 111 AGRISTR 54</w:t>
      </w:r>
    </w:p>
    <w:p w14:paraId="67BAB10E" w14:textId="77777777" w:rsidR="00745669" w:rsidRDefault="00745669" w:rsidP="00745669">
      <w:r>
        <w:rPr>
          <w:b/>
        </w:rPr>
        <w:t>Ansvarigt statsråd</w:t>
      </w:r>
      <w:r>
        <w:rPr>
          <w:b/>
        </w:rPr>
        <w:br/>
      </w:r>
      <w:r>
        <w:rPr>
          <w:noProof/>
        </w:rPr>
        <w:t>Magdalena</w:t>
      </w:r>
      <w:r>
        <w:t xml:space="preserve"> Andersson</w:t>
      </w:r>
    </w:p>
    <w:p w14:paraId="67BAB10F"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10"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1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12"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13"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14"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15"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16"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17"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19" w14:textId="5F30FC34"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rådsslutsatser</w:t>
      </w:r>
    </w:p>
    <w:p w14:paraId="67BAB11A" w14:textId="75484CD3" w:rsidR="00D9267A" w:rsidRDefault="00745669">
      <w:pPr>
        <w:spacing w:after="280" w:afterAutospacing="1"/>
      </w:pPr>
      <w:r>
        <w:rPr>
          <w:b/>
          <w:bCs/>
        </w:rPr>
        <w:t>Hur regeringen ställer sig till den blivande A-punkten:</w:t>
      </w:r>
      <w:r>
        <w:t xml:space="preserve"> Regeringen kan stödja rådsslutsatserna.</w:t>
      </w:r>
    </w:p>
    <w:p w14:paraId="67BAB11C" w14:textId="2321D35A" w:rsidR="00745669" w:rsidRDefault="00745669">
      <w:pPr>
        <w:spacing w:after="280" w:afterAutospacing="1"/>
        <w:rPr>
          <w:noProof/>
        </w:rPr>
      </w:pPr>
      <w:r>
        <w:rPr>
          <w:b/>
          <w:bCs/>
        </w:rPr>
        <w:t>Bakgrund:</w:t>
      </w:r>
      <w:r>
        <w:t xml:space="preserve"> Rapporten bedömer om kommissionens resultatmätningssystem när det gäller jordbrukarnas inkomster är väl utformat och baseras på tillförlitliga uppgifter. Slutsatsen är att kommissionens system för att mäta effekterna av den gemensamma jordbrukspolitiken på jordbrukarnas inkomster inte är tillräckligt väl utformat och att de statistiska uppgifter som används har stora brister när det gäller både kvantitet och kvalitet. Regeringen kan stödja rådsslutsatserna som pekar ut ett antal utvecklingsområden, men med förtydligande om att detta måste balanseras mot medlemsstaternas administrativa börda.</w:t>
      </w:r>
    </w:p>
    <w:p w14:paraId="67BAB11D" w14:textId="77777777" w:rsidR="00745669" w:rsidRDefault="00745669" w:rsidP="00745669">
      <w:pPr>
        <w:pStyle w:val="Rubrik1"/>
      </w:pPr>
      <w:bookmarkStart w:id="13" w:name="_Toc466456329"/>
      <w:r>
        <w:rPr>
          <w:noProof/>
        </w:rPr>
        <w:t>Draft Council Implementing Decision on the launch of automated data exchange with regard to DNA data in Denmark</w:t>
      </w:r>
      <w:bookmarkEnd w:id="13"/>
    </w:p>
    <w:p w14:paraId="67BAB11E" w14:textId="7796EFD4" w:rsidR="00745669" w:rsidRDefault="00745669" w:rsidP="00745669">
      <w:pPr>
        <w:rPr>
          <w:lang w:val="en-US"/>
        </w:rPr>
      </w:pPr>
      <w:r>
        <w:rPr>
          <w:noProof/>
          <w:lang w:val="en-US"/>
        </w:rPr>
        <w:t>13756</w:t>
      </w:r>
      <w:r>
        <w:rPr>
          <w:lang w:val="en-US"/>
        </w:rPr>
        <w:t xml:space="preserve">/16 JAI 874 DAPIX 189 CRIMORG 140 ENFOPOL 376ENFOCUSTOM 17411219/16 JAI 674 DAPIX 118 CRIMORG 79 ENFOPOL 235ENFOCUSTOM 110 9745/16 JAI 509 DAPIX 85 CRIMORG 43 ENFOPOL 167ENFOCUSTOM 77 </w:t>
      </w:r>
    </w:p>
    <w:p w14:paraId="67BAB11F" w14:textId="77777777" w:rsidR="00745669" w:rsidRDefault="00745669" w:rsidP="00745669">
      <w:r>
        <w:rPr>
          <w:b/>
        </w:rPr>
        <w:t>Ansvarigt statsråd</w:t>
      </w:r>
      <w:r>
        <w:rPr>
          <w:b/>
        </w:rPr>
        <w:br/>
      </w:r>
      <w:r>
        <w:rPr>
          <w:noProof/>
        </w:rPr>
        <w:t>Anders</w:t>
      </w:r>
      <w:r>
        <w:t xml:space="preserve"> </w:t>
      </w:r>
      <w:proofErr w:type="spellStart"/>
      <w:r>
        <w:t>Ygeman</w:t>
      </w:r>
      <w:proofErr w:type="spellEnd"/>
    </w:p>
    <w:p w14:paraId="67BAB120"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21"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22"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23"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24"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25"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26"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27"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28"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2A" w14:textId="7E8C8EE5"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genomföranderådsbeslutet. </w:t>
      </w:r>
    </w:p>
    <w:p w14:paraId="67BAB12B" w14:textId="7152E764" w:rsidR="00D9267A" w:rsidRDefault="00745669">
      <w:pPr>
        <w:spacing w:after="280" w:afterAutospacing="1"/>
      </w:pPr>
      <w:r>
        <w:rPr>
          <w:b/>
          <w:bCs/>
        </w:rPr>
        <w:lastRenderedPageBreak/>
        <w:t>Hur regeringen ställer sig till den blivande A-punkten:</w:t>
      </w:r>
      <w:r>
        <w:t xml:space="preserve"> Regeringen avser rösta ja till att rådet antar genomföranderådsbeslutet. </w:t>
      </w:r>
    </w:p>
    <w:p w14:paraId="67BAB12C" w14:textId="77777777" w:rsidR="00D9267A" w:rsidRDefault="00745669">
      <w:pPr>
        <w:spacing w:after="280" w:afterAutospacing="1"/>
      </w:pPr>
      <w:r>
        <w:rPr>
          <w:b/>
          <w:bCs/>
        </w:rPr>
        <w:t>Bakgrund:</w:t>
      </w:r>
      <w:r>
        <w:t xml:space="preserve"> </w:t>
      </w:r>
      <w:proofErr w:type="spellStart"/>
      <w:r>
        <w:t>Prümrådsbesluten</w:t>
      </w:r>
      <w:proofErr w:type="spellEnd"/>
      <w:r>
        <w:t xml:space="preserve"> (2008/615/RIF och 2008/616/RIF) om utbyte i brottsbekämpande syfte av bl.a. DNA-, fingeravtrycks- och fordonsregisteruppgifter föreskriver att medlemsstaterna ska genomgå en utvärderingsprocedur i form av frågeformulär, tester och inspektioner innan det automatiserade utbytet får påbörjas. Därefter beslutar rådet, efter hörande av parlamentet, om att starta det automatiserade utbytet. </w:t>
      </w:r>
    </w:p>
    <w:p w14:paraId="67BAB12E" w14:textId="1A80DBB7" w:rsidR="00745669" w:rsidRDefault="00745669">
      <w:pPr>
        <w:spacing w:after="280" w:afterAutospacing="1"/>
        <w:rPr>
          <w:noProof/>
        </w:rPr>
      </w:pPr>
      <w:r>
        <w:t>Danmark har genomgått utvärderingen avseende DNA-uppgifter med godkänt resultat och kan nu tillåtas starta det automatiserade utbytet med andra godkända medlemsstater.</w:t>
      </w:r>
    </w:p>
    <w:p w14:paraId="67BAB12F" w14:textId="77777777" w:rsidR="00745669" w:rsidRDefault="00745669" w:rsidP="00745669">
      <w:pPr>
        <w:pStyle w:val="Rubrik1"/>
      </w:pPr>
      <w:bookmarkStart w:id="14" w:name="_Toc466456330"/>
      <w:r>
        <w:rPr>
          <w:noProof/>
        </w:rPr>
        <w:t>Draft Council Implementing Decision on the launch of automated data exchange with regard to dactyloscopic data in Denmark</w:t>
      </w:r>
      <w:bookmarkEnd w:id="14"/>
    </w:p>
    <w:p w14:paraId="67BAB130" w14:textId="288BECC0" w:rsidR="00745669" w:rsidRDefault="00745669" w:rsidP="00745669">
      <w:pPr>
        <w:rPr>
          <w:lang w:val="en-US"/>
        </w:rPr>
      </w:pPr>
      <w:r>
        <w:rPr>
          <w:noProof/>
          <w:lang w:val="en-US"/>
        </w:rPr>
        <w:t>13757</w:t>
      </w:r>
      <w:r>
        <w:rPr>
          <w:lang w:val="en-US"/>
        </w:rPr>
        <w:t xml:space="preserve">/16 JAI 875 DAPIX 190 CRIMORG 141 ENFOPOL 377ENFOCUSTOM 17511220/16 JAI 675 DAPIX 119 CRIMORG 80 ENFOPOL 236ENFOCUSTOM 111 9754/16 JAI 513 DAPIX 89 CRIMORG 47 ENFOPOL 171ENFOCUSTOM 81 </w:t>
      </w:r>
    </w:p>
    <w:p w14:paraId="67BAB131" w14:textId="77777777" w:rsidR="00745669" w:rsidRDefault="00745669" w:rsidP="00745669">
      <w:r>
        <w:rPr>
          <w:b/>
        </w:rPr>
        <w:t>Ansvarigt statsråd</w:t>
      </w:r>
      <w:r>
        <w:rPr>
          <w:b/>
        </w:rPr>
        <w:br/>
      </w:r>
      <w:r>
        <w:rPr>
          <w:noProof/>
        </w:rPr>
        <w:t>Anders</w:t>
      </w:r>
      <w:r>
        <w:t xml:space="preserve"> </w:t>
      </w:r>
      <w:proofErr w:type="spellStart"/>
      <w:r>
        <w:t>Ygeman</w:t>
      </w:r>
      <w:proofErr w:type="spellEnd"/>
    </w:p>
    <w:p w14:paraId="67BAB132"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33"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34"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35"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36"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37"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38"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39"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3A"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3C" w14:textId="69DABE17"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genomföranderådsbeslutet. </w:t>
      </w:r>
    </w:p>
    <w:p w14:paraId="67BAB13D" w14:textId="07BB7723" w:rsidR="00D9267A" w:rsidRDefault="00745669">
      <w:pPr>
        <w:spacing w:after="280" w:afterAutospacing="1"/>
      </w:pPr>
      <w:r>
        <w:rPr>
          <w:b/>
          <w:bCs/>
        </w:rPr>
        <w:t>Hur regeringen ställer sig till den blivande A-punkten:</w:t>
      </w:r>
      <w:r>
        <w:t xml:space="preserve"> Regeringen avser rösta ja till att rådet antar genomföranderådsbeslutet. </w:t>
      </w:r>
    </w:p>
    <w:p w14:paraId="67BAB13E" w14:textId="77777777" w:rsidR="00D9267A" w:rsidRDefault="00745669">
      <w:pPr>
        <w:spacing w:after="280" w:afterAutospacing="1"/>
      </w:pPr>
      <w:r>
        <w:rPr>
          <w:b/>
          <w:bCs/>
        </w:rPr>
        <w:t>Bakgrund:</w:t>
      </w:r>
      <w:r>
        <w:t xml:space="preserve"> </w:t>
      </w:r>
      <w:proofErr w:type="spellStart"/>
      <w:r>
        <w:t>Prümrådsbesluten</w:t>
      </w:r>
      <w:proofErr w:type="spellEnd"/>
      <w:r>
        <w:t xml:space="preserve"> (2008/615/RIF och 2008/616/RIF) om utbyte i brottsbekämpande syfte av bl.a. DNA-, fingeravtrycks- och fordonsregisteruppgifter föreskriver att medlemsstaterna ska genomgå en utvärderingsprocedur i form av frågeformulär, tester och inspektioner innan det automatiserade utbytet får påbörjas. Därefter beslutar rådet, efter hörande av parlamentet, om att starta det automatiserade utbytet. </w:t>
      </w:r>
    </w:p>
    <w:p w14:paraId="67BAB140" w14:textId="0B51ED79" w:rsidR="00745669" w:rsidRDefault="00745669">
      <w:pPr>
        <w:spacing w:after="280" w:afterAutospacing="1"/>
        <w:rPr>
          <w:noProof/>
        </w:rPr>
      </w:pPr>
      <w:r>
        <w:t>Danmark har genomgått utvärderingen avseende fingeravtrycksuppgifter med godkänt resultat och kan nu tillåtas starta det automatiserade utbytet med andra godkända medlemsstater.</w:t>
      </w:r>
    </w:p>
    <w:p w14:paraId="67BAB141" w14:textId="77777777" w:rsidR="00745669" w:rsidRDefault="00745669" w:rsidP="00745669">
      <w:pPr>
        <w:pStyle w:val="Rubrik1"/>
      </w:pPr>
      <w:bookmarkStart w:id="15" w:name="_Toc466456331"/>
      <w:r>
        <w:rPr>
          <w:noProof/>
        </w:rPr>
        <w:t>Draft Council Decision on the conclusion, on behalf of the European Union, of the Agreement between the European Union and the People’s Republic of China on the short-stay visa waiver for holders of diplomatic passports</w:t>
      </w:r>
      <w:bookmarkEnd w:id="15"/>
    </w:p>
    <w:p w14:paraId="67BAB142" w14:textId="77777777" w:rsidR="00745669" w:rsidRDefault="00745669" w:rsidP="00745669">
      <w:pPr>
        <w:rPr>
          <w:lang w:val="en-US"/>
        </w:rPr>
      </w:pPr>
      <w:r>
        <w:rPr>
          <w:noProof/>
          <w:lang w:val="en-US"/>
        </w:rPr>
        <w:t>=</w:t>
      </w:r>
      <w:r>
        <w:rPr>
          <w:lang w:val="en-US"/>
        </w:rPr>
        <w:t>Adoption</w:t>
      </w:r>
      <w:r>
        <w:rPr>
          <w:lang w:val="en-US"/>
        </w:rPr>
        <w:br/>
      </w:r>
      <w:r>
        <w:rPr>
          <w:noProof/>
          <w:lang w:val="en-US"/>
        </w:rPr>
        <w:t>13759</w:t>
      </w:r>
      <w:r>
        <w:rPr>
          <w:lang w:val="en-US"/>
        </w:rPr>
        <w:t>/16 VISA 342 CHINE 1015470/15 VISA 394 CHINA 31</w:t>
      </w:r>
    </w:p>
    <w:p w14:paraId="67BAB143" w14:textId="77777777" w:rsidR="00745669" w:rsidRDefault="00745669" w:rsidP="00745669">
      <w:r>
        <w:rPr>
          <w:b/>
        </w:rPr>
        <w:t>Ansvarigt statsråd</w:t>
      </w:r>
      <w:r>
        <w:rPr>
          <w:b/>
        </w:rPr>
        <w:br/>
      </w:r>
      <w:r>
        <w:rPr>
          <w:noProof/>
        </w:rPr>
        <w:t>Morgan</w:t>
      </w:r>
      <w:r>
        <w:t xml:space="preserve"> Johansson</w:t>
      </w:r>
    </w:p>
    <w:p w14:paraId="67BAB144"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45"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46"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47"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48"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49"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4A"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4B"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4C"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4E" w14:textId="525CAD92"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 om att ingå avtal med Kina avseende viseringsfrihet för innehavare av diplomatpass. </w:t>
      </w:r>
    </w:p>
    <w:p w14:paraId="67BAB14F" w14:textId="487BA20A" w:rsidR="00D9267A" w:rsidRDefault="00745669">
      <w:pPr>
        <w:spacing w:after="280" w:afterAutospacing="1"/>
      </w:pPr>
      <w:r>
        <w:rPr>
          <w:b/>
          <w:bCs/>
        </w:rPr>
        <w:lastRenderedPageBreak/>
        <w:t>Hur regeringen ställer sig till den blivande A-punkten:</w:t>
      </w:r>
      <w:r>
        <w:t xml:space="preserve"> Regeringen avser rösta ja till förslaget.  </w:t>
      </w:r>
    </w:p>
    <w:p w14:paraId="67BAB150" w14:textId="77777777" w:rsidR="00D9267A" w:rsidRDefault="00745669">
      <w:pPr>
        <w:spacing w:after="280" w:afterAutospacing="1"/>
      </w:pPr>
      <w:r>
        <w:rPr>
          <w:b/>
          <w:bCs/>
        </w:rPr>
        <w:t>Bakgrund:</w:t>
      </w:r>
      <w:r>
        <w:t xml:space="preserve"> Avtalet om viseringsfrihet för innehavare av diplomatpass utgör en del av ett bredare samarbetspaket mellan EU och Kina på migrationsområdet, vilket också inkluderar en överenskommelse om formerna för samarbete med externa tjänsteleverantörer i samband med viseringsansökningsprocessen och praktiskt samarbete i fråga om olaglig invandring och kommande avtal om viseringsförenklingar respektive återtagande.</w:t>
      </w:r>
    </w:p>
    <w:p w14:paraId="67BAB152" w14:textId="3918F608" w:rsidR="00745669" w:rsidRDefault="00745669">
      <w:pPr>
        <w:spacing w:after="280" w:afterAutospacing="1"/>
        <w:rPr>
          <w:noProof/>
        </w:rPr>
      </w:pPr>
      <w:r>
        <w:t>Den ömsesidiga viseringsfriheten för innehavare av diplomatpass ska gälla för som högst 90 dagar under en 180-dagarsperiod. Avtalet är begränsat till innehavare av diplomatpass som utfärdats av Kinas respektive EU-medlemsstaternas utrikesministerium eller av EU:s institutioner. Avtalet kan suspenderas helt eller delvis om det är nödvändigt på grund av risker för nationell säkerhet, folkhälsa, risk för olaglig invandring eller återinfört viseringskrav från endera parten. En eventuell suspendering från kinesiskt håll kan enbart genomföras i förhållande till samtliga EU-medlemsstater.</w:t>
      </w:r>
    </w:p>
    <w:p w14:paraId="67BAB153" w14:textId="77777777" w:rsidR="00745669" w:rsidRDefault="00745669" w:rsidP="00745669">
      <w:pPr>
        <w:pStyle w:val="Rubrik1"/>
      </w:pPr>
      <w:bookmarkStart w:id="16" w:name="_Toc466456332"/>
      <w:r>
        <w:rPr>
          <w:noProof/>
        </w:rPr>
        <w:t>Commission Delegated Regulation (EU) …/... of 3.10.2016 on the common monitoring and evaluation framework provided for in Regulation (EU) No 514/2014 of the European Parliament and the Council [laying down general provisions on the Asylum, Migration and Integration Fund and on the instrument for financial support for police cooperation, preventing and combating crime, and crisis management]</w:t>
      </w:r>
      <w:bookmarkEnd w:id="16"/>
    </w:p>
    <w:p w14:paraId="67BAB154" w14:textId="77777777" w:rsidR="00745669" w:rsidRDefault="00745669" w:rsidP="00745669">
      <w:pPr>
        <w:rPr>
          <w:lang w:val="en-US"/>
        </w:rPr>
      </w:pPr>
      <w:r>
        <w:rPr>
          <w:noProof/>
          <w:lang w:val="en-US"/>
        </w:rPr>
        <w:t>=</w:t>
      </w:r>
      <w:r>
        <w:rPr>
          <w:lang w:val="en-US"/>
        </w:rPr>
        <w:t>Intention not to raise objections to a delegated act</w:t>
      </w:r>
      <w:r>
        <w:rPr>
          <w:lang w:val="en-US"/>
        </w:rPr>
        <w:br/>
      </w:r>
      <w:r>
        <w:rPr>
          <w:noProof/>
          <w:lang w:val="en-US"/>
        </w:rPr>
        <w:t>13921</w:t>
      </w:r>
      <w:r>
        <w:rPr>
          <w:lang w:val="en-US"/>
        </w:rPr>
        <w:t>/16 JAI 891 ASIM 142 CADREFIN 102 ENFOPOL 387 PROCIV 73DELACT 226 GAF 68 VISA 34612874/16 JAI 797 ASIM 131 CADREFIN 80 ENFOPOL 321 PROCIV 65DELACT 206 GAF 60 VISA 311+ COR 1+ ADD 1 to ADD 4</w:t>
      </w:r>
    </w:p>
    <w:p w14:paraId="67BAB155" w14:textId="77777777" w:rsidR="00745669" w:rsidRDefault="00745669" w:rsidP="00745669">
      <w:r>
        <w:rPr>
          <w:b/>
        </w:rPr>
        <w:t>Ansvarigt statsråd</w:t>
      </w:r>
      <w:r>
        <w:rPr>
          <w:b/>
        </w:rPr>
        <w:br/>
      </w:r>
      <w:r>
        <w:rPr>
          <w:noProof/>
        </w:rPr>
        <w:t>Morgan</w:t>
      </w:r>
      <w:r>
        <w:t xml:space="preserve"> Johansson och Anders </w:t>
      </w:r>
      <w:proofErr w:type="spellStart"/>
      <w:r>
        <w:t>Ygeman</w:t>
      </w:r>
      <w:proofErr w:type="spellEnd"/>
      <w:r>
        <w:t xml:space="preserve"> </w:t>
      </w:r>
    </w:p>
    <w:p w14:paraId="67BAB156"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57"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58"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59"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5A"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5B"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5C"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5D"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5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60" w14:textId="724AC810"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är att fastställa om invändningar finns mot den delegerade akten.</w:t>
      </w:r>
    </w:p>
    <w:p w14:paraId="67BAB161" w14:textId="39E9FB82" w:rsidR="00D9267A" w:rsidRDefault="00745669">
      <w:pPr>
        <w:spacing w:after="280" w:afterAutospacing="1"/>
      </w:pPr>
      <w:r>
        <w:rPr>
          <w:b/>
          <w:bCs/>
        </w:rPr>
        <w:t>Hur regeringen ställer sig till den blivande A-punkten:</w:t>
      </w:r>
      <w:r>
        <w:t xml:space="preserve"> Regeringen har inga invändningar mot den delegerade akten. </w:t>
      </w:r>
    </w:p>
    <w:p w14:paraId="67BAB162" w14:textId="77777777" w:rsidR="00D9267A" w:rsidRDefault="00745669">
      <w:pPr>
        <w:spacing w:after="280" w:afterAutospacing="1"/>
      </w:pPr>
      <w:r>
        <w:rPr>
          <w:b/>
          <w:bCs/>
        </w:rPr>
        <w:t>Bakgrund:</w:t>
      </w:r>
      <w:r>
        <w:t xml:space="preserve"> Den 16 april 2014 antogs de fyra förordningar som inrättade asyl-, migration- och integrationsfonden samt fonden för inre säkerhet. Fonderna är en del av EU:s fleråriga budgetram för perioden 2014-2020.</w:t>
      </w:r>
    </w:p>
    <w:p w14:paraId="67BAB163" w14:textId="77777777" w:rsidR="00D9267A" w:rsidRDefault="00745669">
      <w:pPr>
        <w:spacing w:after="280" w:afterAutospacing="1"/>
      </w:pPr>
      <w:r>
        <w:t xml:space="preserve">I enlighet med artikel 55 i förordning (EU) nr 514/2014 ska denna delegerade akt vidareutveckla den </w:t>
      </w:r>
      <w:proofErr w:type="spellStart"/>
      <w:r>
        <w:t>gemensammma</w:t>
      </w:r>
      <w:proofErr w:type="spellEnd"/>
      <w:r>
        <w:t xml:space="preserve"> övervaknings- och utvärderingsramen. Syftet med den gemensamma övervaknings- och utvärderingsramen är att följa upp de åtgärder som finansieras av asyl-, migration- och integrationsfonden samt fonden för inre säkerhet, t.ex. genom att mäta åtgärdernas relevans, genomslagskraft, effektivitet, mervärde och hållbarhet.</w:t>
      </w:r>
    </w:p>
    <w:p w14:paraId="67BAB165" w14:textId="2FD33CE1" w:rsidR="00745669" w:rsidRDefault="00745669">
      <w:pPr>
        <w:spacing w:after="280" w:afterAutospacing="1"/>
        <w:rPr>
          <w:noProof/>
        </w:rPr>
      </w:pPr>
      <w:r>
        <w:lastRenderedPageBreak/>
        <w:t>I enlighet med punkt 4 i Europaparlamentets, rådets och kommissionens gemensamma överenskommelse om delegerade akter har öppna samråd förts och alla inslag i denna rättsakt har diskuterats vid flera möten med experter från medlemsstaterna.</w:t>
      </w:r>
    </w:p>
    <w:p w14:paraId="67BAB166" w14:textId="77777777" w:rsidR="00745669" w:rsidRDefault="00745669" w:rsidP="00745669">
      <w:pPr>
        <w:pStyle w:val="Rubrik1"/>
      </w:pPr>
      <w:bookmarkStart w:id="17" w:name="_Toc466456333"/>
      <w:r>
        <w:rPr>
          <w:noProof/>
        </w:rPr>
        <w:t>Draft Council Conclusions on the Communication from the Commission to the European Parliament, the Council, the European Economic and Social Committee and the Committee of the Regions: Strengthening Europe's Cyber Resilience System and Fostering a Competitive and Innovative Cybersecurity Industry</w:t>
      </w:r>
      <w:bookmarkEnd w:id="17"/>
    </w:p>
    <w:p w14:paraId="67BAB167" w14:textId="77777777" w:rsidR="00745669" w:rsidRDefault="00745669" w:rsidP="00745669">
      <w:pPr>
        <w:rPr>
          <w:lang w:val="en-US"/>
        </w:rPr>
      </w:pPr>
      <w:proofErr w:type="gramStart"/>
      <w:r>
        <w:rPr>
          <w:noProof/>
          <w:lang w:val="en-US"/>
        </w:rPr>
        <w:t>=</w:t>
      </w:r>
      <w:r>
        <w:rPr>
          <w:lang w:val="en-US"/>
        </w:rPr>
        <w:t>Adoption</w:t>
      </w:r>
      <w:r>
        <w:rPr>
          <w:lang w:val="en-US"/>
        </w:rPr>
        <w:br/>
      </w:r>
      <w:r>
        <w:rPr>
          <w:noProof/>
          <w:lang w:val="en-US"/>
        </w:rPr>
        <w:t>13967</w:t>
      </w:r>
      <w:r>
        <w:rPr>
          <w:lang w:val="en-US"/>
        </w:rPr>
        <w:t>/16 CYBER 122 COMPET 558 IND 229 RECH 302 TELECOM 213</w:t>
      </w:r>
      <w:proofErr w:type="gramEnd"/>
    </w:p>
    <w:p w14:paraId="67BAB168" w14:textId="77777777" w:rsidR="00745669" w:rsidRDefault="00745669" w:rsidP="00745669">
      <w:r>
        <w:rPr>
          <w:b/>
        </w:rPr>
        <w:t>Ansvarigt statsråd</w:t>
      </w:r>
      <w:r>
        <w:rPr>
          <w:b/>
        </w:rPr>
        <w:br/>
      </w:r>
      <w:r>
        <w:rPr>
          <w:noProof/>
        </w:rPr>
        <w:t>Margot</w:t>
      </w:r>
      <w:r>
        <w:t xml:space="preserve"> Wallström</w:t>
      </w:r>
    </w:p>
    <w:p w14:paraId="67BAB169"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6A"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6B"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6C"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6D"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6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6F"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70"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7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73" w14:textId="669F815A"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att ”Stärka Europas system för cybermotståndskraft och att stödja en konkurrenskraftig och innovativ cybersäkerhetsindustri”. </w:t>
      </w:r>
    </w:p>
    <w:p w14:paraId="67BAB174" w14:textId="10325974" w:rsidR="00D9267A" w:rsidRDefault="00745669">
      <w:pPr>
        <w:spacing w:after="280" w:afterAutospacing="1"/>
      </w:pPr>
      <w:r>
        <w:rPr>
          <w:b/>
          <w:bCs/>
        </w:rPr>
        <w:t>Hur regeringen ställer sig till den blivande A-punkten:</w:t>
      </w:r>
      <w:r>
        <w:t xml:space="preserve"> Sverige stödjer rådets slutsatser om att ”Stärka Europas system för cybermotståndskraft och att stödja en konkurrenskraftig och innovativ cybersäkerhetsindustri”.</w:t>
      </w:r>
    </w:p>
    <w:p w14:paraId="67BAB176" w14:textId="3A416EA9" w:rsidR="00745669" w:rsidRDefault="00745669">
      <w:pPr>
        <w:spacing w:after="280" w:afterAutospacing="1"/>
        <w:rPr>
          <w:noProof/>
        </w:rPr>
      </w:pPr>
      <w:r>
        <w:rPr>
          <w:b/>
          <w:bCs/>
        </w:rPr>
        <w:t>Bakgrund:</w:t>
      </w:r>
      <w:r>
        <w:t xml:space="preserve"> Kommissionen presenter</w:t>
      </w:r>
      <w:r w:rsidR="003B1E8C">
        <w:t>ade i juli 2016 ett meddelande</w:t>
      </w:r>
      <w:r>
        <w:t xml:space="preserve"> med syfte att stärka Europas system för cybermotståndskraft och att stödja en konkurrenskraftig och innovativ cybersäkerhetsindustri. Förslaget syftar till att bättre hantera storskaliga cyberincidenter som involverar flera olika medlemsstater samt att främja en helomfattande cybersäkerhetsrelaterad industri inom EU. Några åtgärder som lyfts fram är att öka samarbetet mellan medlemsstater för att hantera cyberincidenter, att minska fragmenteringen på cybersäkerhetsmarknaden samt att utveckla ett arrangemang för Public Private Partnership med avseende på cyberprodukter</w:t>
      </w:r>
      <w:r w:rsidR="003B1E8C">
        <w:t xml:space="preserve">. </w:t>
      </w:r>
      <w:r>
        <w:t>Rådsslutsatserna föreslår bland annat att kommissionen ska ta fram en samarbetsplan vid större cyberincidenter, samt bjuder in medlemsstaterna att ta fram ett europeiskt ramverk för certifiering av cybersäkerhetsprodukter. På den senare punkten har Sverige framgångsrikt drivit på för att ramverket ska vara i linje med internationella standarder och baseras på involvering av experter. S</w:t>
      </w:r>
      <w:r w:rsidR="003B1E8C">
        <w:t>verige kommer fortsatt tydligt driva på för att</w:t>
      </w:r>
      <w:r>
        <w:t xml:space="preserve"> standarder</w:t>
      </w:r>
      <w:r w:rsidR="003B1E8C">
        <w:t>na</w:t>
      </w:r>
      <w:r>
        <w:t xml:space="preserve"> utvecklas till ett öppet ramverk baserat på globala standarder och inte utvecklas mot ett snävt europeiskt ramverk. </w:t>
      </w:r>
    </w:p>
    <w:p w14:paraId="67BAB184" w14:textId="77777777" w:rsidR="00745669" w:rsidRDefault="00745669" w:rsidP="00745669">
      <w:pPr>
        <w:pStyle w:val="Rubrik1"/>
      </w:pPr>
      <w:bookmarkStart w:id="18" w:name="_Toc466456334"/>
      <w:r>
        <w:rPr>
          <w:noProof/>
        </w:rPr>
        <w:t>European Economic Area</w:t>
      </w:r>
      <w:bookmarkEnd w:id="18"/>
    </w:p>
    <w:p w14:paraId="67BAB185" w14:textId="77777777" w:rsidR="00745669" w:rsidRDefault="00745669" w:rsidP="00745669">
      <w:pPr>
        <w:rPr>
          <w:lang w:val="en-US"/>
        </w:rPr>
      </w:pPr>
      <w:r>
        <w:rPr>
          <w:noProof/>
          <w:lang w:val="en-US"/>
        </w:rPr>
        <w:t>=</w:t>
      </w:r>
      <w:r>
        <w:rPr>
          <w:lang w:val="en-US"/>
        </w:rPr>
        <w:t>Establishment of the European Union's common position for the 46th meeting of the EEA Council (Brussels, 15 November 2016)</w:t>
      </w:r>
      <w:r>
        <w:rPr>
          <w:lang w:val="en-US"/>
        </w:rPr>
        <w:br/>
      </w:r>
      <w:r>
        <w:rPr>
          <w:noProof/>
          <w:lang w:val="en-US"/>
        </w:rPr>
        <w:t>13881</w:t>
      </w:r>
      <w:r>
        <w:rPr>
          <w:lang w:val="en-US"/>
        </w:rPr>
        <w:t>/16 EEE 40</w:t>
      </w:r>
    </w:p>
    <w:p w14:paraId="67BAB186" w14:textId="77777777" w:rsidR="00745669" w:rsidRDefault="00745669" w:rsidP="00745669">
      <w:r>
        <w:rPr>
          <w:b/>
        </w:rPr>
        <w:t>Ansvarigt statsråd</w:t>
      </w:r>
      <w:r>
        <w:rPr>
          <w:b/>
        </w:rPr>
        <w:br/>
      </w:r>
      <w:r>
        <w:rPr>
          <w:noProof/>
        </w:rPr>
        <w:t>Ann</w:t>
      </w:r>
      <w:r>
        <w:t xml:space="preserve"> Linde</w:t>
      </w:r>
    </w:p>
    <w:p w14:paraId="67BAB187" w14:textId="77777777" w:rsidR="00745669" w:rsidRDefault="00745669" w:rsidP="00745669">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88"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89"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8A"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8B"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8C"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8D"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8E"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8F"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91" w14:textId="47B82BEB"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w:t>
      </w:r>
      <w:proofErr w:type="gramStart"/>
      <w:r>
        <w:t>att godkänna</w:t>
      </w:r>
      <w:proofErr w:type="gramEnd"/>
      <w:r>
        <w:t xml:space="preserve"> gemensam ståndpunkt om provisorisk dagordning samt utkast till slutsatser för EES-rådet 15 november 2016.</w:t>
      </w:r>
    </w:p>
    <w:p w14:paraId="67BAB193" w14:textId="0F5269EB" w:rsidR="00745669" w:rsidRDefault="00745669">
      <w:pPr>
        <w:spacing w:after="280" w:afterAutospacing="1"/>
        <w:rPr>
          <w:noProof/>
        </w:rPr>
      </w:pPr>
      <w:r>
        <w:rPr>
          <w:b/>
          <w:bCs/>
        </w:rPr>
        <w:t>Hur regeringen ställer sig till den blivande A-punkten:</w:t>
      </w:r>
      <w:r>
        <w:t xml:space="preserve"> Regeringen avser rösta ja till att godkänna den gemensamma ståndpunkten. </w:t>
      </w:r>
      <w:r>
        <w:br/>
      </w:r>
      <w:r>
        <w:br/>
      </w:r>
      <w:r>
        <w:rPr>
          <w:b/>
          <w:bCs/>
        </w:rPr>
        <w:t>Bakgrund:</w:t>
      </w:r>
      <w:r>
        <w:t xml:space="preserve"> EES-rådet, där representanter för EU samt Norge, Island och Liechtenstein ingår, möts två gånger per år. Vid varje tillfälle antas gemensamma slutsatser. </w:t>
      </w:r>
    </w:p>
    <w:p w14:paraId="67BAB194" w14:textId="77777777" w:rsidR="00745669" w:rsidRDefault="00745669" w:rsidP="00745669">
      <w:pPr>
        <w:pStyle w:val="Rubrik1"/>
      </w:pPr>
      <w:bookmarkStart w:id="19" w:name="_Toc466456335"/>
      <w:r>
        <w:rPr>
          <w:noProof/>
        </w:rPr>
        <w:t>Relations with Kosovo*:</w:t>
      </w:r>
      <w:bookmarkEnd w:id="19"/>
    </w:p>
    <w:p w14:paraId="67BAB195" w14:textId="77777777" w:rsidR="00745669" w:rsidRDefault="00745669" w:rsidP="00745669">
      <w:pPr>
        <w:rPr>
          <w:lang w:val="en-US"/>
        </w:rPr>
      </w:pPr>
      <w:r>
        <w:rPr>
          <w:noProof/>
          <w:lang w:val="en-US"/>
        </w:rPr>
        <w:t>–</w:t>
      </w:r>
      <w:r>
        <w:rPr>
          <w:lang w:val="en-US"/>
        </w:rPr>
        <w:t xml:space="preserve">Council Decision on the signing, on behalf of the Union, of the Framework Agreement between the European Union and Kosovo* on the general principles for the participation of Kosovo in Union </w:t>
      </w:r>
      <w:proofErr w:type="spellStart"/>
      <w:r>
        <w:rPr>
          <w:lang w:val="en-US"/>
        </w:rPr>
        <w:t>programmes</w:t>
      </w:r>
      <w:proofErr w:type="spellEnd"/>
      <w:r>
        <w:rPr>
          <w:lang w:val="en-US"/>
        </w:rPr>
        <w:t xml:space="preserve"> –Council Decision on the conclusion of the Framework Agreement between the European Union and Kosovo* on the general principles for the participation of Kosovo in Union </w:t>
      </w:r>
      <w:proofErr w:type="spellStart"/>
      <w:r>
        <w:rPr>
          <w:lang w:val="en-US"/>
        </w:rPr>
        <w:t>programmes</w:t>
      </w:r>
      <w:proofErr w:type="spellEnd"/>
      <w:r>
        <w:rPr>
          <w:lang w:val="en-US"/>
        </w:rPr>
        <w:t xml:space="preserve"> –Framework Agreement between the European Union and Kosovo* on the general principles for the participation of Kosovo in Union </w:t>
      </w:r>
      <w:proofErr w:type="spellStart"/>
      <w:r>
        <w:rPr>
          <w:lang w:val="en-US"/>
        </w:rPr>
        <w:t>programmes</w:t>
      </w:r>
      <w:proofErr w:type="spellEnd"/>
      <w:r>
        <w:rPr>
          <w:lang w:val="en-US"/>
        </w:rPr>
        <w:br/>
      </w:r>
      <w:r>
        <w:rPr>
          <w:noProof/>
          <w:lang w:val="en-US"/>
        </w:rPr>
        <w:t>13516</w:t>
      </w:r>
      <w:r>
        <w:rPr>
          <w:lang w:val="en-US"/>
        </w:rPr>
        <w:t>/16 COWEB 11713390/16 COWEB 11313391/16 COWEB 11413393/16 COWEB 115</w:t>
      </w:r>
    </w:p>
    <w:p w14:paraId="67BAB196" w14:textId="263952D1" w:rsidR="00745669" w:rsidRDefault="00745669" w:rsidP="00745669">
      <w:r>
        <w:rPr>
          <w:b/>
        </w:rPr>
        <w:t>Ansvarigt statsråd</w:t>
      </w:r>
      <w:r>
        <w:rPr>
          <w:b/>
        </w:rPr>
        <w:br/>
      </w:r>
      <w:r w:rsidR="006568C0">
        <w:rPr>
          <w:noProof/>
        </w:rPr>
        <w:t>Margot</w:t>
      </w:r>
      <w:r>
        <w:t xml:space="preserve"> Wallström</w:t>
      </w:r>
    </w:p>
    <w:p w14:paraId="67BAB197"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98"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99"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9A"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9B"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9C"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9D"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9E"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9F"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A1" w14:textId="002AD6C0"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möjligheten för EU och Kosovo att ingå ett ramavtal som möjliggör för Kosovo att delta i unionens program. </w:t>
      </w:r>
      <w:r>
        <w:br/>
      </w:r>
      <w:r>
        <w:br/>
      </w:r>
      <w:r>
        <w:rPr>
          <w:b/>
          <w:bCs/>
        </w:rPr>
        <w:t>Hur regeringen ställer sig till den blivande A-punkten:</w:t>
      </w:r>
      <w:r>
        <w:t xml:space="preserve"> Sverige avser godkänna Kosovos medverkan i unionens program. </w:t>
      </w:r>
    </w:p>
    <w:p w14:paraId="67BAB1A2" w14:textId="023C6D40" w:rsidR="00D9267A" w:rsidRDefault="00745669">
      <w:pPr>
        <w:spacing w:after="280" w:afterAutospacing="1"/>
      </w:pPr>
      <w:r>
        <w:t xml:space="preserve">Sverige bör ge sitt stöd till tilläggsprotokoll till mötet som tydliggör att endast individuella medlemsstater har kompetens att erkänna andra staters </w:t>
      </w:r>
      <w:proofErr w:type="gramStart"/>
      <w:r>
        <w:t>självständ</w:t>
      </w:r>
      <w:r w:rsidR="003B1E8C">
        <w:t xml:space="preserve">ighet </w:t>
      </w:r>
      <w:r>
        <w:t>.</w:t>
      </w:r>
      <w:proofErr w:type="gramEnd"/>
      <w:r>
        <w:t xml:space="preserve"> </w:t>
      </w:r>
    </w:p>
    <w:p w14:paraId="67BAB1A4" w14:textId="370908FD" w:rsidR="00745669" w:rsidRDefault="00745669">
      <w:pPr>
        <w:spacing w:after="280" w:afterAutospacing="1"/>
        <w:rPr>
          <w:noProof/>
        </w:rPr>
      </w:pPr>
      <w:r>
        <w:rPr>
          <w:b/>
          <w:bCs/>
        </w:rPr>
        <w:t>Bakgrund:</w:t>
      </w:r>
      <w:r>
        <w:t xml:space="preserve"> De </w:t>
      </w:r>
      <w:r w:rsidR="003B1E8C">
        <w:t xml:space="preserve">av </w:t>
      </w:r>
      <w:r>
        <w:t>EU</w:t>
      </w:r>
      <w:r w:rsidR="003B1E8C">
        <w:t xml:space="preserve">:s medlemsstater </w:t>
      </w:r>
      <w:r>
        <w:t>som inte erkänt Kosovo som självständigt land har i beslutet om att möjliggöra för Kosovo att ta del av unionens program introducerat skrivningar om att EU inte erkänt Kosovo. EU kan i sig självt inte erkänna andra stater utan denna kompetens återfinns endast hos individuella MS. Detta faktum bör tydliggöras så att icke-</w:t>
      </w:r>
      <w:proofErr w:type="spellStart"/>
      <w:r>
        <w:t>erkännarna</w:t>
      </w:r>
      <w:proofErr w:type="spellEnd"/>
      <w:r>
        <w:t xml:space="preserve"> inte tillåts använda detta för att ytterligare hindra Kosovos EU-närmande. </w:t>
      </w:r>
    </w:p>
    <w:p w14:paraId="67BAB1A5" w14:textId="77777777" w:rsidR="00745669" w:rsidRDefault="00745669" w:rsidP="00745669">
      <w:pPr>
        <w:pStyle w:val="Rubrik1"/>
      </w:pPr>
      <w:bookmarkStart w:id="20" w:name="_Toc466456336"/>
      <w:r>
        <w:rPr>
          <w:noProof/>
        </w:rPr>
        <w:t>Proposal for a Council Decision on the conclusion of an agreement between the European Union and Iceland on the protection of geographical indications for agricultural products and foodstuffs</w:t>
      </w:r>
      <w:bookmarkEnd w:id="20"/>
    </w:p>
    <w:p w14:paraId="67BAB1A6" w14:textId="77777777" w:rsidR="00745669" w:rsidRDefault="00745669" w:rsidP="00745669">
      <w:pPr>
        <w:rPr>
          <w:lang w:val="en-US"/>
        </w:rPr>
      </w:pPr>
      <w:r>
        <w:rPr>
          <w:noProof/>
          <w:lang w:val="en-US"/>
        </w:rPr>
        <w:t>=</w:t>
      </w:r>
      <w:r>
        <w:rPr>
          <w:lang w:val="en-US"/>
        </w:rPr>
        <w:t>Agreement in principle =Request for the consent of the European Parliament</w:t>
      </w:r>
      <w:r>
        <w:rPr>
          <w:lang w:val="en-US"/>
        </w:rPr>
        <w:br/>
      </w:r>
      <w:r>
        <w:rPr>
          <w:noProof/>
          <w:lang w:val="en-US"/>
        </w:rPr>
        <w:t>11783</w:t>
      </w:r>
      <w:r>
        <w:rPr>
          <w:lang w:val="en-US"/>
        </w:rPr>
        <w:t>/16 WTO 235 AELE 58 ISL 37 AGRI 45311782/16 WTO 234 AELE 57 ISL 36 AGRI 45212124/16 WTO 246 AELE 64 ISL 42 AGRI 474</w:t>
      </w:r>
    </w:p>
    <w:p w14:paraId="67BAB1A7" w14:textId="77777777" w:rsidR="00745669" w:rsidRDefault="00745669" w:rsidP="00745669">
      <w:r>
        <w:rPr>
          <w:b/>
        </w:rPr>
        <w:t>Ansvarigt statsråd</w:t>
      </w:r>
      <w:r>
        <w:rPr>
          <w:b/>
        </w:rPr>
        <w:br/>
      </w:r>
      <w:r>
        <w:rPr>
          <w:noProof/>
        </w:rPr>
        <w:t>Ann</w:t>
      </w:r>
      <w:r>
        <w:t xml:space="preserve"> Linde</w:t>
      </w:r>
    </w:p>
    <w:p w14:paraId="67BAB1A8" w14:textId="77777777" w:rsidR="00745669" w:rsidRDefault="00745669" w:rsidP="00745669">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A9"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AA"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AB"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AC"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AD"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AE"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AF"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B0"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B2" w14:textId="505B75AA" w:rsidR="00D9267A" w:rsidRDefault="00745669" w:rsidP="006568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ingåendet av ett avtal mellan Europeiska unionen och Island om skydd av geografiska beteckningar för jordbruksprodukter och livsmedel samt översända utkastet till rådets beslut till Europaparlamentet för godkännande.</w:t>
      </w:r>
    </w:p>
    <w:p w14:paraId="67BAB1B3" w14:textId="5FBDCBAE" w:rsidR="00D9267A" w:rsidRDefault="00745669">
      <w:pPr>
        <w:spacing w:after="280" w:afterAutospacing="1"/>
      </w:pPr>
      <w:r>
        <w:rPr>
          <w:b/>
          <w:bCs/>
        </w:rPr>
        <w:t>Hur regeringen ställer sig till den blivande A-punkten:</w:t>
      </w:r>
      <w:r>
        <w:t xml:space="preserve"> Regeringen avser rösta ja till att rådet antar beslutet.</w:t>
      </w:r>
    </w:p>
    <w:p w14:paraId="67BAB1B5" w14:textId="660CE5B6" w:rsidR="00745669" w:rsidRDefault="00745669">
      <w:pPr>
        <w:spacing w:after="280" w:afterAutospacing="1"/>
        <w:rPr>
          <w:noProof/>
        </w:rPr>
      </w:pPr>
      <w:r>
        <w:rPr>
          <w:b/>
          <w:bCs/>
        </w:rPr>
        <w:t>Bakgrund:</w:t>
      </w:r>
      <w:r>
        <w:t xml:space="preserve"> Förhandlingar mellan EU och Island om ytterligare liberalisering av handeln med jordbruksprodukter genomfördes mellan år 2012 och 2015. De omfattade Artikel 19 och Protokoll 3 av EES-avtalet samt ett nytt avtal om skydd av geografiska ursprungsbeteckningar. Avtalen paraferades 17 september 2015 och är nu redo för beslut om godkännande och undertecknande. </w:t>
      </w:r>
    </w:p>
    <w:p w14:paraId="67BAB1B6" w14:textId="77777777" w:rsidR="00745669" w:rsidRDefault="00745669" w:rsidP="00745669">
      <w:pPr>
        <w:pStyle w:val="Rubrik1"/>
      </w:pPr>
      <w:bookmarkStart w:id="21" w:name="_Toc466456337"/>
      <w:r>
        <w:rPr>
          <w:noProof/>
        </w:rPr>
        <w:t>Draft Council Decision on the signing, on behalf of the European Union, of an agreement between the European Union and Iceland on the protection of geographical indications for agricultural products and foodstuffs</w:t>
      </w:r>
      <w:bookmarkEnd w:id="21"/>
    </w:p>
    <w:p w14:paraId="67BAB1B7" w14:textId="77777777" w:rsidR="00745669" w:rsidRDefault="00745669" w:rsidP="00745669">
      <w:pPr>
        <w:rPr>
          <w:lang w:val="en-US"/>
        </w:rPr>
      </w:pPr>
      <w:r>
        <w:rPr>
          <w:noProof/>
          <w:lang w:val="en-US"/>
        </w:rPr>
        <w:t>=</w:t>
      </w:r>
      <w:r>
        <w:rPr>
          <w:lang w:val="en-US"/>
        </w:rPr>
        <w:t>Adoption</w:t>
      </w:r>
      <w:r>
        <w:rPr>
          <w:lang w:val="en-US"/>
        </w:rPr>
        <w:br/>
      </w:r>
      <w:r>
        <w:rPr>
          <w:noProof/>
          <w:lang w:val="en-US"/>
        </w:rPr>
        <w:t>11786</w:t>
      </w:r>
      <w:r>
        <w:rPr>
          <w:lang w:val="en-US"/>
        </w:rPr>
        <w:t>/16 WTO 238 AELE 61 ISL 40 AGRI 45611785/16 WTO 237 AELE 60 ISL 39 AGRI 45512124/16 WTO 246 AELE 64 ISL 42 AGRI 474</w:t>
      </w:r>
    </w:p>
    <w:p w14:paraId="67BAB1B8" w14:textId="77777777" w:rsidR="00745669" w:rsidRDefault="00745669" w:rsidP="00745669">
      <w:r>
        <w:rPr>
          <w:b/>
        </w:rPr>
        <w:t>Ansvarigt statsråd</w:t>
      </w:r>
      <w:r>
        <w:rPr>
          <w:b/>
        </w:rPr>
        <w:br/>
      </w:r>
      <w:r>
        <w:rPr>
          <w:noProof/>
        </w:rPr>
        <w:t>Ann</w:t>
      </w:r>
      <w:r>
        <w:t xml:space="preserve"> Linde</w:t>
      </w:r>
    </w:p>
    <w:p w14:paraId="67BAB1B9"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BA"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BB"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BC"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BD"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B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BF"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C0"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C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C3" w14:textId="58837A41"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undertecknandet av ett avtal mellan Europeiska unionen och Island om skydd av geografiska beteckningar för jordbruksprodukter och livsmedel samt översända utkastet till rådets beslut till Europaparlamentet för godkännande.</w:t>
      </w:r>
    </w:p>
    <w:p w14:paraId="67BAB1C4" w14:textId="6205C9A4" w:rsidR="00D9267A" w:rsidRDefault="00745669">
      <w:pPr>
        <w:spacing w:after="280" w:afterAutospacing="1"/>
      </w:pPr>
      <w:r>
        <w:rPr>
          <w:b/>
          <w:bCs/>
        </w:rPr>
        <w:t>Hur regeringen ställer sig till den blivande A-punkten:</w:t>
      </w:r>
      <w:r>
        <w:t xml:space="preserve"> Regeringen avser rösta ja till att rådet antar beslutet.</w:t>
      </w:r>
    </w:p>
    <w:p w14:paraId="67BAB1C6" w14:textId="0D9C4502" w:rsidR="00745669" w:rsidRDefault="00745669">
      <w:pPr>
        <w:spacing w:after="280" w:afterAutospacing="1"/>
        <w:rPr>
          <w:noProof/>
        </w:rPr>
      </w:pPr>
      <w:r>
        <w:rPr>
          <w:b/>
          <w:bCs/>
        </w:rPr>
        <w:t>Bakgrund:</w:t>
      </w:r>
      <w:r>
        <w:t xml:space="preserve"> Förhandlingar mellan EU och Island om ytterligare liberalisering av handeln med jordbruksprodukter genomfördes mellan år 2012 och 2015. De omfattade Artikel 19 och Protokoll 3 av EES-avtalet samt ett nytt avtal om skydd av geografiska ursprungsbeteckningar. Avtalen paraferades 17 september 2015 och är nu redo för beslut om godkännande och undertecknande. </w:t>
      </w:r>
    </w:p>
    <w:p w14:paraId="67BAB1C7" w14:textId="77777777" w:rsidR="00745669" w:rsidRDefault="00745669" w:rsidP="00745669">
      <w:pPr>
        <w:pStyle w:val="Rubrik1"/>
      </w:pPr>
      <w:bookmarkStart w:id="22" w:name="_Toc466456338"/>
      <w:r>
        <w:rPr>
          <w:noProof/>
        </w:rPr>
        <w:t>Proposal for a Council Decision on the conclusion of an agreement in the form of an exchange of letters between the European Union and Iceland concerning additional trade preferences in agricultural products</w:t>
      </w:r>
      <w:bookmarkEnd w:id="22"/>
    </w:p>
    <w:p w14:paraId="67BAB1C8" w14:textId="77777777" w:rsidR="00745669" w:rsidRDefault="00745669" w:rsidP="00745669">
      <w:pPr>
        <w:rPr>
          <w:lang w:val="en-US"/>
        </w:rPr>
      </w:pPr>
      <w:r>
        <w:rPr>
          <w:noProof/>
          <w:lang w:val="en-US"/>
        </w:rPr>
        <w:t>=</w:t>
      </w:r>
      <w:r>
        <w:rPr>
          <w:lang w:val="en-US"/>
        </w:rPr>
        <w:t xml:space="preserve">Agreement in principle =Request for the consent of the European Parliament </w:t>
      </w:r>
      <w:r>
        <w:rPr>
          <w:lang w:val="en-US"/>
        </w:rPr>
        <w:br/>
      </w:r>
      <w:r>
        <w:rPr>
          <w:noProof/>
          <w:lang w:val="en-US"/>
        </w:rPr>
        <w:t>12148</w:t>
      </w:r>
      <w:r>
        <w:rPr>
          <w:lang w:val="en-US"/>
        </w:rPr>
        <w:t>/16 WTO 251 AELE 68 ISL 47 AGRI 47912146/16 WTO 249 AELE 66 ISL 45 AGRI 47712147/16 WTO 250 AELE 67 ISL 46 AGRI 478</w:t>
      </w:r>
    </w:p>
    <w:p w14:paraId="67BAB1C9" w14:textId="77777777" w:rsidR="00745669" w:rsidRDefault="00745669" w:rsidP="00745669">
      <w:r>
        <w:rPr>
          <w:b/>
        </w:rPr>
        <w:lastRenderedPageBreak/>
        <w:t>Ansvarigt statsråd</w:t>
      </w:r>
      <w:r>
        <w:rPr>
          <w:b/>
        </w:rPr>
        <w:br/>
      </w:r>
      <w:r>
        <w:rPr>
          <w:noProof/>
        </w:rPr>
        <w:t>Ann</w:t>
      </w:r>
      <w:r>
        <w:t xml:space="preserve"> Linde</w:t>
      </w:r>
    </w:p>
    <w:p w14:paraId="67BAB1CA"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CB"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CC"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CD"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CE"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CF"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D0"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D1"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D2"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D4" w14:textId="6674914F"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ingåendet av ett avtal genom skriftväxling mellan Europeiska unionen och Island om ytterligare handelsförmåner för jordbruksprodukter s</w:t>
      </w:r>
      <w:r w:rsidR="003B1E8C">
        <w:t>amt översända utkastet till råds</w:t>
      </w:r>
      <w:r>
        <w:t>beslut till Europaparlamentet för godkännande.</w:t>
      </w:r>
    </w:p>
    <w:p w14:paraId="67BAB1D5" w14:textId="73B74847" w:rsidR="00D9267A" w:rsidRDefault="00745669">
      <w:pPr>
        <w:spacing w:after="280" w:afterAutospacing="1"/>
      </w:pPr>
      <w:r>
        <w:rPr>
          <w:b/>
          <w:bCs/>
        </w:rPr>
        <w:t>Hur regeringen ställer sig till den blivande A-punkten:</w:t>
      </w:r>
      <w:r>
        <w:t xml:space="preserve"> Regeringen avser rösta ja till att rådet godkänner beslutet. </w:t>
      </w:r>
    </w:p>
    <w:p w14:paraId="67BAB1D7" w14:textId="6DDB840C" w:rsidR="00745669" w:rsidRDefault="00745669">
      <w:pPr>
        <w:spacing w:after="280" w:afterAutospacing="1"/>
        <w:rPr>
          <w:noProof/>
        </w:rPr>
      </w:pPr>
      <w:r>
        <w:rPr>
          <w:b/>
          <w:bCs/>
        </w:rPr>
        <w:t>Bakgrund:</w:t>
      </w:r>
      <w:r>
        <w:t xml:space="preserve"> Förhandlingar mellan EU och Island om ytterligare liberalisering av handeln med jordbruksprodukter genomfördes mellan år 2012 och 2015. De omfattade Artikel 19 och Protokoll 3 av EES-avtalet samt ett nytt avtal om skydd av geografiska ursprungsbeteckningar. Avtalen paraferades 17 september 2015 och är nu redo för beslut om godkännande och undertecknande. </w:t>
      </w:r>
    </w:p>
    <w:p w14:paraId="67BAB1D8" w14:textId="77777777" w:rsidR="00745669" w:rsidRDefault="00745669" w:rsidP="00745669">
      <w:pPr>
        <w:pStyle w:val="Rubrik1"/>
      </w:pPr>
      <w:bookmarkStart w:id="23" w:name="_Toc466456339"/>
      <w:r>
        <w:rPr>
          <w:noProof/>
        </w:rPr>
        <w:t>Draft Council Decision on the signing, on behalf of the European Union, of an agreement in the form of an exchange of letters between the European Union and Iceland concerning additional trade preferences in agricultural products</w:t>
      </w:r>
      <w:bookmarkEnd w:id="23"/>
    </w:p>
    <w:p w14:paraId="67BAB1D9" w14:textId="77777777" w:rsidR="00745669" w:rsidRDefault="00745669" w:rsidP="00745669">
      <w:pPr>
        <w:rPr>
          <w:lang w:val="en-US"/>
        </w:rPr>
      </w:pPr>
      <w:r>
        <w:rPr>
          <w:noProof/>
          <w:lang w:val="en-US"/>
        </w:rPr>
        <w:t>=</w:t>
      </w:r>
      <w:r>
        <w:rPr>
          <w:lang w:val="en-US"/>
        </w:rPr>
        <w:t>Adoption</w:t>
      </w:r>
      <w:r>
        <w:rPr>
          <w:lang w:val="en-US"/>
        </w:rPr>
        <w:br/>
      </w:r>
      <w:r>
        <w:rPr>
          <w:noProof/>
          <w:lang w:val="en-US"/>
        </w:rPr>
        <w:t>12151</w:t>
      </w:r>
      <w:r>
        <w:rPr>
          <w:lang w:val="en-US"/>
        </w:rPr>
        <w:t>/16 WTO 254 AELE 71 ISL 50 AGRI 48212150/16 WTO 253 AELE 70 ISL 49 AGRI 48112147/16 WTO 250 AELE 67 ISL 46 AGRI 478</w:t>
      </w:r>
    </w:p>
    <w:p w14:paraId="67BAB1DA" w14:textId="77777777" w:rsidR="00745669" w:rsidRDefault="00745669" w:rsidP="00745669">
      <w:r>
        <w:rPr>
          <w:b/>
        </w:rPr>
        <w:t>Ansvarigt statsråd</w:t>
      </w:r>
      <w:r>
        <w:rPr>
          <w:b/>
        </w:rPr>
        <w:br/>
      </w:r>
      <w:r>
        <w:rPr>
          <w:noProof/>
        </w:rPr>
        <w:t>Ann</w:t>
      </w:r>
      <w:r>
        <w:t xml:space="preserve"> Linde</w:t>
      </w:r>
    </w:p>
    <w:p w14:paraId="67BAB1DB"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DC"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DD"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DE"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DF"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E0"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E1"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E2"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E3"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E5" w14:textId="4EF74950"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undertecknandet av ett avtal genom skriftväxling mellan Europeiska unionen och Island om ytterligare handelsförmåner för jordbruksprodukter samt översända utkastet till rådets beslut till Europaparlamentet för godkännande.</w:t>
      </w:r>
    </w:p>
    <w:p w14:paraId="67BAB1E6" w14:textId="7FC457DA" w:rsidR="00D9267A" w:rsidRDefault="00745669">
      <w:pPr>
        <w:spacing w:after="280" w:afterAutospacing="1"/>
      </w:pPr>
      <w:r>
        <w:rPr>
          <w:b/>
          <w:bCs/>
        </w:rPr>
        <w:t>Hur regeringen ställer sig till den blivande A-punkten:</w:t>
      </w:r>
      <w:r>
        <w:t xml:space="preserve"> Regeringen avser rösta ja till att rådet godkänner beslutet. </w:t>
      </w:r>
    </w:p>
    <w:p w14:paraId="67BAB1E8" w14:textId="4C0BAE5B" w:rsidR="00745669" w:rsidRDefault="00745669">
      <w:pPr>
        <w:spacing w:after="280" w:afterAutospacing="1"/>
        <w:rPr>
          <w:noProof/>
        </w:rPr>
      </w:pPr>
      <w:r>
        <w:rPr>
          <w:b/>
          <w:bCs/>
        </w:rPr>
        <w:t>Bakgrund:</w:t>
      </w:r>
      <w:r>
        <w:t xml:space="preserve"> Förhandlingar mellan EU och Island om ytterligare liberalisering av handeln med jordbruksprodukter genomfördes mellan år 2012 och 2015. De omfattade Artikel 19 och Protokoll 3 av EES-avtalet samt ett nytt avtal om skydd av geografiska ursprungsbeteckningar. Avtalen paraferades 17 september 2015 och är nu redo för beslut om godkännande och undertecknande. </w:t>
      </w:r>
    </w:p>
    <w:p w14:paraId="67BAB1E9" w14:textId="77777777" w:rsidR="00745669" w:rsidRDefault="00745669" w:rsidP="00745669">
      <w:pPr>
        <w:pStyle w:val="Rubrik1"/>
      </w:pPr>
      <w:bookmarkStart w:id="24" w:name="_Toc466456340"/>
      <w:r>
        <w:rPr>
          <w:noProof/>
        </w:rPr>
        <w:t>Proposal for a Council Decision on the conclusion, on behalf of the Union, of the Enhanced Partnership and Cooperation Agreement between the European Union and its Member States, of the one part, and the Republic of Kazakhstan, of the other part</w:t>
      </w:r>
      <w:bookmarkEnd w:id="24"/>
    </w:p>
    <w:p w14:paraId="67BAB1EA" w14:textId="77777777" w:rsidR="00745669" w:rsidRDefault="00745669" w:rsidP="00745669">
      <w:pPr>
        <w:rPr>
          <w:lang w:val="en-US"/>
        </w:rPr>
      </w:pPr>
      <w:r>
        <w:rPr>
          <w:noProof/>
          <w:lang w:val="en-US"/>
        </w:rPr>
        <w:t>=</w:t>
      </w:r>
      <w:r>
        <w:rPr>
          <w:lang w:val="en-US"/>
        </w:rPr>
        <w:t>Agreement in principle =Request for the consent of the European Parliament</w:t>
      </w:r>
      <w:r>
        <w:rPr>
          <w:lang w:val="en-US"/>
        </w:rPr>
        <w:br/>
      </w:r>
      <w:r>
        <w:rPr>
          <w:noProof/>
          <w:lang w:val="en-US"/>
        </w:rPr>
        <w:t>13898</w:t>
      </w:r>
      <w:r>
        <w:rPr>
          <w:lang w:val="en-US"/>
        </w:rPr>
        <w:t>/16 COEST 28212409/16 COEST 231</w:t>
      </w:r>
    </w:p>
    <w:p w14:paraId="67BAB1EB" w14:textId="77777777" w:rsidR="00745669" w:rsidRDefault="00745669" w:rsidP="00745669">
      <w:r>
        <w:rPr>
          <w:b/>
        </w:rPr>
        <w:lastRenderedPageBreak/>
        <w:t>Ansvarigt statsråd</w:t>
      </w:r>
      <w:r>
        <w:rPr>
          <w:b/>
        </w:rPr>
        <w:br/>
      </w:r>
      <w:r>
        <w:rPr>
          <w:noProof/>
        </w:rPr>
        <w:t>Margot</w:t>
      </w:r>
      <w:r>
        <w:t xml:space="preserve"> Wallström</w:t>
      </w:r>
    </w:p>
    <w:p w14:paraId="67BAB1EC"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ED"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EE"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1EF"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1F0"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1F1"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1F2"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1F3"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1F4"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1F6" w14:textId="72CD44E3"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beslut om ingående av det fördjupade partnerskaps- och samarbetsavtalet mellan EU och dess medlemsstater, å ena sidan, och Kazakstan, å andra sidan.</w:t>
      </w:r>
      <w:r>
        <w:br/>
      </w:r>
      <w:r>
        <w:br/>
      </w:r>
      <w:r>
        <w:rPr>
          <w:b/>
          <w:bCs/>
        </w:rPr>
        <w:t>Hur regeringen ställer sig till den blivande A-punkten:</w:t>
      </w:r>
      <w:r>
        <w:t xml:space="preserve"> Regeringen avser rösta ja. </w:t>
      </w:r>
    </w:p>
    <w:p w14:paraId="67BAB1F7" w14:textId="77777777" w:rsidR="00D9267A" w:rsidRDefault="00745669">
      <w:pPr>
        <w:spacing w:after="280" w:afterAutospacing="1"/>
      </w:pPr>
      <w:r>
        <w:rPr>
          <w:b/>
          <w:bCs/>
        </w:rPr>
        <w:t>Bakgrund:</w:t>
      </w:r>
      <w:r>
        <w:t xml:space="preserve"> Den 26 oktober 2015 antog rådet beslut om undertecknande på Europeiska unionens vägnar och om provisorisk tillämpning av det fördjupade partnerskaps- och samarbetsavtalet mellan Europeiska unionen och dess medlemsstater, å ena sidan, och Republiken Kazakstan, å andra sidan. Avtalet har tillämpats provisoriskt sedan 1 maj 2016 mellan EU och Kazakstan. </w:t>
      </w:r>
    </w:p>
    <w:p w14:paraId="67BAB1F8" w14:textId="5E009404" w:rsidR="00D9267A" w:rsidRDefault="00745669">
      <w:pPr>
        <w:spacing w:after="280" w:afterAutospacing="1"/>
      </w:pPr>
      <w:r>
        <w:t xml:space="preserve">Kommissionen och EU:s höga representant för utrikes frågor och säkerhetspolitik, </w:t>
      </w:r>
      <w:proofErr w:type="spellStart"/>
      <w:r>
        <w:t>Federica</w:t>
      </w:r>
      <w:proofErr w:type="spellEnd"/>
      <w:r>
        <w:t xml:space="preserve"> </w:t>
      </w:r>
      <w:proofErr w:type="spellStart"/>
      <w:r>
        <w:t>Mogherini</w:t>
      </w:r>
      <w:proofErr w:type="spellEnd"/>
      <w:r>
        <w:t xml:space="preserve"> förelade rådet i juni 2016 ett gemensamt förslag om ingående av avtalet. Europaparlamentets godkännande kommer nu att begäras med anledning av ingåendet av avtalet. </w:t>
      </w:r>
    </w:p>
    <w:p w14:paraId="67BAB1FA" w14:textId="77777777" w:rsidR="00745669" w:rsidRDefault="00745669" w:rsidP="00745669">
      <w:pPr>
        <w:pStyle w:val="Rubrik1"/>
      </w:pPr>
      <w:bookmarkStart w:id="25" w:name="_Toc466456341"/>
      <w:r>
        <w:rPr>
          <w:noProof/>
        </w:rPr>
        <w:t>(poss.) Draft Council Conclusions on the Fifth Review Conference of the Convention on Prohibitions or Restrictions on the Use of Certain Conventional Weapons Which May be Deemed to be Excessively Injurious or to Have Indiscriminate Effects (CCW)</w:t>
      </w:r>
      <w:r>
        <w:rPr>
          <w:noProof/>
        </w:rPr>
        <w:br/>
        <w:t>(Geneva, 12-16 December 2016)</w:t>
      </w:r>
      <w:bookmarkEnd w:id="25"/>
    </w:p>
    <w:p w14:paraId="67BAB1FB" w14:textId="77777777" w:rsidR="00745669" w:rsidRDefault="00745669" w:rsidP="00745669">
      <w:pPr>
        <w:rPr>
          <w:lang w:val="en-US"/>
        </w:rPr>
      </w:pPr>
      <w:r>
        <w:rPr>
          <w:noProof/>
          <w:lang w:val="en-US"/>
        </w:rPr>
        <w:t>=</w:t>
      </w:r>
      <w:r>
        <w:rPr>
          <w:lang w:val="en-US"/>
        </w:rPr>
        <w:t>Adoption</w:t>
      </w:r>
      <w:r>
        <w:rPr>
          <w:lang w:val="en-US"/>
        </w:rPr>
        <w:br/>
      </w:r>
      <w:r>
        <w:rPr>
          <w:noProof/>
          <w:lang w:val="en-US"/>
        </w:rPr>
        <w:t>13901</w:t>
      </w:r>
      <w:r>
        <w:rPr>
          <w:lang w:val="en-US"/>
        </w:rPr>
        <w:t>/16 COARM 192 CODUN 18 CFSP/PESC 87912539/16 COARM 180 CODUN 10 CFSP/PESC 760</w:t>
      </w:r>
    </w:p>
    <w:p w14:paraId="67BAB1FC" w14:textId="77777777" w:rsidR="00745669" w:rsidRDefault="00745669" w:rsidP="00745669">
      <w:r>
        <w:rPr>
          <w:b/>
        </w:rPr>
        <w:t>Ansvarigt statsråd</w:t>
      </w:r>
      <w:r>
        <w:rPr>
          <w:b/>
        </w:rPr>
        <w:br/>
      </w:r>
      <w:r>
        <w:rPr>
          <w:noProof/>
        </w:rPr>
        <w:t>Margot</w:t>
      </w:r>
      <w:r>
        <w:t xml:space="preserve"> Wallström</w:t>
      </w:r>
    </w:p>
    <w:p w14:paraId="67BAB1FD"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1FE"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1FF"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200"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201"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202"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203"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204"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205"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207" w14:textId="4EBFDC85"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w:t>
      </w:r>
      <w:r w:rsidR="003B1E8C">
        <w:t>lås godkänna utkastet till råds</w:t>
      </w:r>
      <w:r>
        <w:t>slutsatser om femte översynskonferensen i 1980 års vapenkonvention.</w:t>
      </w:r>
    </w:p>
    <w:p w14:paraId="67BAB208" w14:textId="13ED1477" w:rsidR="00D9267A" w:rsidRDefault="00745669">
      <w:pPr>
        <w:spacing w:after="280" w:afterAutospacing="1"/>
      </w:pPr>
      <w:r>
        <w:rPr>
          <w:b/>
          <w:bCs/>
        </w:rPr>
        <w:t>Hur regeringen ställer sig till den blivande A-punkten:</w:t>
      </w:r>
      <w:r>
        <w:t xml:space="preserve"> Regeringen avser rösta ja t</w:t>
      </w:r>
      <w:r w:rsidR="003B1E8C">
        <w:t>ill att rådet godkänner slutsatserna</w:t>
      </w:r>
      <w:r>
        <w:t xml:space="preserve">. </w:t>
      </w:r>
    </w:p>
    <w:p w14:paraId="67BAB20A" w14:textId="0ECD48EC" w:rsidR="00745669" w:rsidRDefault="00745669">
      <w:pPr>
        <w:spacing w:after="280" w:afterAutospacing="1"/>
      </w:pPr>
      <w:r>
        <w:rPr>
          <w:b/>
          <w:bCs/>
        </w:rPr>
        <w:t>Bakgrund:</w:t>
      </w:r>
      <w:r>
        <w:t xml:space="preserve"> 1980 års vapenkonvention (CCW) är en viktig del av den internationella humanitära rätten (IHL). Nästa översynskonferens äger rum 12-16 december 2016 i Genève. Slutsatserna återspeglar gemensamma EU-positioner som motsvarar svenska ståndpunkter, inkl. allmänt stöd för CCW och uppmaning till </w:t>
      </w:r>
      <w:proofErr w:type="spellStart"/>
      <w:r>
        <w:t>universalisering</w:t>
      </w:r>
      <w:proofErr w:type="spellEnd"/>
      <w:r>
        <w:t xml:space="preserve">. </w:t>
      </w:r>
    </w:p>
    <w:p w14:paraId="4D59CFD6" w14:textId="77777777" w:rsidR="00E936C4" w:rsidRDefault="00E936C4" w:rsidP="00E936C4">
      <w:pPr>
        <w:pStyle w:val="Rubrik1"/>
        <w:rPr>
          <w:lang w:val="en-US"/>
        </w:rPr>
      </w:pPr>
      <w:bookmarkStart w:id="26" w:name="_Toc466456342"/>
      <w:r w:rsidRPr="00E34E76">
        <w:rPr>
          <w:lang w:val="en-US"/>
        </w:rPr>
        <w:t>Draft Council Conclusions on EU-wide strategic framework to support Security Sector Reform (SSR)</w:t>
      </w:r>
      <w:bookmarkEnd w:id="26"/>
    </w:p>
    <w:p w14:paraId="09872627" w14:textId="77777777" w:rsidR="00E936C4" w:rsidRPr="00E34E76" w:rsidRDefault="00E936C4" w:rsidP="00E936C4">
      <w:r>
        <w:rPr>
          <w:lang w:val="en-US"/>
        </w:rPr>
        <w:t>= Adoption</w:t>
      </w:r>
      <w:r>
        <w:rPr>
          <w:lang w:val="en-US"/>
        </w:rPr>
        <w:br/>
      </w:r>
      <w:r w:rsidRPr="00E34E76">
        <w:t xml:space="preserve">13999/16 CFSP/PESC 887 CSDP/PSDC 627 COPS 319 CIVCOM 212 POLMIL 120 </w:t>
      </w:r>
      <w:r w:rsidRPr="00E34E76">
        <w:lastRenderedPageBreak/>
        <w:t xml:space="preserve">DEVGEN 238 </w:t>
      </w:r>
      <w:r>
        <w:br/>
      </w:r>
      <w:r w:rsidRPr="00E34E76">
        <w:t>13998/16 CFSP/PESC 886 CSDP/PSDC 626 COPS 318 CIVCOM 211</w:t>
      </w:r>
      <w:proofErr w:type="gramStart"/>
      <w:r w:rsidRPr="00E34E76">
        <w:t>  POLMIL</w:t>
      </w:r>
      <w:proofErr w:type="gramEnd"/>
      <w:r w:rsidRPr="00E34E76">
        <w:t xml:space="preserve"> 119 DEVGEN 237</w:t>
      </w:r>
    </w:p>
    <w:p w14:paraId="20CF5EBE" w14:textId="77777777" w:rsidR="00E936C4" w:rsidRDefault="00E936C4" w:rsidP="00E936C4">
      <w:pPr>
        <w:spacing w:after="0" w:line="240" w:lineRule="auto"/>
        <w:ind w:left="680"/>
        <w:rPr>
          <w:b/>
        </w:rPr>
      </w:pPr>
      <w:r w:rsidRPr="00E34E76">
        <w:rPr>
          <w:b/>
        </w:rPr>
        <w:t>Ansvarigt statsråd</w:t>
      </w:r>
    </w:p>
    <w:p w14:paraId="4E7257D2" w14:textId="77777777" w:rsidR="00E936C4" w:rsidRPr="00E34E76" w:rsidRDefault="00E936C4" w:rsidP="00E936C4">
      <w:pPr>
        <w:spacing w:after="0" w:line="240" w:lineRule="auto"/>
        <w:ind w:left="680"/>
      </w:pPr>
      <w:r w:rsidRPr="00E34E76">
        <w:t>Margot Wallström</w:t>
      </w:r>
    </w:p>
    <w:p w14:paraId="139FE0FE" w14:textId="77777777" w:rsidR="00E936C4" w:rsidRPr="00E34E76" w:rsidRDefault="00E936C4" w:rsidP="00E936C4">
      <w:pPr>
        <w:spacing w:after="0" w:line="240" w:lineRule="auto"/>
        <w:ind w:left="680"/>
      </w:pPr>
      <w:r w:rsidRPr="00E34E76">
        <w:t> </w:t>
      </w:r>
    </w:p>
    <w:p w14:paraId="7787319C" w14:textId="77777777" w:rsidR="00E936C4" w:rsidRPr="00E34E76" w:rsidRDefault="00E936C4" w:rsidP="00E936C4">
      <w:pPr>
        <w:spacing w:after="0" w:line="240" w:lineRule="auto"/>
        <w:ind w:left="680"/>
      </w:pPr>
      <w:r>
        <w:rPr>
          <w:b/>
        </w:rPr>
        <w:t>Annotering</w:t>
      </w:r>
      <w:r w:rsidRPr="00E34E76">
        <w:t xml:space="preserve"> </w:t>
      </w:r>
    </w:p>
    <w:p w14:paraId="18871680" w14:textId="77777777" w:rsidR="00E936C4" w:rsidRPr="00E34E76" w:rsidRDefault="00E936C4" w:rsidP="00E936C4">
      <w:pPr>
        <w:spacing w:after="0" w:line="240" w:lineRule="auto"/>
        <w:ind w:left="680"/>
      </w:pPr>
      <w:r w:rsidRPr="00E34E76">
        <w:rPr>
          <w:b/>
        </w:rPr>
        <w:t>Avsikt med behandlingen i rådet:</w:t>
      </w:r>
      <w:r w:rsidRPr="00E34E76">
        <w:t xml:space="preserve"> Rådet föreslås godkänna rådets slutsatser om ramverket för säkerhetssektorreform. </w:t>
      </w:r>
    </w:p>
    <w:p w14:paraId="1176E479" w14:textId="77777777" w:rsidR="00E936C4" w:rsidRPr="00E34E76" w:rsidRDefault="00E936C4" w:rsidP="00E936C4">
      <w:pPr>
        <w:spacing w:after="0" w:line="240" w:lineRule="auto"/>
        <w:ind w:left="680"/>
      </w:pPr>
      <w:r w:rsidRPr="00E34E76">
        <w:t> </w:t>
      </w:r>
    </w:p>
    <w:p w14:paraId="1927C3BC" w14:textId="77777777" w:rsidR="00E936C4" w:rsidRPr="00E34E76" w:rsidRDefault="00E936C4" w:rsidP="00E936C4">
      <w:pPr>
        <w:spacing w:after="0" w:line="240" w:lineRule="auto"/>
        <w:ind w:left="680"/>
      </w:pPr>
      <w:r w:rsidRPr="00E34E76">
        <w:rPr>
          <w:b/>
        </w:rPr>
        <w:t>Hur regeringen ställer sig till den blivande A-punkten:</w:t>
      </w:r>
      <w:r w:rsidRPr="00E34E76">
        <w:t xml:space="preserve"> Regeringen avser rösta ja till att rådet godkänna rådets slutsatser.</w:t>
      </w:r>
    </w:p>
    <w:p w14:paraId="258CCB9B" w14:textId="77777777" w:rsidR="00E936C4" w:rsidRPr="00E34E76" w:rsidRDefault="00E936C4" w:rsidP="00E936C4">
      <w:pPr>
        <w:spacing w:after="0" w:line="240" w:lineRule="auto"/>
        <w:ind w:left="680"/>
      </w:pPr>
      <w:r w:rsidRPr="00E34E76">
        <w:t> </w:t>
      </w:r>
    </w:p>
    <w:p w14:paraId="256BB7A7" w14:textId="77777777" w:rsidR="00E936C4" w:rsidRPr="00E34E76" w:rsidRDefault="00E936C4" w:rsidP="00E936C4">
      <w:pPr>
        <w:spacing w:after="0"/>
        <w:ind w:left="680"/>
        <w:rPr>
          <w:b/>
        </w:rPr>
      </w:pPr>
      <w:r w:rsidRPr="00E34E76">
        <w:rPr>
          <w:b/>
        </w:rPr>
        <w:t xml:space="preserve">Bakgrund: </w:t>
      </w:r>
      <w:r w:rsidRPr="00E34E76">
        <w:t>Det föreslagna SSR-ramverket har gemensamt presenterats av EEAS och Kommissionen och syftar till att bidra till en sammanhållen ansats i stärkandet av fred, säkerhet och stabilitet. En annan avsikt är att EU ska agera mer samstämmigt i frågor som rör SSR. Det nya ramverket är tänkt att ersätta två tidigare SSR-koncept från 2005 respektive 2006.</w:t>
      </w:r>
    </w:p>
    <w:p w14:paraId="307139F1" w14:textId="77777777" w:rsidR="00E936C4" w:rsidRPr="00E34E76" w:rsidRDefault="00E936C4" w:rsidP="00E936C4">
      <w:pPr>
        <w:spacing w:after="0"/>
        <w:ind w:left="680"/>
      </w:pPr>
      <w:r w:rsidRPr="00E34E76">
        <w:t> </w:t>
      </w:r>
    </w:p>
    <w:p w14:paraId="02C895D7" w14:textId="77777777" w:rsidR="00E936C4" w:rsidRPr="00E34E76" w:rsidRDefault="00E936C4" w:rsidP="00E936C4">
      <w:pPr>
        <w:spacing w:after="0"/>
        <w:ind w:left="680"/>
      </w:pPr>
      <w:r w:rsidRPr="00E34E76">
        <w:t xml:space="preserve">Under tidigare förhandlingar har MS uttryckt ett starkt stöd för det föreslagna ramverket. Det finns inga identifierade outlösta frågor. SE har tillsammans med andra MS föreslagit starkare skrivningar om jämställdhet, vilket man fått gehör för. </w:t>
      </w:r>
    </w:p>
    <w:p w14:paraId="642910ED" w14:textId="77777777" w:rsidR="00E936C4" w:rsidRPr="00E34E76" w:rsidRDefault="00E936C4" w:rsidP="00E936C4">
      <w:pPr>
        <w:spacing w:after="0"/>
        <w:ind w:left="680"/>
      </w:pPr>
      <w:r w:rsidRPr="00E34E76">
        <w:t> </w:t>
      </w:r>
    </w:p>
    <w:p w14:paraId="167B3A4E" w14:textId="77777777" w:rsidR="00E936C4" w:rsidRPr="00E34E76" w:rsidRDefault="00E936C4" w:rsidP="00E936C4">
      <w:pPr>
        <w:spacing w:after="0"/>
        <w:ind w:left="680"/>
      </w:pPr>
      <w:r w:rsidRPr="00E34E76">
        <w:t>Tidigare har tyngdpunkt för diskussionen legat på rådsslutsatsernas och SSR-ramverkets referens till instrumentet för stabilitet och fred (</w:t>
      </w:r>
      <w:proofErr w:type="spellStart"/>
      <w:r w:rsidRPr="00E34E76">
        <w:t>IcSP</w:t>
      </w:r>
      <w:proofErr w:type="spellEnd"/>
      <w:r w:rsidRPr="00E34E76">
        <w:t xml:space="preserve">) som syftar till att stödja kapacitetsbyggande till stöd för säkerhet och utveckling (CBSD). I den slutliga versionen av rådslutsatserna finns endast övergripande referens till CBSD. Detta för att inte definiera gränser för CBSD i SSR-förhandlingarna. Denna linje stödjer SE. </w:t>
      </w:r>
    </w:p>
    <w:p w14:paraId="67BAB218" w14:textId="77777777" w:rsidR="00745669" w:rsidRDefault="00745669" w:rsidP="00745669">
      <w:pPr>
        <w:pStyle w:val="Rubrik1"/>
      </w:pPr>
      <w:bookmarkStart w:id="27" w:name="_Toc466456343"/>
      <w:r>
        <w:rPr>
          <w:noProof/>
        </w:rPr>
        <w:t>Single Progress Report on the Development of EU Military Capabilities in the period from November 2015 to October 2016</w:t>
      </w:r>
      <w:bookmarkEnd w:id="27"/>
    </w:p>
    <w:p w14:paraId="67BAB219" w14:textId="3C4CBBC6" w:rsidR="00745669" w:rsidRDefault="00745669" w:rsidP="00745669">
      <w:pPr>
        <w:rPr>
          <w:lang w:val="en-US"/>
        </w:rPr>
      </w:pPr>
      <w:r>
        <w:rPr>
          <w:noProof/>
          <w:lang w:val="en-US"/>
        </w:rPr>
        <w:t>13718</w:t>
      </w:r>
      <w:r>
        <w:rPr>
          <w:lang w:val="en-US"/>
        </w:rPr>
        <w:t>/16 CSDP/PSDC 61113719/16 CSDP/PSDC 612 EUMC 125 COPS 310</w:t>
      </w:r>
    </w:p>
    <w:p w14:paraId="67BAB21A" w14:textId="77777777" w:rsidR="00745669" w:rsidRDefault="00745669" w:rsidP="00745669">
      <w:r>
        <w:rPr>
          <w:b/>
        </w:rPr>
        <w:t>Ansvarigt statsråd</w:t>
      </w:r>
      <w:r>
        <w:rPr>
          <w:b/>
        </w:rPr>
        <w:br/>
      </w:r>
      <w:r>
        <w:rPr>
          <w:noProof/>
        </w:rPr>
        <w:t>Peter</w:t>
      </w:r>
      <w:r>
        <w:t xml:space="preserve"> Hultqvist</w:t>
      </w:r>
    </w:p>
    <w:p w14:paraId="67BAB21B"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21C"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21D"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21E"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21F"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220"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221"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222"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223"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225" w14:textId="0C58A71F"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rapporten </w:t>
      </w:r>
      <w:proofErr w:type="spellStart"/>
      <w:r>
        <w:t>Single</w:t>
      </w:r>
      <w:proofErr w:type="spellEnd"/>
      <w:r>
        <w:t xml:space="preserve"> Progress </w:t>
      </w:r>
      <w:proofErr w:type="spellStart"/>
      <w:r>
        <w:t>Report</w:t>
      </w:r>
      <w:proofErr w:type="spellEnd"/>
      <w:r>
        <w:t xml:space="preserve"> on the </w:t>
      </w:r>
      <w:proofErr w:type="spellStart"/>
      <w:r>
        <w:t>Development</w:t>
      </w:r>
      <w:proofErr w:type="spellEnd"/>
      <w:r>
        <w:t xml:space="preserve"> </w:t>
      </w:r>
      <w:proofErr w:type="spellStart"/>
      <w:r>
        <w:t>of</w:t>
      </w:r>
      <w:proofErr w:type="spellEnd"/>
      <w:r>
        <w:t xml:space="preserve"> EU </w:t>
      </w:r>
      <w:proofErr w:type="spellStart"/>
      <w:r>
        <w:t>Military</w:t>
      </w:r>
      <w:proofErr w:type="spellEnd"/>
      <w:r>
        <w:t xml:space="preserve"> </w:t>
      </w:r>
      <w:proofErr w:type="spellStart"/>
      <w:r>
        <w:t>Capabilities</w:t>
      </w:r>
      <w:proofErr w:type="spellEnd"/>
      <w:r>
        <w:t xml:space="preserve"> in the period from </w:t>
      </w:r>
      <w:proofErr w:type="gramStart"/>
      <w:r>
        <w:t>November</w:t>
      </w:r>
      <w:proofErr w:type="gramEnd"/>
      <w:r>
        <w:t xml:space="preserve"> 2015 </w:t>
      </w:r>
      <w:proofErr w:type="spellStart"/>
      <w:r>
        <w:t>to</w:t>
      </w:r>
      <w:proofErr w:type="spellEnd"/>
      <w:r>
        <w:t xml:space="preserve"> </w:t>
      </w:r>
      <w:proofErr w:type="spellStart"/>
      <w:r>
        <w:t>October</w:t>
      </w:r>
      <w:proofErr w:type="spellEnd"/>
      <w:r>
        <w:t xml:space="preserve"> 2016. </w:t>
      </w:r>
    </w:p>
    <w:p w14:paraId="67BAB226" w14:textId="4010192B" w:rsidR="00D9267A" w:rsidRDefault="00745669">
      <w:pPr>
        <w:spacing w:after="280" w:afterAutospacing="1"/>
      </w:pPr>
      <w:r>
        <w:rPr>
          <w:b/>
          <w:bCs/>
        </w:rPr>
        <w:t>Hur regeringen ställer sig till den blivande A-punkten:</w:t>
      </w:r>
      <w:r>
        <w:t xml:space="preserve"> Regeringen kan godkänna rapporten. </w:t>
      </w:r>
    </w:p>
    <w:p w14:paraId="40740414" w14:textId="22312F29" w:rsidR="00E34E76" w:rsidRDefault="00745669">
      <w:pPr>
        <w:spacing w:after="280" w:afterAutospacing="1"/>
        <w:rPr>
          <w:noProof/>
        </w:rPr>
      </w:pPr>
      <w:r>
        <w:rPr>
          <w:b/>
          <w:bCs/>
        </w:rPr>
        <w:t>Bakgrund:</w:t>
      </w:r>
      <w:r>
        <w:t xml:space="preserve"> En av arbetsgrupperna under Europeiska Unionens militära kommitté (EUMC) tar på årlig basis fram en rapport som beskriver den utveckling som skett inom EU:s militära förmågeutveckling under det senaste året. Rapportens syfte är att informera den politiska nivån.   </w:t>
      </w:r>
    </w:p>
    <w:p w14:paraId="67BAB229" w14:textId="78012599" w:rsidR="00745669" w:rsidRDefault="00E936C4" w:rsidP="00745669">
      <w:pPr>
        <w:pStyle w:val="Rubrik1"/>
      </w:pPr>
      <w:r>
        <w:rPr>
          <w:noProof/>
        </w:rPr>
        <w:lastRenderedPageBreak/>
        <w:t xml:space="preserve"> </w:t>
      </w:r>
      <w:bookmarkStart w:id="28" w:name="_Toc466456344"/>
      <w:r w:rsidR="00745669">
        <w:rPr>
          <w:noProof/>
        </w:rPr>
        <w:t>(poss.) Report by the Head of the European Defence Agency to the Council</w:t>
      </w:r>
      <w:bookmarkEnd w:id="28"/>
    </w:p>
    <w:p w14:paraId="67BAB22B" w14:textId="1F5E4288" w:rsidR="00745669" w:rsidRDefault="00745669" w:rsidP="00745669">
      <w:pPr>
        <w:rPr>
          <w:lang w:val="en-US"/>
        </w:rPr>
      </w:pPr>
      <w:r>
        <w:rPr>
          <w:noProof/>
          <w:lang w:val="en-US"/>
        </w:rPr>
        <w:t>14109</w:t>
      </w:r>
      <w:r>
        <w:rPr>
          <w:lang w:val="en-US"/>
        </w:rPr>
        <w:t>/16 COPS 324 CSDP/PSDC 632 CFSP/PESC 896 POLMIL 125</w:t>
      </w:r>
      <w:r w:rsidR="008A3B7B">
        <w:rPr>
          <w:lang w:val="en-US"/>
        </w:rPr>
        <w:br/>
      </w:r>
      <w:r>
        <w:rPr>
          <w:lang w:val="en-US"/>
        </w:rPr>
        <w:t>14107/16 COPS 323 CSDP/PSDC 631 CFSP/PESC 895 POLMIL 124</w:t>
      </w:r>
    </w:p>
    <w:p w14:paraId="67BAB22C" w14:textId="77777777" w:rsidR="00745669" w:rsidRDefault="00745669" w:rsidP="00745669">
      <w:r>
        <w:rPr>
          <w:b/>
        </w:rPr>
        <w:t>Ansvarigt statsråd</w:t>
      </w:r>
      <w:r>
        <w:rPr>
          <w:b/>
        </w:rPr>
        <w:br/>
      </w:r>
      <w:r>
        <w:rPr>
          <w:noProof/>
        </w:rPr>
        <w:t>Peter</w:t>
      </w:r>
      <w:r>
        <w:t xml:space="preserve"> Hultqvist</w:t>
      </w:r>
    </w:p>
    <w:p w14:paraId="67BAB22D"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22E"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22F"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230"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231"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232"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233"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234"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235"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237" w14:textId="1088DE03"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Den höge representanten, tillika högste chefen för Europeiska Försvarsbyrån (</w:t>
      </w:r>
      <w:proofErr w:type="spellStart"/>
      <w:r>
        <w:t>European</w:t>
      </w:r>
      <w:proofErr w:type="spellEnd"/>
      <w:r>
        <w:t xml:space="preserve"> </w:t>
      </w:r>
      <w:proofErr w:type="spellStart"/>
      <w:r>
        <w:t>Defence</w:t>
      </w:r>
      <w:proofErr w:type="spellEnd"/>
      <w:r>
        <w:t xml:space="preserve"> Agency, EDA), redovisar det gångna årets verksamhet inom EDA.</w:t>
      </w:r>
    </w:p>
    <w:p w14:paraId="67BAB238" w14:textId="6DB9D70E" w:rsidR="00D9267A" w:rsidRDefault="00745669">
      <w:pPr>
        <w:spacing w:after="280" w:afterAutospacing="1"/>
      </w:pPr>
      <w:r>
        <w:rPr>
          <w:b/>
          <w:bCs/>
        </w:rPr>
        <w:t>Hur regeringen ställer sig till den blivande A-punkten:</w:t>
      </w:r>
      <w:r>
        <w:t xml:space="preserve"> Regeringen ställer sig positivt till rapporteringen.</w:t>
      </w:r>
    </w:p>
    <w:p w14:paraId="55A54EA2" w14:textId="6B1EBC48" w:rsidR="00E936C4" w:rsidRDefault="00745669">
      <w:pPr>
        <w:spacing w:after="280" w:afterAutospacing="1"/>
        <w:rPr>
          <w:noProof/>
        </w:rPr>
      </w:pPr>
      <w:r>
        <w:rPr>
          <w:b/>
          <w:bCs/>
        </w:rPr>
        <w:t>Bakgrund:</w:t>
      </w:r>
      <w:r>
        <w:t xml:space="preserve"> EDA rapporterar årligen om det senaste årets verksamhet.</w:t>
      </w:r>
    </w:p>
    <w:p w14:paraId="4094385F" w14:textId="51348CEC" w:rsidR="00E936C4" w:rsidRPr="00E936C4" w:rsidRDefault="00E936C4" w:rsidP="00E936C4">
      <w:pPr>
        <w:pStyle w:val="Rubrik1"/>
        <w:rPr>
          <w:noProof/>
        </w:rPr>
      </w:pPr>
      <w:r w:rsidRPr="00E936C4">
        <w:rPr>
          <w:noProof/>
        </w:rPr>
        <w:t xml:space="preserve"> </w:t>
      </w:r>
      <w:bookmarkStart w:id="29" w:name="_Toc466456345"/>
      <w:r w:rsidRPr="00E936C4">
        <w:rPr>
          <w:noProof/>
        </w:rPr>
        <w:t>(poss.) Request for declassification of EUJUST THEMIS Operation Plan</w:t>
      </w:r>
      <w:bookmarkEnd w:id="29"/>
    </w:p>
    <w:p w14:paraId="59495918" w14:textId="0F4657E6" w:rsidR="00E936C4" w:rsidRPr="00E936C4" w:rsidRDefault="00E936C4" w:rsidP="00E936C4">
      <w:pPr>
        <w:spacing w:after="280" w:afterAutospacing="1"/>
        <w:rPr>
          <w:noProof/>
          <w:lang w:val="en-US"/>
        </w:rPr>
      </w:pPr>
      <w:r w:rsidRPr="00E936C4">
        <w:rPr>
          <w:noProof/>
          <w:lang w:val="en-US"/>
        </w:rPr>
        <w:t>13988/16 CSDP/PSDC 624 CFSP/PESC 884 COPS 317 CIVCOM 210</w:t>
      </w:r>
      <w:r w:rsidRPr="00E936C4">
        <w:rPr>
          <w:noProof/>
          <w:lang w:val="en-US"/>
        </w:rPr>
        <w:br/>
        <w:t>RELEX 914 JAI 897 COEST 287</w:t>
      </w:r>
    </w:p>
    <w:p w14:paraId="2776CE01" w14:textId="1189F3DA" w:rsidR="00E936C4" w:rsidRPr="00E936C4" w:rsidRDefault="00E936C4" w:rsidP="00E936C4">
      <w:pPr>
        <w:spacing w:after="280" w:afterAutospacing="1"/>
        <w:rPr>
          <w:noProof/>
          <w:lang w:val="en-US"/>
        </w:rPr>
      </w:pPr>
      <w:r w:rsidRPr="00E936C4">
        <w:rPr>
          <w:b/>
          <w:bCs/>
          <w:noProof/>
          <w:lang w:val="en-US"/>
        </w:rPr>
        <w:t>Ansvarigt statsråd</w:t>
      </w:r>
      <w:r>
        <w:rPr>
          <w:b/>
          <w:bCs/>
          <w:noProof/>
          <w:lang w:val="en-US"/>
        </w:rPr>
        <w:br/>
      </w:r>
      <w:r w:rsidRPr="00E936C4">
        <w:rPr>
          <w:noProof/>
          <w:lang w:val="en-US"/>
        </w:rPr>
        <w:t>Margot Wallström</w:t>
      </w:r>
    </w:p>
    <w:p w14:paraId="2FFB59D1" w14:textId="4CCAC146" w:rsidR="00E936C4" w:rsidRPr="00E936C4" w:rsidRDefault="00E936C4" w:rsidP="00E936C4">
      <w:pPr>
        <w:spacing w:after="280" w:afterAutospacing="1"/>
        <w:rPr>
          <w:b/>
          <w:bCs/>
          <w:noProof/>
        </w:rPr>
      </w:pPr>
      <w:r>
        <w:rPr>
          <w:b/>
          <w:bCs/>
          <w:noProof/>
        </w:rPr>
        <w:t>Annotering</w:t>
      </w:r>
      <w:r>
        <w:rPr>
          <w:b/>
          <w:bCs/>
          <w:noProof/>
        </w:rPr>
        <w:br/>
      </w:r>
      <w:r w:rsidRPr="00E936C4">
        <w:rPr>
          <w:b/>
          <w:bCs/>
          <w:noProof/>
        </w:rPr>
        <w:t>Avsikt med behandlingen i rådet:</w:t>
      </w:r>
      <w:r w:rsidRPr="00E936C4">
        <w:rPr>
          <w:noProof/>
        </w:rPr>
        <w:t xml:space="preserve"> Rådet ska godkänna att sekretessen gällande OPLAN för den avslutade insatsen EUJUST THEMIS hävs. </w:t>
      </w:r>
    </w:p>
    <w:p w14:paraId="2C01D840" w14:textId="77777777" w:rsidR="00E936C4" w:rsidRPr="00E936C4" w:rsidRDefault="00E936C4" w:rsidP="00E936C4">
      <w:pPr>
        <w:spacing w:after="280" w:afterAutospacing="1"/>
        <w:rPr>
          <w:noProof/>
        </w:rPr>
      </w:pPr>
      <w:r w:rsidRPr="00E936C4">
        <w:rPr>
          <w:b/>
          <w:bCs/>
          <w:noProof/>
        </w:rPr>
        <w:t>Hur regeringen ställer sig till den blivande A-punkten:</w:t>
      </w:r>
      <w:r w:rsidRPr="00E936C4">
        <w:rPr>
          <w:noProof/>
        </w:rPr>
        <w:t xml:space="preserve"> Regeringen avser rösta ja. </w:t>
      </w:r>
    </w:p>
    <w:p w14:paraId="53CC03DF" w14:textId="0D8FB164" w:rsidR="00E936C4" w:rsidRPr="00E936C4" w:rsidRDefault="00E936C4" w:rsidP="00E936C4">
      <w:pPr>
        <w:spacing w:after="280" w:afterAutospacing="1"/>
        <w:rPr>
          <w:noProof/>
        </w:rPr>
      </w:pPr>
      <w:r w:rsidRPr="00E936C4">
        <w:rPr>
          <w:b/>
          <w:bCs/>
          <w:noProof/>
        </w:rPr>
        <w:t>Bakgrund:</w:t>
      </w:r>
      <w:r w:rsidRPr="00E936C4">
        <w:rPr>
          <w:noProof/>
        </w:rPr>
        <w:t xml:space="preserve"> EUJUST THEMIS var en ESDP-insats inom rättsstatsstöd i Georgien. Insatsen verkade under 2004-2005 och har avslutats. En förfrågan har inkommit om att häva sekretessen för insatsens operationsplan, OPLAN (dokument 11389/1/04 REV 1 R-UE/EU-R). EEAS ser inga hinder med att sekretessen hävs för det aktuella dokumentet och</w:t>
      </w:r>
      <w:r w:rsidR="00930BF1">
        <w:rPr>
          <w:noProof/>
        </w:rPr>
        <w:t xml:space="preserve"> att det därmed offentliggörs. </w:t>
      </w:r>
    </w:p>
    <w:p w14:paraId="67BAB248" w14:textId="77777777" w:rsidR="00745669" w:rsidRDefault="00745669" w:rsidP="00745669">
      <w:pPr>
        <w:pStyle w:val="Rubrik1"/>
      </w:pPr>
      <w:bookmarkStart w:id="30" w:name="_Toc466456346"/>
      <w:r>
        <w:rPr>
          <w:noProof/>
        </w:rPr>
        <w:t>Draft Council Decision on a Union contribution to the establishment and the secure management of a Low Enriched Uranium (LEU) Bank under the control of the International Atomic Energy Agency (IAEA) in the framework of the EU Strategy against the Proliferation of Weapons of Mass Destruction</w:t>
      </w:r>
      <w:bookmarkEnd w:id="30"/>
    </w:p>
    <w:p w14:paraId="67BAB249" w14:textId="77777777" w:rsidR="00745669" w:rsidRDefault="00745669" w:rsidP="00745669">
      <w:pPr>
        <w:rPr>
          <w:lang w:val="en-US"/>
        </w:rPr>
      </w:pPr>
      <w:r>
        <w:rPr>
          <w:noProof/>
          <w:lang w:val="en-US"/>
        </w:rPr>
        <w:t>=</w:t>
      </w:r>
      <w:r>
        <w:rPr>
          <w:lang w:val="en-US"/>
        </w:rPr>
        <w:t>Adoption</w:t>
      </w:r>
      <w:r>
        <w:rPr>
          <w:lang w:val="en-US"/>
        </w:rPr>
        <w:br/>
      </w:r>
      <w:r>
        <w:rPr>
          <w:noProof/>
          <w:lang w:val="en-US"/>
        </w:rPr>
        <w:t>13807</w:t>
      </w:r>
      <w:r>
        <w:rPr>
          <w:lang w:val="en-US"/>
        </w:rPr>
        <w:t>/16 CORLX 426 CFSP/PESC 870 CODUN 15 CONOP 86</w:t>
      </w:r>
    </w:p>
    <w:p w14:paraId="67BAB24A" w14:textId="77777777" w:rsidR="00745669" w:rsidRDefault="00745669" w:rsidP="00745669">
      <w:r>
        <w:rPr>
          <w:b/>
        </w:rPr>
        <w:t>Ansvarigt statsråd</w:t>
      </w:r>
      <w:r>
        <w:rPr>
          <w:b/>
        </w:rPr>
        <w:br/>
      </w:r>
      <w:r>
        <w:rPr>
          <w:noProof/>
        </w:rPr>
        <w:t>Margot</w:t>
      </w:r>
      <w:r>
        <w:t xml:space="preserve"> Wallström</w:t>
      </w:r>
    </w:p>
    <w:p w14:paraId="67BAB24B" w14:textId="77777777" w:rsidR="00745669" w:rsidRDefault="00745669" w:rsidP="0074566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BAB24C"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BAB24D"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BAB24E"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BAB24F" w14:textId="77777777" w:rsidR="00745669" w:rsidRDefault="00745669" w:rsidP="0074566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BAB250"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BAB251" w14:textId="77777777" w:rsidR="00745669" w:rsidRDefault="00745669" w:rsidP="0074566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BAB252" w14:textId="77777777" w:rsidR="00745669" w:rsidRDefault="00745669" w:rsidP="0074566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BAB253" w14:textId="77777777" w:rsidR="00745669" w:rsidRDefault="00745669" w:rsidP="0074566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BAB255" w14:textId="4AA8438A" w:rsidR="00D9267A" w:rsidRDefault="00745669" w:rsidP="008A3B7B">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ett bidrag om 4 362 200 euro för </w:t>
      </w:r>
      <w:r>
        <w:lastRenderedPageBreak/>
        <w:t xml:space="preserve">ett projekt som syftar till att säkra transporter till och förvaring av </w:t>
      </w:r>
      <w:proofErr w:type="spellStart"/>
      <w:r>
        <w:t>låganrikat</w:t>
      </w:r>
      <w:proofErr w:type="spellEnd"/>
      <w:r>
        <w:t xml:space="preserve"> uran i anläggningen i Kazakstan. Utförare av projektet är IAEA.</w:t>
      </w:r>
    </w:p>
    <w:p w14:paraId="67BAB256" w14:textId="3433EB56" w:rsidR="00D9267A" w:rsidRDefault="00745669">
      <w:pPr>
        <w:spacing w:after="280" w:afterAutospacing="1"/>
      </w:pPr>
      <w:r>
        <w:rPr>
          <w:b/>
          <w:bCs/>
        </w:rPr>
        <w:t>Hur regeringen ställer sig till den blivande A-punkten:</w:t>
      </w:r>
      <w:r>
        <w:t xml:space="preserve"> Regeringen avser rösta ja.  </w:t>
      </w:r>
    </w:p>
    <w:p w14:paraId="67BAB257" w14:textId="0AD19026" w:rsidR="00D9267A" w:rsidRDefault="00745669">
      <w:pPr>
        <w:spacing w:after="280" w:afterAutospacing="1"/>
      </w:pPr>
      <w:r>
        <w:rPr>
          <w:b/>
          <w:bCs/>
        </w:rPr>
        <w:t>Bakgrund:</w:t>
      </w:r>
      <w:r>
        <w:t xml:space="preserve"> IAEA:s</w:t>
      </w:r>
      <w:r w:rsidR="003B1E8C">
        <w:t xml:space="preserve"> styrelse beslutade år 2010 </w:t>
      </w:r>
      <w:r>
        <w:t xml:space="preserve">att upprätta en bränslebank för </w:t>
      </w:r>
      <w:proofErr w:type="spellStart"/>
      <w:r>
        <w:t>låganrikat</w:t>
      </w:r>
      <w:proofErr w:type="spellEnd"/>
      <w:r>
        <w:t xml:space="preserve"> uran för att minska medlemsstaters anrikningsbehov. Banken är tänkt att funge</w:t>
      </w:r>
      <w:r w:rsidR="003B1E8C">
        <w:t>ra som reserv i den händelse</w:t>
      </w:r>
      <w:r>
        <w:t xml:space="preserve"> en medlemsstat inte kan förse sina kärnkraftverk med bränsle. Tanken är att säkrad tillgång till kärnbränsle ska minska länders incitament att utveckla en egen anrikningsprocess. Kostnaderna för upprättandet av banken inklusive uppköp av </w:t>
      </w:r>
      <w:proofErr w:type="spellStart"/>
      <w:r>
        <w:t>låganrikat</w:t>
      </w:r>
      <w:proofErr w:type="spellEnd"/>
      <w:r>
        <w:t xml:space="preserve"> uran ska finansieras av frivilliga medel. Driftskostnaderna bekostas av värdlandet Kazakstan. </w:t>
      </w:r>
      <w:r>
        <w:br/>
        <w:t> </w:t>
      </w:r>
      <w:r>
        <w:br/>
        <w:t xml:space="preserve">Europeiska rådet gjorde redan 2008 en utfästelse om att bidra med 25 miljoner euro. </w:t>
      </w:r>
      <w:bookmarkEnd w:id="1"/>
    </w:p>
    <w:sectPr w:rsidR="00D9267A" w:rsidSect="00745669">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AB273" w14:textId="77777777" w:rsidR="004A79ED" w:rsidRDefault="004A79ED">
      <w:pPr>
        <w:spacing w:after="0" w:line="240" w:lineRule="auto"/>
      </w:pPr>
      <w:r>
        <w:separator/>
      </w:r>
    </w:p>
  </w:endnote>
  <w:endnote w:type="continuationSeparator" w:id="0">
    <w:p w14:paraId="67BAB275" w14:textId="77777777" w:rsidR="004A79ED" w:rsidRDefault="004A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7BAB25E" w14:textId="77777777" w:rsidR="004A79ED" w:rsidRDefault="004A79ED">
        <w:pPr>
          <w:pStyle w:val="Sidfot"/>
          <w:jc w:val="right"/>
        </w:pPr>
      </w:p>
    </w:sdtContent>
  </w:sdt>
  <w:p w14:paraId="67BAB25F" w14:textId="77777777" w:rsidR="004A79ED" w:rsidRDefault="004A79E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AB26D" w14:textId="77777777" w:rsidR="004A79ED" w:rsidRDefault="004A79ED">
    <w:pPr>
      <w:pStyle w:val="Sidfot"/>
      <w:jc w:val="right"/>
    </w:pPr>
  </w:p>
  <w:p w14:paraId="67BAB26E" w14:textId="77777777" w:rsidR="004A79ED" w:rsidRDefault="004A79E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AB26F" w14:textId="77777777" w:rsidR="004A79ED" w:rsidRDefault="004A79ED">
      <w:pPr>
        <w:spacing w:after="0" w:line="240" w:lineRule="auto"/>
      </w:pPr>
      <w:r>
        <w:separator/>
      </w:r>
    </w:p>
  </w:footnote>
  <w:footnote w:type="continuationSeparator" w:id="0">
    <w:p w14:paraId="67BAB271" w14:textId="77777777" w:rsidR="004A79ED" w:rsidRDefault="004A7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7BAB25B" w14:textId="77777777" w:rsidR="004A79ED" w:rsidRDefault="004A79ED" w:rsidP="00745669">
        <w:pPr>
          <w:pStyle w:val="Sidhuvud"/>
          <w:jc w:val="right"/>
        </w:pPr>
        <w:r>
          <w:fldChar w:fldCharType="begin"/>
        </w:r>
        <w:r>
          <w:instrText xml:space="preserve"> PAGE   \* MERGEFORMAT </w:instrText>
        </w:r>
        <w:r>
          <w:fldChar w:fldCharType="separate"/>
        </w:r>
        <w:r w:rsidR="009A197A">
          <w:rPr>
            <w:noProof/>
          </w:rPr>
          <w:t>2</w:t>
        </w:r>
        <w:r>
          <w:rPr>
            <w:noProof/>
          </w:rPr>
          <w:fldChar w:fldCharType="end"/>
        </w:r>
      </w:p>
    </w:sdtContent>
  </w:sdt>
  <w:p w14:paraId="67BAB25C" w14:textId="77777777" w:rsidR="004A79ED" w:rsidRDefault="004A79ED" w:rsidP="0074566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A79ED" w14:paraId="67BAB267" w14:textId="77777777" w:rsidTr="00745669">
      <w:tc>
        <w:tcPr>
          <w:tcW w:w="4606" w:type="dxa"/>
        </w:tcPr>
        <w:p w14:paraId="67BAB260" w14:textId="77777777" w:rsidR="004A79ED" w:rsidRDefault="004A79ED" w:rsidP="00745669">
          <w:pPr>
            <w:pStyle w:val="Sidhuvud"/>
            <w:ind w:left="0"/>
          </w:pPr>
          <w:r>
            <w:rPr>
              <w:noProof/>
              <w:lang w:eastAsia="sv-SE"/>
            </w:rPr>
            <w:drawing>
              <wp:inline distT="0" distB="0" distL="0" distR="0" wp14:anchorId="67BAB26F" wp14:editId="67BAB27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7BAB261" w14:textId="77777777" w:rsidR="004A79ED" w:rsidRDefault="004A79ED" w:rsidP="0074566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4A79ED" w14:paraId="67BAB264" w14:textId="77777777" w:rsidTr="00745669">
            <w:tc>
              <w:tcPr>
                <w:tcW w:w="1833" w:type="dxa"/>
              </w:tcPr>
              <w:p w14:paraId="67BAB262" w14:textId="77777777" w:rsidR="004A79ED" w:rsidRPr="00623763" w:rsidRDefault="004A79ED" w:rsidP="00745669">
                <w:pPr>
                  <w:ind w:left="0"/>
                </w:pPr>
                <w:r w:rsidRPr="00623763">
                  <w:rPr>
                    <w:rFonts w:ascii="TradeGothic" w:hAnsi="TradeGothic"/>
                    <w:b/>
                  </w:rPr>
                  <w:t>Promemoria</w:t>
                </w:r>
              </w:p>
            </w:tc>
            <w:tc>
              <w:tcPr>
                <w:tcW w:w="1833" w:type="dxa"/>
              </w:tcPr>
              <w:p w14:paraId="67BAB263" w14:textId="21FBB991" w:rsidR="004A79ED" w:rsidRPr="00623763" w:rsidRDefault="004A79ED" w:rsidP="00745669">
                <w:pPr>
                  <w:ind w:left="0"/>
                </w:pPr>
                <w:r w:rsidRPr="00623763">
                  <w:rPr>
                    <w:rFonts w:ascii="TradeGothic" w:hAnsi="TradeGothic"/>
                    <w:b/>
                  </w:rPr>
                  <w:t>Vecka</w:t>
                </w:r>
                <w:r>
                  <w:rPr>
                    <w:rFonts w:ascii="TradeGothic" w:hAnsi="TradeGothic"/>
                    <w:b/>
                  </w:rPr>
                  <w:t xml:space="preserve"> </w:t>
                </w:r>
                <w:r>
                  <w:rPr>
                    <w:rFonts w:ascii="TradeGothic" w:hAnsi="TradeGothic"/>
                    <w:b/>
                    <w:noProof/>
                  </w:rPr>
                  <w:t>45</w:t>
                </w:r>
              </w:p>
            </w:tc>
          </w:tr>
        </w:tbl>
        <w:p w14:paraId="67BAB265" w14:textId="77777777" w:rsidR="004A79ED" w:rsidRDefault="004A79ED" w:rsidP="00745669">
          <w:pPr>
            <w:jc w:val="right"/>
          </w:pPr>
        </w:p>
        <w:p w14:paraId="67BAB266" w14:textId="77777777" w:rsidR="004A79ED" w:rsidRDefault="004A79ED" w:rsidP="00745669">
          <w:pPr>
            <w:ind w:right="916"/>
          </w:pPr>
          <w:r>
            <w:rPr>
              <w:rFonts w:ascii="TradeGothic" w:hAnsi="TradeGothic"/>
              <w:b/>
              <w:noProof/>
            </w:rPr>
            <w:t>2016-11-09</w:t>
          </w:r>
          <w:r w:rsidRPr="00934953">
            <w:t xml:space="preserve"> </w:t>
          </w:r>
        </w:p>
      </w:tc>
    </w:tr>
  </w:tbl>
  <w:p w14:paraId="67BAB268" w14:textId="77777777" w:rsidR="004A79ED" w:rsidRDefault="004A79ED" w:rsidP="00745669">
    <w:pPr>
      <w:pStyle w:val="Avsndare"/>
      <w:framePr w:w="0" w:hRule="auto" w:hSpace="0" w:wrap="auto" w:vAnchor="margin" w:hAnchor="text" w:xAlign="left" w:yAlign="inline"/>
      <w:rPr>
        <w:b/>
        <w:i w:val="0"/>
        <w:sz w:val="22"/>
      </w:rPr>
    </w:pPr>
  </w:p>
  <w:p w14:paraId="67BAB269" w14:textId="77777777" w:rsidR="004A79ED" w:rsidRDefault="004A79ED" w:rsidP="00745669">
    <w:pPr>
      <w:pStyle w:val="Avsndare"/>
      <w:framePr w:w="0" w:hRule="auto" w:hSpace="0" w:wrap="auto" w:vAnchor="margin" w:hAnchor="text" w:xAlign="left" w:yAlign="inline"/>
      <w:rPr>
        <w:b/>
        <w:i w:val="0"/>
        <w:sz w:val="22"/>
      </w:rPr>
    </w:pPr>
    <w:r>
      <w:rPr>
        <w:b/>
        <w:i w:val="0"/>
        <w:sz w:val="22"/>
      </w:rPr>
      <w:t>Statsrådsberedningen</w:t>
    </w:r>
  </w:p>
  <w:p w14:paraId="67BAB26A" w14:textId="77777777" w:rsidR="004A79ED" w:rsidRDefault="004A79ED" w:rsidP="00745669">
    <w:pPr>
      <w:pStyle w:val="Avsndare"/>
      <w:framePr w:w="0" w:hRule="auto" w:hSpace="0" w:wrap="auto" w:vAnchor="margin" w:hAnchor="text" w:xAlign="left" w:yAlign="inline"/>
    </w:pPr>
  </w:p>
  <w:p w14:paraId="67BAB26B" w14:textId="77777777" w:rsidR="004A79ED" w:rsidRDefault="004A79ED" w:rsidP="00745669">
    <w:pPr>
      <w:pStyle w:val="Avsndare"/>
      <w:framePr w:w="0" w:hRule="auto" w:hSpace="0" w:wrap="auto" w:vAnchor="margin" w:hAnchor="text" w:xAlign="left" w:yAlign="inline"/>
    </w:pPr>
    <w:r>
      <w:t>EU-kansliet</w:t>
    </w:r>
  </w:p>
  <w:p w14:paraId="67BAB26C" w14:textId="77777777" w:rsidR="004A79ED" w:rsidRDefault="004A79E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26DADE94">
      <w:start w:val="1"/>
      <w:numFmt w:val="decimal"/>
      <w:pStyle w:val="Rubrik1"/>
      <w:lvlText w:val="%1."/>
      <w:lvlJc w:val="left"/>
      <w:pPr>
        <w:ind w:left="720" w:hanging="360"/>
      </w:pPr>
    </w:lvl>
    <w:lvl w:ilvl="1" w:tplc="70B8D508" w:tentative="1">
      <w:start w:val="1"/>
      <w:numFmt w:val="lowerLetter"/>
      <w:lvlText w:val="%2."/>
      <w:lvlJc w:val="left"/>
      <w:pPr>
        <w:ind w:left="1440" w:hanging="360"/>
      </w:pPr>
    </w:lvl>
    <w:lvl w:ilvl="2" w:tplc="41EEBF68" w:tentative="1">
      <w:start w:val="1"/>
      <w:numFmt w:val="lowerRoman"/>
      <w:lvlText w:val="%3."/>
      <w:lvlJc w:val="right"/>
      <w:pPr>
        <w:ind w:left="2160" w:hanging="180"/>
      </w:pPr>
    </w:lvl>
    <w:lvl w:ilvl="3" w:tplc="79F2CDCE" w:tentative="1">
      <w:start w:val="1"/>
      <w:numFmt w:val="decimal"/>
      <w:lvlText w:val="%4."/>
      <w:lvlJc w:val="left"/>
      <w:pPr>
        <w:ind w:left="2880" w:hanging="360"/>
      </w:pPr>
    </w:lvl>
    <w:lvl w:ilvl="4" w:tplc="139CBF54" w:tentative="1">
      <w:start w:val="1"/>
      <w:numFmt w:val="lowerLetter"/>
      <w:lvlText w:val="%5."/>
      <w:lvlJc w:val="left"/>
      <w:pPr>
        <w:ind w:left="3600" w:hanging="360"/>
      </w:pPr>
    </w:lvl>
    <w:lvl w:ilvl="5" w:tplc="B4942B38" w:tentative="1">
      <w:start w:val="1"/>
      <w:numFmt w:val="lowerRoman"/>
      <w:lvlText w:val="%6."/>
      <w:lvlJc w:val="right"/>
      <w:pPr>
        <w:ind w:left="4320" w:hanging="180"/>
      </w:pPr>
    </w:lvl>
    <w:lvl w:ilvl="6" w:tplc="75F0FC80" w:tentative="1">
      <w:start w:val="1"/>
      <w:numFmt w:val="decimal"/>
      <w:lvlText w:val="%7."/>
      <w:lvlJc w:val="left"/>
      <w:pPr>
        <w:ind w:left="5040" w:hanging="360"/>
      </w:pPr>
    </w:lvl>
    <w:lvl w:ilvl="7" w:tplc="57EAFCEE" w:tentative="1">
      <w:start w:val="1"/>
      <w:numFmt w:val="lowerLetter"/>
      <w:lvlText w:val="%8."/>
      <w:lvlJc w:val="left"/>
      <w:pPr>
        <w:ind w:left="5760" w:hanging="360"/>
      </w:pPr>
    </w:lvl>
    <w:lvl w:ilvl="8" w:tplc="BEE013FE" w:tentative="1">
      <w:start w:val="1"/>
      <w:numFmt w:val="lowerRoman"/>
      <w:lvlText w:val="%9."/>
      <w:lvlJc w:val="right"/>
      <w:pPr>
        <w:ind w:left="6480" w:hanging="180"/>
      </w:pPr>
    </w:lvl>
  </w:abstractNum>
  <w:abstractNum w:abstractNumId="1">
    <w:nsid w:val="73990993"/>
    <w:multiLevelType w:val="hybridMultilevel"/>
    <w:tmpl w:val="3BD822EE"/>
    <w:lvl w:ilvl="0" w:tplc="1FA8C1DC">
      <w:start w:val="1"/>
      <w:numFmt w:val="decimal"/>
      <w:lvlText w:val="%1."/>
      <w:lvlJc w:val="left"/>
      <w:pPr>
        <w:ind w:left="360" w:hanging="360"/>
      </w:pPr>
      <w:rPr>
        <w:b w:val="0"/>
      </w:rPr>
    </w:lvl>
    <w:lvl w:ilvl="1" w:tplc="9606DCE2" w:tentative="1">
      <w:start w:val="1"/>
      <w:numFmt w:val="lowerLetter"/>
      <w:lvlText w:val="%2."/>
      <w:lvlJc w:val="left"/>
      <w:pPr>
        <w:ind w:left="1080" w:hanging="360"/>
      </w:pPr>
    </w:lvl>
    <w:lvl w:ilvl="2" w:tplc="816ECFF0" w:tentative="1">
      <w:start w:val="1"/>
      <w:numFmt w:val="lowerRoman"/>
      <w:lvlText w:val="%3."/>
      <w:lvlJc w:val="right"/>
      <w:pPr>
        <w:ind w:left="1800" w:hanging="180"/>
      </w:pPr>
    </w:lvl>
    <w:lvl w:ilvl="3" w:tplc="C712B11C" w:tentative="1">
      <w:start w:val="1"/>
      <w:numFmt w:val="decimal"/>
      <w:lvlText w:val="%4."/>
      <w:lvlJc w:val="left"/>
      <w:pPr>
        <w:ind w:left="2520" w:hanging="360"/>
      </w:pPr>
    </w:lvl>
    <w:lvl w:ilvl="4" w:tplc="12F0F26E" w:tentative="1">
      <w:start w:val="1"/>
      <w:numFmt w:val="lowerLetter"/>
      <w:lvlText w:val="%5."/>
      <w:lvlJc w:val="left"/>
      <w:pPr>
        <w:ind w:left="3240" w:hanging="360"/>
      </w:pPr>
    </w:lvl>
    <w:lvl w:ilvl="5" w:tplc="1E724FD6" w:tentative="1">
      <w:start w:val="1"/>
      <w:numFmt w:val="lowerRoman"/>
      <w:lvlText w:val="%6."/>
      <w:lvlJc w:val="right"/>
      <w:pPr>
        <w:ind w:left="3960" w:hanging="180"/>
      </w:pPr>
    </w:lvl>
    <w:lvl w:ilvl="6" w:tplc="4176A372" w:tentative="1">
      <w:start w:val="1"/>
      <w:numFmt w:val="decimal"/>
      <w:lvlText w:val="%7."/>
      <w:lvlJc w:val="left"/>
      <w:pPr>
        <w:ind w:left="4680" w:hanging="360"/>
      </w:pPr>
    </w:lvl>
    <w:lvl w:ilvl="7" w:tplc="DF9283F8" w:tentative="1">
      <w:start w:val="1"/>
      <w:numFmt w:val="lowerLetter"/>
      <w:lvlText w:val="%8."/>
      <w:lvlJc w:val="left"/>
      <w:pPr>
        <w:ind w:left="5400" w:hanging="360"/>
      </w:pPr>
    </w:lvl>
    <w:lvl w:ilvl="8" w:tplc="5928B5E2"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7A"/>
    <w:rsid w:val="001A712C"/>
    <w:rsid w:val="0022244C"/>
    <w:rsid w:val="002C4B89"/>
    <w:rsid w:val="003B1E8C"/>
    <w:rsid w:val="004A79ED"/>
    <w:rsid w:val="00503FCA"/>
    <w:rsid w:val="006568C0"/>
    <w:rsid w:val="00745669"/>
    <w:rsid w:val="00803760"/>
    <w:rsid w:val="00882D3F"/>
    <w:rsid w:val="008A3B7B"/>
    <w:rsid w:val="00930BF1"/>
    <w:rsid w:val="009A197A"/>
    <w:rsid w:val="00D9267A"/>
    <w:rsid w:val="00E34E76"/>
    <w:rsid w:val="00E93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0846">
      <w:bodyDiv w:val="1"/>
      <w:marLeft w:val="0"/>
      <w:marRight w:val="0"/>
      <w:marTop w:val="0"/>
      <w:marBottom w:val="0"/>
      <w:divBdr>
        <w:top w:val="none" w:sz="0" w:space="0" w:color="auto"/>
        <w:left w:val="none" w:sz="0" w:space="0" w:color="auto"/>
        <w:bottom w:val="none" w:sz="0" w:space="0" w:color="auto"/>
        <w:right w:val="none" w:sz="0" w:space="0" w:color="auto"/>
      </w:divBdr>
    </w:div>
    <w:div w:id="729810048">
      <w:bodyDiv w:val="1"/>
      <w:marLeft w:val="0"/>
      <w:marRight w:val="0"/>
      <w:marTop w:val="0"/>
      <w:marBottom w:val="0"/>
      <w:divBdr>
        <w:top w:val="none" w:sz="0" w:space="0" w:color="auto"/>
        <w:left w:val="none" w:sz="0" w:space="0" w:color="auto"/>
        <w:bottom w:val="none" w:sz="0" w:space="0" w:color="auto"/>
        <w:right w:val="none" w:sz="0" w:space="0" w:color="auto"/>
      </w:divBdr>
    </w:div>
    <w:div w:id="797067790">
      <w:bodyDiv w:val="1"/>
      <w:marLeft w:val="0"/>
      <w:marRight w:val="0"/>
      <w:marTop w:val="0"/>
      <w:marBottom w:val="0"/>
      <w:divBdr>
        <w:top w:val="none" w:sz="0" w:space="0" w:color="auto"/>
        <w:left w:val="none" w:sz="0" w:space="0" w:color="auto"/>
        <w:bottom w:val="none" w:sz="0" w:space="0" w:color="auto"/>
        <w:right w:val="none" w:sz="0" w:space="0" w:color="auto"/>
      </w:divBdr>
    </w:div>
    <w:div w:id="825245798">
      <w:bodyDiv w:val="1"/>
      <w:marLeft w:val="0"/>
      <w:marRight w:val="0"/>
      <w:marTop w:val="0"/>
      <w:marBottom w:val="0"/>
      <w:divBdr>
        <w:top w:val="none" w:sz="0" w:space="0" w:color="auto"/>
        <w:left w:val="none" w:sz="0" w:space="0" w:color="auto"/>
        <w:bottom w:val="none" w:sz="0" w:space="0" w:color="auto"/>
        <w:right w:val="none" w:sz="0" w:space="0" w:color="auto"/>
      </w:divBdr>
      <w:divsChild>
        <w:div w:id="2145806628">
          <w:marLeft w:val="0"/>
          <w:marRight w:val="0"/>
          <w:marTop w:val="0"/>
          <w:marBottom w:val="0"/>
          <w:divBdr>
            <w:top w:val="none" w:sz="0" w:space="0" w:color="auto"/>
            <w:left w:val="none" w:sz="0" w:space="0" w:color="auto"/>
            <w:bottom w:val="none" w:sz="0" w:space="0" w:color="auto"/>
            <w:right w:val="none" w:sz="0" w:space="0" w:color="auto"/>
          </w:divBdr>
          <w:divsChild>
            <w:div w:id="175654873">
              <w:marLeft w:val="0"/>
              <w:marRight w:val="0"/>
              <w:marTop w:val="0"/>
              <w:marBottom w:val="0"/>
              <w:divBdr>
                <w:top w:val="none" w:sz="0" w:space="0" w:color="auto"/>
                <w:left w:val="none" w:sz="0" w:space="0" w:color="auto"/>
                <w:bottom w:val="none" w:sz="0" w:space="0" w:color="auto"/>
                <w:right w:val="none" w:sz="0" w:space="0" w:color="auto"/>
              </w:divBdr>
              <w:divsChild>
                <w:div w:id="784691568">
                  <w:marLeft w:val="0"/>
                  <w:marRight w:val="0"/>
                  <w:marTop w:val="0"/>
                  <w:marBottom w:val="0"/>
                  <w:divBdr>
                    <w:top w:val="none" w:sz="0" w:space="0" w:color="auto"/>
                    <w:left w:val="none" w:sz="0" w:space="0" w:color="auto"/>
                    <w:bottom w:val="none" w:sz="0" w:space="0" w:color="auto"/>
                    <w:right w:val="none" w:sz="0" w:space="0" w:color="auto"/>
                  </w:divBdr>
                  <w:divsChild>
                    <w:div w:id="1357852957">
                      <w:marLeft w:val="0"/>
                      <w:marRight w:val="0"/>
                      <w:marTop w:val="0"/>
                      <w:marBottom w:val="0"/>
                      <w:divBdr>
                        <w:top w:val="none" w:sz="0" w:space="0" w:color="auto"/>
                        <w:left w:val="none" w:sz="0" w:space="0" w:color="auto"/>
                        <w:bottom w:val="none" w:sz="0" w:space="0" w:color="auto"/>
                        <w:right w:val="none" w:sz="0" w:space="0" w:color="auto"/>
                      </w:divBdr>
                      <w:divsChild>
                        <w:div w:id="122576071">
                          <w:marLeft w:val="2325"/>
                          <w:marRight w:val="0"/>
                          <w:marTop w:val="0"/>
                          <w:marBottom w:val="0"/>
                          <w:divBdr>
                            <w:top w:val="none" w:sz="0" w:space="0" w:color="auto"/>
                            <w:left w:val="none" w:sz="0" w:space="0" w:color="auto"/>
                            <w:bottom w:val="none" w:sz="0" w:space="0" w:color="auto"/>
                            <w:right w:val="none" w:sz="0" w:space="0" w:color="auto"/>
                          </w:divBdr>
                          <w:divsChild>
                            <w:div w:id="1296260062">
                              <w:marLeft w:val="0"/>
                              <w:marRight w:val="0"/>
                              <w:marTop w:val="0"/>
                              <w:marBottom w:val="0"/>
                              <w:divBdr>
                                <w:top w:val="none" w:sz="0" w:space="0" w:color="auto"/>
                                <w:left w:val="none" w:sz="0" w:space="0" w:color="auto"/>
                                <w:bottom w:val="none" w:sz="0" w:space="0" w:color="auto"/>
                                <w:right w:val="none" w:sz="0" w:space="0" w:color="auto"/>
                              </w:divBdr>
                              <w:divsChild>
                                <w:div w:id="1245720057">
                                  <w:marLeft w:val="0"/>
                                  <w:marRight w:val="0"/>
                                  <w:marTop w:val="0"/>
                                  <w:marBottom w:val="0"/>
                                  <w:divBdr>
                                    <w:top w:val="none" w:sz="0" w:space="0" w:color="auto"/>
                                    <w:left w:val="none" w:sz="0" w:space="0" w:color="auto"/>
                                    <w:bottom w:val="none" w:sz="0" w:space="0" w:color="auto"/>
                                    <w:right w:val="none" w:sz="0" w:space="0" w:color="auto"/>
                                  </w:divBdr>
                                  <w:divsChild>
                                    <w:div w:id="1252157065">
                                      <w:marLeft w:val="0"/>
                                      <w:marRight w:val="0"/>
                                      <w:marTop w:val="0"/>
                                      <w:marBottom w:val="0"/>
                                      <w:divBdr>
                                        <w:top w:val="none" w:sz="0" w:space="0" w:color="auto"/>
                                        <w:left w:val="none" w:sz="0" w:space="0" w:color="auto"/>
                                        <w:bottom w:val="none" w:sz="0" w:space="0" w:color="auto"/>
                                        <w:right w:val="none" w:sz="0" w:space="0" w:color="auto"/>
                                      </w:divBdr>
                                      <w:divsChild>
                                        <w:div w:id="982462286">
                                          <w:marLeft w:val="480"/>
                                          <w:marRight w:val="0"/>
                                          <w:marTop w:val="0"/>
                                          <w:marBottom w:val="0"/>
                                          <w:divBdr>
                                            <w:top w:val="none" w:sz="0" w:space="0" w:color="auto"/>
                                            <w:left w:val="none" w:sz="0" w:space="0" w:color="auto"/>
                                            <w:bottom w:val="none" w:sz="0" w:space="0" w:color="auto"/>
                                            <w:right w:val="none" w:sz="0" w:space="0" w:color="auto"/>
                                          </w:divBdr>
                                          <w:divsChild>
                                            <w:div w:id="1804881900">
                                              <w:marLeft w:val="0"/>
                                              <w:marRight w:val="0"/>
                                              <w:marTop w:val="0"/>
                                              <w:marBottom w:val="0"/>
                                              <w:divBdr>
                                                <w:top w:val="none" w:sz="0" w:space="0" w:color="auto"/>
                                                <w:left w:val="none" w:sz="0" w:space="0" w:color="auto"/>
                                                <w:bottom w:val="none" w:sz="0" w:space="0" w:color="auto"/>
                                                <w:right w:val="none" w:sz="0" w:space="0" w:color="auto"/>
                                              </w:divBdr>
                                              <w:divsChild>
                                                <w:div w:id="1040473064">
                                                  <w:marLeft w:val="0"/>
                                                  <w:marRight w:val="0"/>
                                                  <w:marTop w:val="0"/>
                                                  <w:marBottom w:val="0"/>
                                                  <w:divBdr>
                                                    <w:top w:val="none" w:sz="0" w:space="0" w:color="auto"/>
                                                    <w:left w:val="none" w:sz="0" w:space="0" w:color="auto"/>
                                                    <w:bottom w:val="none" w:sz="0" w:space="0" w:color="auto"/>
                                                    <w:right w:val="none" w:sz="0" w:space="0" w:color="auto"/>
                                                  </w:divBdr>
                                                  <w:divsChild>
                                                    <w:div w:id="717750394">
                                                      <w:marLeft w:val="0"/>
                                                      <w:marRight w:val="0"/>
                                                      <w:marTop w:val="0"/>
                                                      <w:marBottom w:val="0"/>
                                                      <w:divBdr>
                                                        <w:top w:val="none" w:sz="0" w:space="0" w:color="auto"/>
                                                        <w:left w:val="none" w:sz="0" w:space="0" w:color="auto"/>
                                                        <w:bottom w:val="none" w:sz="0" w:space="0" w:color="auto"/>
                                                        <w:right w:val="none" w:sz="0" w:space="0" w:color="auto"/>
                                                      </w:divBdr>
                                                      <w:divsChild>
                                                        <w:div w:id="1067454196">
                                                          <w:marLeft w:val="0"/>
                                                          <w:marRight w:val="0"/>
                                                          <w:marTop w:val="0"/>
                                                          <w:marBottom w:val="0"/>
                                                          <w:divBdr>
                                                            <w:top w:val="none" w:sz="0" w:space="0" w:color="auto"/>
                                                            <w:left w:val="none" w:sz="0" w:space="0" w:color="auto"/>
                                                            <w:bottom w:val="none" w:sz="0" w:space="0" w:color="auto"/>
                                                            <w:right w:val="none" w:sz="0" w:space="0" w:color="auto"/>
                                                          </w:divBdr>
                                                          <w:divsChild>
                                                            <w:div w:id="1532693309">
                                                              <w:marLeft w:val="0"/>
                                                              <w:marRight w:val="0"/>
                                                              <w:marTop w:val="0"/>
                                                              <w:marBottom w:val="0"/>
                                                              <w:divBdr>
                                                                <w:top w:val="none" w:sz="0" w:space="0" w:color="auto"/>
                                                                <w:left w:val="none" w:sz="0" w:space="0" w:color="auto"/>
                                                                <w:bottom w:val="none" w:sz="0" w:space="0" w:color="auto"/>
                                                                <w:right w:val="none" w:sz="0" w:space="0" w:color="auto"/>
                                                              </w:divBdr>
                                                              <w:divsChild>
                                                                <w:div w:id="856508397">
                                                                  <w:marLeft w:val="0"/>
                                                                  <w:marRight w:val="0"/>
                                                                  <w:marTop w:val="0"/>
                                                                  <w:marBottom w:val="0"/>
                                                                  <w:divBdr>
                                                                    <w:top w:val="none" w:sz="0" w:space="0" w:color="auto"/>
                                                                    <w:left w:val="none" w:sz="0" w:space="0" w:color="auto"/>
                                                                    <w:bottom w:val="none" w:sz="0" w:space="0" w:color="auto"/>
                                                                    <w:right w:val="none" w:sz="0" w:space="0" w:color="auto"/>
                                                                  </w:divBdr>
                                                                  <w:divsChild>
                                                                    <w:div w:id="2146266805">
                                                                      <w:marLeft w:val="0"/>
                                                                      <w:marRight w:val="0"/>
                                                                      <w:marTop w:val="0"/>
                                                                      <w:marBottom w:val="0"/>
                                                                      <w:divBdr>
                                                                        <w:top w:val="none" w:sz="0" w:space="0" w:color="auto"/>
                                                                        <w:left w:val="none" w:sz="0" w:space="0" w:color="auto"/>
                                                                        <w:bottom w:val="none" w:sz="0" w:space="0" w:color="auto"/>
                                                                        <w:right w:val="none" w:sz="0" w:space="0" w:color="auto"/>
                                                                      </w:divBdr>
                                                                      <w:divsChild>
                                                                        <w:div w:id="491605763">
                                                                          <w:marLeft w:val="0"/>
                                                                          <w:marRight w:val="0"/>
                                                                          <w:marTop w:val="96"/>
                                                                          <w:marBottom w:val="0"/>
                                                                          <w:divBdr>
                                                                            <w:top w:val="none" w:sz="0" w:space="0" w:color="auto"/>
                                                                            <w:left w:val="none" w:sz="0" w:space="0" w:color="auto"/>
                                                                            <w:bottom w:val="none" w:sz="0" w:space="0" w:color="auto"/>
                                                                            <w:right w:val="none" w:sz="0" w:space="0" w:color="auto"/>
                                                                          </w:divBdr>
                                                                          <w:divsChild>
                                                                            <w:div w:id="1960410458">
                                                                              <w:marLeft w:val="0"/>
                                                                              <w:marRight w:val="0"/>
                                                                              <w:marTop w:val="72"/>
                                                                              <w:marBottom w:val="0"/>
                                                                              <w:divBdr>
                                                                                <w:top w:val="none" w:sz="0" w:space="0" w:color="auto"/>
                                                                                <w:left w:val="none" w:sz="0" w:space="0" w:color="auto"/>
                                                                                <w:bottom w:val="none" w:sz="0" w:space="0" w:color="auto"/>
                                                                                <w:right w:val="none" w:sz="0" w:space="0" w:color="auto"/>
                                                                              </w:divBdr>
                                                                            </w:div>
                                                                          </w:divsChild>
                                                                        </w:div>
                                                                        <w:div w:id="1778862579">
                                                                          <w:marLeft w:val="0"/>
                                                                          <w:marRight w:val="0"/>
                                                                          <w:marTop w:val="96"/>
                                                                          <w:marBottom w:val="0"/>
                                                                          <w:divBdr>
                                                                            <w:top w:val="none" w:sz="0" w:space="0" w:color="auto"/>
                                                                            <w:left w:val="none" w:sz="0" w:space="0" w:color="auto"/>
                                                                            <w:bottom w:val="none" w:sz="0" w:space="0" w:color="auto"/>
                                                                            <w:right w:val="none" w:sz="0" w:space="0" w:color="auto"/>
                                                                          </w:divBdr>
                                                                          <w:divsChild>
                                                                            <w:div w:id="14810018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8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JE6N4JFJXNNF-17-42107</_dlc_DocId>
    <_dlc_DocIdUrl xmlns="8b66ae41-1ec6-402e-b662-35d1932ca064">
      <Url>http://rkdhs-sb/enhet/EUKansli/_layouts/DocIdRedir.aspx?ID=JE6N4JFJXNNF-17-42107</Url>
      <Description>JE6N4JFJXNNF-17-42107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BCD56-76E6-42C8-8080-51F7B5369E31}"/>
</file>

<file path=customXml/itemProps2.xml><?xml version="1.0" encoding="utf-8"?>
<ds:datastoreItem xmlns:ds="http://schemas.openxmlformats.org/officeDocument/2006/customXml" ds:itemID="{BAF30C94-5BE5-42FD-964F-7B92F6BBE0F3}"/>
</file>

<file path=customXml/itemProps3.xml><?xml version="1.0" encoding="utf-8"?>
<ds:datastoreItem xmlns:ds="http://schemas.openxmlformats.org/officeDocument/2006/customXml" ds:itemID="{6437FE67-541C-419E-852D-8AFA188E19A9}"/>
</file>

<file path=customXml/itemProps4.xml><?xml version="1.0" encoding="utf-8"?>
<ds:datastoreItem xmlns:ds="http://schemas.openxmlformats.org/officeDocument/2006/customXml" ds:itemID="{81D48FF4-FD0E-422E-B76C-737E9AA68519}"/>
</file>

<file path=customXml/itemProps5.xml><?xml version="1.0" encoding="utf-8"?>
<ds:datastoreItem xmlns:ds="http://schemas.openxmlformats.org/officeDocument/2006/customXml" ds:itemID="{45C5A78B-4DCD-4D47-91D9-02E8807D5CD5}"/>
</file>

<file path=customXml/itemProps6.xml><?xml version="1.0" encoding="utf-8"?>
<ds:datastoreItem xmlns:ds="http://schemas.openxmlformats.org/officeDocument/2006/customXml" ds:itemID="{5A89430E-7F7C-4A3B-BD91-38A2E7067CFD}"/>
</file>

<file path=customXml/itemProps7.xml><?xml version="1.0" encoding="utf-8"?>
<ds:datastoreItem xmlns:ds="http://schemas.openxmlformats.org/officeDocument/2006/customXml" ds:itemID="{D65F61FC-3C6F-4B55-97AF-5B46F23B5FF2}"/>
</file>

<file path=docProps/app.xml><?xml version="1.0" encoding="utf-8"?>
<Properties xmlns="http://schemas.openxmlformats.org/officeDocument/2006/extended-properties" xmlns:vt="http://schemas.openxmlformats.org/officeDocument/2006/docPropsVTypes">
  <Template>Normal</Template>
  <TotalTime>0</TotalTime>
  <Pages>18</Pages>
  <Words>8412</Words>
  <Characters>44589</Characters>
  <Application>Microsoft Office Word</Application>
  <DocSecurity>0</DocSecurity>
  <Lines>371</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cp:lastPrinted>2016-11-09T09:33:00Z</cp:lastPrinted>
  <dcterms:created xsi:type="dcterms:W3CDTF">2016-11-09T11:03:00Z</dcterms:created>
  <dcterms:modified xsi:type="dcterms:W3CDTF">2016-11-09T11:03:00Z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i:0#.w|rk\lgn0716a</vt:lpwstr>
  </property>
  <property fmtid="{D5CDD505-2E9C-101B-9397-08002B2CF9AE}" pid="4" name="MRelatedAgendaItemIds">
    <vt:lpwstr>1,2,7,8,9,10,11,12,13,16,17,18,19,20,21,22,24,25,26,27,28,29,30,31,32,33,34,69,35,37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34f6ec98-a636-479c-af1a-b6bb5e668a2a</vt:lpwstr>
  </property>
</Properties>
</file>