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584E20C74C492A98CC13F580AA9C31"/>
        </w:placeholder>
        <w:text/>
      </w:sdtPr>
      <w:sdtEndPr/>
      <w:sdtContent>
        <w:p w:rsidRPr="009B062B" w:rsidR="00AF30DD" w:rsidP="00DA28CE" w:rsidRDefault="00AF30DD" w14:paraId="2EB937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9bba4c-6788-48be-898d-78961cfb1d26"/>
        <w:id w:val="-498574641"/>
        <w:lock w:val="sdtLocked"/>
      </w:sdtPr>
      <w:sdtEndPr/>
      <w:sdtContent>
        <w:p w:rsidR="006B029B" w:rsidRDefault="00BD2DC3" w14:paraId="12A36C1F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lag om ändring i lagen (2004:773) om kommunalekonomisk utjämning.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C07C75B6154B17843C014F83A08BE7"/>
        </w:placeholder>
        <w:text/>
      </w:sdtPr>
      <w:sdtEndPr/>
      <w:sdtContent>
        <w:p w:rsidRPr="009B062B" w:rsidR="006D79C9" w:rsidP="00333E95" w:rsidRDefault="006D79C9" w14:paraId="22779FC1" w14:textId="77777777">
          <w:pPr>
            <w:pStyle w:val="Rubrik1"/>
          </w:pPr>
          <w:r>
            <w:t>Motivering</w:t>
          </w:r>
        </w:p>
      </w:sdtContent>
    </w:sdt>
    <w:p w:rsidR="006E1F01" w:rsidP="0026543A" w:rsidRDefault="006E1F01" w14:paraId="62387552" w14:textId="053BAEFD">
      <w:pPr>
        <w:pStyle w:val="Normalutanindragellerluft"/>
      </w:pPr>
      <w:r>
        <w:t>Sveriges kommuner förtjänar långsiktiga planeringsförutsättningar. Det är därför inte förvånande att det finns en utbredd kritik mot att regeringen i den aktuella propositionen från september månad föreslår att med bara fyra månaders varsel genomföra stora ändringar i kostnadsutjämningen inom den kommunalekonomiska utjämningen. I propositionen föreslås bl</w:t>
      </w:r>
      <w:r w:rsidR="0026543A">
        <w:t>.a.</w:t>
      </w:r>
      <w:r>
        <w:t xml:space="preserve"> tre nya delmodeller – en för kommunal vuxenutbildning, en för infrastruktur och skydd respektive en för verksamhetsövergripande kostnader – samtidigt som delmodellerna för barn och ungdomar med utländsk bakgrund, befolk</w:t>
      </w:r>
      <w:bookmarkStart w:name="_GoBack" w:id="1"/>
      <w:bookmarkEnd w:id="1"/>
      <w:r>
        <w:t>ningsförändringar, bebyggelsestruktur och löner föreslås utgå.</w:t>
      </w:r>
    </w:p>
    <w:p w:rsidRPr="006E1F01" w:rsidR="006E1F01" w:rsidP="006E1F01" w:rsidRDefault="006E1F01" w14:paraId="2AF9AC33" w14:textId="574BDF14">
      <w:r w:rsidRPr="006E1F01">
        <w:t xml:space="preserve">Eftersom kommunernas och landstingens budgetarbete inför 2020 redan i september var mycket långt </w:t>
      </w:r>
      <w:proofErr w:type="spellStart"/>
      <w:r w:rsidRPr="006E1F01">
        <w:t>g</w:t>
      </w:r>
      <w:r w:rsidR="0026543A">
        <w:t>å</w:t>
      </w:r>
      <w:r w:rsidRPr="006E1F01">
        <w:t>nget</w:t>
      </w:r>
      <w:proofErr w:type="spellEnd"/>
      <w:r w:rsidRPr="006E1F01">
        <w:t xml:space="preserve"> kan vi konstatera att det är omöjligt för kommunsektorn att förbereda sig på effekterna av det nya systemet. Därutöver innehåller förslaget i propositionen förändringar jämfört med förslaget i SOU 2018:74 Lite mer lika </w:t>
      </w:r>
      <w:r w:rsidR="0026543A">
        <w:t xml:space="preserve">– </w:t>
      </w:r>
      <w:r w:rsidRPr="006E1F01">
        <w:t>Översyn av kostnadsutjämningen för kommuner och landsting</w:t>
      </w:r>
      <w:r w:rsidR="0026543A">
        <w:t>,</w:t>
      </w:r>
      <w:r w:rsidRPr="006E1F01">
        <w:t xml:space="preserve"> vilket ytterligare – inte minst tillsammans med det faktum att propositionen inte innehåller några beräkningar </w:t>
      </w:r>
      <w:r w:rsidR="0026543A">
        <w:lastRenderedPageBreak/>
        <w:t>av</w:t>
      </w:r>
      <w:r w:rsidRPr="006E1F01">
        <w:t xml:space="preserve"> vad förslaget innebär för enskilda kommuner och regioner – slår mot kommuners och regioners planeringsförutsättningar. Preliminära utfalls</w:t>
      </w:r>
      <w:r w:rsidR="0026543A">
        <w:t>s</w:t>
      </w:r>
      <w:r w:rsidRPr="006E1F01">
        <w:t>iffror tillgängliggjordes i</w:t>
      </w:r>
      <w:r w:rsidR="0026543A">
        <w:t xml:space="preserve"> </w:t>
      </w:r>
      <w:r w:rsidRPr="006E1F01">
        <w:t>stället först i månadsskiftet september</w:t>
      </w:r>
      <w:r w:rsidR="0026543A">
        <w:t>/</w:t>
      </w:r>
      <w:r w:rsidRPr="006E1F01">
        <w:t xml:space="preserve">oktober och visar exempelvis att Region Stockholm får betala 2,6 miljarder mer än under innevarande år varav en 1 miljard mer än regionen tidigare fått information om. Så stora förändringar går inte att genomföra så snabbt. Detta är skäl nog att i detta läge avslå regeringens </w:t>
      </w:r>
      <w:bookmarkStart w:name="_Hlk22218401" w:id="2"/>
      <w:r w:rsidRPr="006E1F01">
        <w:t>proposition</w:t>
      </w:r>
      <w:bookmarkEnd w:id="2"/>
      <w:r w:rsidRPr="006E1F01">
        <w:t>.</w:t>
      </w:r>
    </w:p>
    <w:p w:rsidRPr="006E1F01" w:rsidR="006E1F01" w:rsidP="006E1F01" w:rsidRDefault="006E1F01" w14:paraId="474FD919" w14:textId="5DA67E65">
      <w:r w:rsidRPr="006E1F01">
        <w:t xml:space="preserve">Det finns dock ytterligare skäl. För det första slår </w:t>
      </w:r>
      <w:r w:rsidRPr="006E1F01" w:rsidR="0026543A">
        <w:t>proposition</w:t>
      </w:r>
      <w:r w:rsidRPr="006E1F01">
        <w:t>en i flera fall mot de regionala tillväxtmotorer som residensstäder och medelstora kommuner ofta utgör</w:t>
      </w:r>
      <w:r>
        <w:t>.</w:t>
      </w:r>
      <w:r w:rsidRPr="006E1F01">
        <w:t xml:space="preserve"> Det är en olycklig ordning som riskerar att försvaga tillväxtförutsättningarna i hela landet. Kommuner såsom Luleå, Karlstad och Örnsköldsvik ska inte behöva drabbas särskilt hårt utan behöver i</w:t>
      </w:r>
      <w:r w:rsidR="0026543A">
        <w:t xml:space="preserve"> </w:t>
      </w:r>
      <w:r w:rsidRPr="006E1F01">
        <w:t xml:space="preserve">stället få rätt villkor för att kunna bidra till tillväxt i hela Sverige. </w:t>
      </w:r>
    </w:p>
    <w:p w:rsidRPr="006E1F01" w:rsidR="006E1F01" w:rsidP="0026543A" w:rsidRDefault="006E1F01" w14:paraId="5D48733D" w14:textId="6B4AE0E1">
      <w:r w:rsidRPr="006E1F01">
        <w:t>För det andra löser inte propositionen de grundläggande problem som finns i dagens utjämning</w:t>
      </w:r>
      <w:r w:rsidR="0026543A">
        <w:t>s</w:t>
      </w:r>
      <w:r w:rsidRPr="006E1F01">
        <w:t xml:space="preserve">system och i ansvarsfördelningen mellan stat och kommun. I stället för </w:t>
      </w:r>
      <w:r w:rsidR="0026543A">
        <w:t>att</w:t>
      </w:r>
      <w:r w:rsidRPr="006E1F01">
        <w:t xml:space="preserve"> </w:t>
      </w:r>
      <w:r w:rsidRPr="006E1F01" w:rsidR="0026543A">
        <w:t>förändringar</w:t>
      </w:r>
      <w:r w:rsidR="0026543A">
        <w:t xml:space="preserve"> </w:t>
      </w:r>
      <w:r w:rsidRPr="006E1F01">
        <w:t>hasta</w:t>
      </w:r>
      <w:r w:rsidR="0026543A">
        <w:t>s</w:t>
      </w:r>
      <w:r w:rsidRPr="006E1F01">
        <w:t xml:space="preserve"> igenom bör ett bredare grepp tas kring dagens kostnads- och inkomstutjämning, hur och av vem skatter tas ut samt ansvarsfördelningen mellan stat</w:t>
      </w:r>
      <w:r w:rsidR="0026543A">
        <w:t>en</w:t>
      </w:r>
      <w:r w:rsidRPr="006E1F01">
        <w:t xml:space="preserve"> och kommunsektorn. Det finns exempelvis särskilt skäl att överväga hur ett ökat statligt ansvar för skolan kan bidra till att jämna </w:t>
      </w:r>
      <w:r w:rsidR="0026543A">
        <w:t xml:space="preserve">ut </w:t>
      </w:r>
      <w:r w:rsidRPr="006E1F01">
        <w:t>de ekonomiska förutsättningarna för Sveriges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27BB7A8D305342BA97E8449046CB6EE4"/>
        </w:placeholder>
      </w:sdtPr>
      <w:sdtEndPr/>
      <w:sdtContent>
        <w:p w:rsidR="006E1F01" w:rsidP="003E1736" w:rsidRDefault="006E1F01" w14:paraId="41757568" w14:textId="77777777"/>
        <w:p w:rsidRPr="008E0FE2" w:rsidR="004801AC" w:rsidP="003E1736" w:rsidRDefault="008F3E13" w14:paraId="5225FF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59346B" w:rsidRDefault="0059346B" w14:paraId="7BFC6800" w14:textId="77777777"/>
    <w:sectPr w:rsidR="005934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4744" w14:textId="77777777" w:rsidR="006E1F01" w:rsidRDefault="006E1F01" w:rsidP="000C1CAD">
      <w:pPr>
        <w:spacing w:line="240" w:lineRule="auto"/>
      </w:pPr>
      <w:r>
        <w:separator/>
      </w:r>
    </w:p>
  </w:endnote>
  <w:endnote w:type="continuationSeparator" w:id="0">
    <w:p w14:paraId="0707FCD5" w14:textId="77777777" w:rsidR="006E1F01" w:rsidRDefault="006E1F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85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EA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173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49335" w14:textId="77777777" w:rsidR="00262EA3" w:rsidRPr="003E1736" w:rsidRDefault="00262EA3" w:rsidP="003E17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E0AE5" w14:textId="77777777" w:rsidR="006E1F01" w:rsidRDefault="006E1F01" w:rsidP="000C1CAD">
      <w:pPr>
        <w:spacing w:line="240" w:lineRule="auto"/>
      </w:pPr>
      <w:r>
        <w:separator/>
      </w:r>
    </w:p>
  </w:footnote>
  <w:footnote w:type="continuationSeparator" w:id="0">
    <w:p w14:paraId="2299CB4A" w14:textId="77777777" w:rsidR="006E1F01" w:rsidRDefault="006E1F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63EB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39D1DA" wp14:anchorId="0627E2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3E13" w14:paraId="1C8806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76B9FBB3BB42D9B1EB95A35F01A938"/>
                              </w:placeholder>
                              <w:text/>
                            </w:sdtPr>
                            <w:sdtEndPr/>
                            <w:sdtContent>
                              <w:r w:rsidR="006E1F0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0C62F809984E1C95028DADF035CE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27E2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3E13" w14:paraId="1C8806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76B9FBB3BB42D9B1EB95A35F01A938"/>
                        </w:placeholder>
                        <w:text/>
                      </w:sdtPr>
                      <w:sdtEndPr/>
                      <w:sdtContent>
                        <w:r w:rsidR="006E1F0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0C62F809984E1C95028DADF035CE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4E32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07D2EB" w14:textId="77777777">
    <w:pPr>
      <w:jc w:val="right"/>
    </w:pPr>
  </w:p>
  <w:p w:rsidR="00262EA3" w:rsidP="00776B74" w:rsidRDefault="00262EA3" w14:paraId="3E3378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F3E13" w14:paraId="6F740C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A0451C" wp14:anchorId="1C3468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3E13" w14:paraId="520E69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1F0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3E13" w14:paraId="0DDEFA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3E13" w14:paraId="3E4DD6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:3383</w:t>
        </w:r>
      </w:sdtContent>
    </w:sdt>
  </w:p>
  <w:p w:rsidR="00262EA3" w:rsidP="00E03A3D" w:rsidRDefault="008F3E13" w14:paraId="4B2ADC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Persson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1F01" w14:paraId="4654E341" w14:textId="77777777">
        <w:pPr>
          <w:pStyle w:val="FSHRub2"/>
        </w:pPr>
        <w:r>
          <w:t>med anledning av prop. 2019/20:11 Ändringar i kostnadsutjämningen för kommuner och landsting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9F1E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E1F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89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43A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736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346B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29B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1F01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1ED7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13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B97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488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DC3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24A7D1"/>
  <w15:chartTrackingRefBased/>
  <w15:docId w15:val="{A21C210F-B86B-48A8-8143-4C3A59A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584E20C74C492A98CC13F580AA9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714A0-4D85-4014-994A-7260031B1B67}"/>
      </w:docPartPr>
      <w:docPartBody>
        <w:p w:rsidR="00A70EEB" w:rsidRDefault="00A70EEB">
          <w:pPr>
            <w:pStyle w:val="A3584E20C74C492A98CC13F580AA9C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C07C75B6154B17843C014F83A08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B7B8E-CB34-43DE-B4CD-D190F3A57283}"/>
      </w:docPartPr>
      <w:docPartBody>
        <w:p w:rsidR="00A70EEB" w:rsidRDefault="00A70EEB">
          <w:pPr>
            <w:pStyle w:val="E1C07C75B6154B17843C014F83A08B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76B9FBB3BB42D9B1EB95A35F01A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62C5-88A5-455E-AEAD-4DAA6F51AF52}"/>
      </w:docPartPr>
      <w:docPartBody>
        <w:p w:rsidR="00A70EEB" w:rsidRDefault="00A70EEB">
          <w:pPr>
            <w:pStyle w:val="A676B9FBB3BB42D9B1EB95A35F01A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C62F809984E1C95028DADF035C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63778-9EFC-437D-A45A-A44C36248089}"/>
      </w:docPartPr>
      <w:docPartBody>
        <w:p w:rsidR="00A70EEB" w:rsidRDefault="00A70EEB">
          <w:pPr>
            <w:pStyle w:val="3B0C62F809984E1C95028DADF035CE08"/>
          </w:pPr>
          <w:r>
            <w:t xml:space="preserve"> </w:t>
          </w:r>
        </w:p>
      </w:docPartBody>
    </w:docPart>
    <w:docPart>
      <w:docPartPr>
        <w:name w:val="27BB7A8D305342BA97E8449046CB6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5C9E1-B119-4D26-B813-EDDDFD3B46FF}"/>
      </w:docPartPr>
      <w:docPartBody>
        <w:p w:rsidR="002A7350" w:rsidRDefault="002A73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EB"/>
    <w:rsid w:val="002A7350"/>
    <w:rsid w:val="00A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584E20C74C492A98CC13F580AA9C31">
    <w:name w:val="A3584E20C74C492A98CC13F580AA9C31"/>
  </w:style>
  <w:style w:type="paragraph" w:customStyle="1" w:styleId="FB975AFD089B4768B5453EF2CDB97033">
    <w:name w:val="FB975AFD089B4768B5453EF2CDB970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D6116CD5464379B02A699C7F6365DA">
    <w:name w:val="2ED6116CD5464379B02A699C7F6365DA"/>
  </w:style>
  <w:style w:type="paragraph" w:customStyle="1" w:styleId="E1C07C75B6154B17843C014F83A08BE7">
    <w:name w:val="E1C07C75B6154B17843C014F83A08BE7"/>
  </w:style>
  <w:style w:type="paragraph" w:customStyle="1" w:styleId="09EBFFA8615E4964B7A4669D599905D1">
    <w:name w:val="09EBFFA8615E4964B7A4669D599905D1"/>
  </w:style>
  <w:style w:type="paragraph" w:customStyle="1" w:styleId="8C10A6D75772484587C3298457378B9D">
    <w:name w:val="8C10A6D75772484587C3298457378B9D"/>
  </w:style>
  <w:style w:type="paragraph" w:customStyle="1" w:styleId="A676B9FBB3BB42D9B1EB95A35F01A938">
    <w:name w:val="A676B9FBB3BB42D9B1EB95A35F01A938"/>
  </w:style>
  <w:style w:type="paragraph" w:customStyle="1" w:styleId="3B0C62F809984E1C95028DADF035CE08">
    <w:name w:val="3B0C62F809984E1C95028DADF035C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AC535-0623-41CF-ACAD-5C7F39A9406E}"/>
</file>

<file path=customXml/itemProps2.xml><?xml version="1.0" encoding="utf-8"?>
<ds:datastoreItem xmlns:ds="http://schemas.openxmlformats.org/officeDocument/2006/customXml" ds:itemID="{7689460D-0B81-4D71-A205-EEA076B7869C}"/>
</file>

<file path=customXml/itemProps3.xml><?xml version="1.0" encoding="utf-8"?>
<ds:datastoreItem xmlns:ds="http://schemas.openxmlformats.org/officeDocument/2006/customXml" ds:itemID="{C6EA0C17-B01D-4C80-9D3C-0FA85373A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2488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2019 20 11 Ändringar i kostnadsutjämningen för kommuner och landsting</vt:lpstr>
      <vt:lpstr>
      </vt:lpstr>
    </vt:vector>
  </TitlesOfParts>
  <Company>Sveriges riksdag</Company>
  <LinksUpToDate>false</LinksUpToDate>
  <CharactersWithSpaces>2874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