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9F2" w:rsidRPr="008F6C6F" w:rsidRDefault="008F19F2">
      <w:pPr>
        <w:pStyle w:val="Frslagsrubrik"/>
      </w:pPr>
      <w:r w:rsidRPr="008F6C6F">
        <w:t>Förslag till riksdagsbeslut</w:t>
      </w:r>
    </w:p>
    <w:p w:rsidR="008F19F2" w:rsidRPr="008F6C6F" w:rsidRDefault="008F19F2">
      <w:pPr>
        <w:pStyle w:val="Hemstlatt"/>
        <w:numPr>
          <w:ilvl w:val="0"/>
          <w:numId w:val="1"/>
        </w:numPr>
      </w:pPr>
      <w:r w:rsidRPr="008F6C6F">
        <w:t>Riksdagen anvisar med följande ändringar i förhållande till regeringens förslag anslagen under utgiftsområde 15 Studiestöd enligt uppställning:</w:t>
      </w:r>
    </w:p>
    <w:tbl>
      <w:tblPr>
        <w:tblW w:w="5954" w:type="dxa"/>
        <w:tblInd w:w="50" w:type="dxa"/>
        <w:tblLayout w:type="fixed"/>
        <w:tblCellMar>
          <w:left w:w="70" w:type="dxa"/>
          <w:right w:w="70" w:type="dxa"/>
        </w:tblCellMar>
        <w:tblLook w:val="0000" w:firstRow="0" w:lastRow="0" w:firstColumn="0" w:lastColumn="0" w:noHBand="0" w:noVBand="0"/>
      </w:tblPr>
      <w:tblGrid>
        <w:gridCol w:w="726"/>
        <w:gridCol w:w="1814"/>
        <w:gridCol w:w="1920"/>
        <w:gridCol w:w="1494"/>
      </w:tblGrid>
      <w:tr w:rsidR="00000000" w:rsidRPr="008F6C6F">
        <w:tc>
          <w:tcPr>
            <w:tcW w:w="726" w:type="dxa"/>
            <w:tcBorders>
              <w:top w:val="single" w:sz="4" w:space="0" w:color="auto"/>
              <w:left w:val="nil"/>
              <w:bottom w:val="single" w:sz="4" w:space="0" w:color="auto"/>
              <w:right w:val="nil"/>
            </w:tcBorders>
            <w:noWrap/>
          </w:tcPr>
          <w:p w:rsidR="008F19F2" w:rsidRPr="008F6C6F" w:rsidRDefault="008F19F2">
            <w:pPr>
              <w:spacing w:before="60" w:line="200" w:lineRule="exact"/>
              <w:jc w:val="center"/>
              <w:rPr>
                <w:b/>
                <w:bCs/>
                <w:sz w:val="16"/>
                <w:szCs w:val="16"/>
              </w:rPr>
            </w:pPr>
            <w:r w:rsidRPr="008F6C6F">
              <w:rPr>
                <w:b/>
                <w:bCs/>
                <w:sz w:val="16"/>
                <w:szCs w:val="16"/>
              </w:rPr>
              <w:t>Anslag </w:t>
            </w:r>
          </w:p>
        </w:tc>
        <w:tc>
          <w:tcPr>
            <w:tcW w:w="1814" w:type="dxa"/>
            <w:tcBorders>
              <w:top w:val="single" w:sz="4" w:space="0" w:color="auto"/>
              <w:left w:val="nil"/>
              <w:bottom w:val="single" w:sz="4" w:space="0" w:color="auto"/>
              <w:right w:val="nil"/>
            </w:tcBorders>
          </w:tcPr>
          <w:p w:rsidR="008F19F2" w:rsidRPr="008F6C6F" w:rsidRDefault="008F19F2">
            <w:pPr>
              <w:spacing w:before="60" w:line="200" w:lineRule="exact"/>
              <w:rPr>
                <w:b/>
                <w:bCs/>
                <w:sz w:val="16"/>
                <w:szCs w:val="16"/>
              </w:rPr>
            </w:pPr>
            <w:r w:rsidRPr="008F6C6F">
              <w:rPr>
                <w:b/>
                <w:bCs/>
                <w:sz w:val="16"/>
                <w:szCs w:val="16"/>
              </w:rPr>
              <w:t> </w:t>
            </w:r>
          </w:p>
        </w:tc>
        <w:tc>
          <w:tcPr>
            <w:tcW w:w="1920" w:type="dxa"/>
            <w:tcBorders>
              <w:top w:val="single" w:sz="4" w:space="0" w:color="auto"/>
              <w:left w:val="nil"/>
              <w:bottom w:val="single" w:sz="4" w:space="0" w:color="auto"/>
              <w:right w:val="nil"/>
            </w:tcBorders>
            <w:noWrap/>
          </w:tcPr>
          <w:p w:rsidR="008F19F2" w:rsidRPr="008F6C6F" w:rsidRDefault="008F19F2">
            <w:pPr>
              <w:spacing w:before="60" w:line="200" w:lineRule="exact"/>
              <w:jc w:val="right"/>
              <w:rPr>
                <w:b/>
                <w:bCs/>
                <w:sz w:val="16"/>
                <w:szCs w:val="16"/>
              </w:rPr>
            </w:pPr>
            <w:r w:rsidRPr="008F6C6F">
              <w:rPr>
                <w:b/>
                <w:bCs/>
                <w:sz w:val="16"/>
                <w:szCs w:val="16"/>
              </w:rPr>
              <w:t>Regeringens förslag (tkr)</w:t>
            </w:r>
          </w:p>
        </w:tc>
        <w:tc>
          <w:tcPr>
            <w:tcW w:w="1494" w:type="dxa"/>
            <w:tcBorders>
              <w:top w:val="single" w:sz="4" w:space="0" w:color="auto"/>
              <w:left w:val="nil"/>
              <w:bottom w:val="single" w:sz="4" w:space="0" w:color="auto"/>
              <w:right w:val="nil"/>
            </w:tcBorders>
            <w:noWrap/>
          </w:tcPr>
          <w:p w:rsidR="008F19F2" w:rsidRPr="008F6C6F" w:rsidRDefault="008F19F2">
            <w:pPr>
              <w:spacing w:before="60" w:line="200" w:lineRule="exact"/>
              <w:jc w:val="right"/>
              <w:rPr>
                <w:b/>
                <w:bCs/>
                <w:sz w:val="16"/>
                <w:szCs w:val="16"/>
              </w:rPr>
            </w:pPr>
            <w:r w:rsidRPr="008F6C6F">
              <w:rPr>
                <w:b/>
                <w:bCs/>
                <w:sz w:val="16"/>
                <w:szCs w:val="16"/>
              </w:rPr>
              <w:t>Förändring (tkr)</w:t>
            </w:r>
          </w:p>
        </w:tc>
      </w:tr>
      <w:tr w:rsidR="00000000" w:rsidRPr="008F6C6F">
        <w:tc>
          <w:tcPr>
            <w:tcW w:w="726" w:type="dxa"/>
            <w:tcBorders>
              <w:top w:val="single" w:sz="4" w:space="0" w:color="auto"/>
              <w:left w:val="nil"/>
              <w:bottom w:val="nil"/>
              <w:right w:val="nil"/>
            </w:tcBorders>
            <w:noWrap/>
            <w:vAlign w:val="bottom"/>
          </w:tcPr>
          <w:p w:rsidR="008F19F2" w:rsidRPr="008F6C6F" w:rsidRDefault="008F19F2">
            <w:pPr>
              <w:spacing w:before="60" w:line="200" w:lineRule="exact"/>
              <w:rPr>
                <w:sz w:val="16"/>
                <w:szCs w:val="16"/>
              </w:rPr>
            </w:pPr>
            <w:r w:rsidRPr="008F6C6F">
              <w:rPr>
                <w:sz w:val="16"/>
                <w:szCs w:val="16"/>
              </w:rPr>
              <w:t>1:2</w:t>
            </w:r>
          </w:p>
        </w:tc>
        <w:tc>
          <w:tcPr>
            <w:tcW w:w="1814" w:type="dxa"/>
            <w:tcBorders>
              <w:top w:val="single" w:sz="4" w:space="0" w:color="auto"/>
              <w:left w:val="nil"/>
              <w:bottom w:val="nil"/>
              <w:right w:val="nil"/>
            </w:tcBorders>
            <w:vAlign w:val="bottom"/>
          </w:tcPr>
          <w:p w:rsidR="008F19F2" w:rsidRPr="008F6C6F" w:rsidRDefault="008F19F2">
            <w:pPr>
              <w:spacing w:before="60" w:line="200" w:lineRule="exact"/>
              <w:rPr>
                <w:sz w:val="16"/>
                <w:szCs w:val="16"/>
              </w:rPr>
            </w:pPr>
            <w:r w:rsidRPr="008F6C6F">
              <w:rPr>
                <w:sz w:val="16"/>
                <w:szCs w:val="16"/>
              </w:rPr>
              <w:t>Studiemedel m.m.</w:t>
            </w:r>
          </w:p>
        </w:tc>
        <w:tc>
          <w:tcPr>
            <w:tcW w:w="1920" w:type="dxa"/>
            <w:tcBorders>
              <w:top w:val="single" w:sz="4" w:space="0" w:color="auto"/>
              <w:left w:val="nil"/>
              <w:bottom w:val="nil"/>
              <w:right w:val="nil"/>
            </w:tcBorders>
            <w:noWrap/>
            <w:vAlign w:val="bottom"/>
          </w:tcPr>
          <w:p w:rsidR="008F19F2" w:rsidRPr="008F6C6F" w:rsidRDefault="008F19F2">
            <w:pPr>
              <w:spacing w:before="60" w:line="200" w:lineRule="exact"/>
              <w:jc w:val="right"/>
              <w:rPr>
                <w:sz w:val="16"/>
                <w:szCs w:val="16"/>
              </w:rPr>
            </w:pPr>
            <w:r w:rsidRPr="008F6C6F">
              <w:rPr>
                <w:sz w:val="16"/>
                <w:szCs w:val="16"/>
              </w:rPr>
              <w:t>14 011 979</w:t>
            </w:r>
          </w:p>
        </w:tc>
        <w:tc>
          <w:tcPr>
            <w:tcW w:w="1494" w:type="dxa"/>
            <w:tcBorders>
              <w:top w:val="single" w:sz="4" w:space="0" w:color="auto"/>
              <w:left w:val="nil"/>
              <w:bottom w:val="nil"/>
              <w:right w:val="nil"/>
            </w:tcBorders>
            <w:noWrap/>
            <w:vAlign w:val="bottom"/>
          </w:tcPr>
          <w:p w:rsidR="008F19F2" w:rsidRPr="008F6C6F" w:rsidRDefault="008F19F2">
            <w:pPr>
              <w:spacing w:before="60" w:line="200" w:lineRule="exact"/>
              <w:jc w:val="right"/>
              <w:rPr>
                <w:sz w:val="16"/>
                <w:szCs w:val="16"/>
              </w:rPr>
            </w:pPr>
            <w:r w:rsidRPr="008F6C6F">
              <w:rPr>
                <w:sz w:val="16"/>
                <w:szCs w:val="16"/>
              </w:rPr>
              <w:t>937 500</w:t>
            </w:r>
          </w:p>
        </w:tc>
      </w:tr>
      <w:tr w:rsidR="00000000" w:rsidRPr="008F6C6F">
        <w:tc>
          <w:tcPr>
            <w:tcW w:w="726" w:type="dxa"/>
            <w:tcBorders>
              <w:top w:val="nil"/>
              <w:left w:val="nil"/>
              <w:right w:val="nil"/>
            </w:tcBorders>
            <w:noWrap/>
            <w:vAlign w:val="center"/>
          </w:tcPr>
          <w:p w:rsidR="008F19F2" w:rsidRPr="008F6C6F" w:rsidRDefault="008F19F2">
            <w:pPr>
              <w:spacing w:before="60" w:line="200" w:lineRule="exact"/>
              <w:rPr>
                <w:sz w:val="16"/>
                <w:szCs w:val="16"/>
              </w:rPr>
            </w:pPr>
            <w:r w:rsidRPr="008F6C6F">
              <w:rPr>
                <w:sz w:val="16"/>
                <w:szCs w:val="16"/>
              </w:rPr>
              <w:t>1:3</w:t>
            </w:r>
          </w:p>
        </w:tc>
        <w:tc>
          <w:tcPr>
            <w:tcW w:w="1814" w:type="dxa"/>
            <w:tcBorders>
              <w:top w:val="nil"/>
              <w:left w:val="nil"/>
              <w:right w:val="nil"/>
            </w:tcBorders>
            <w:vAlign w:val="bottom"/>
          </w:tcPr>
          <w:p w:rsidR="008F19F2" w:rsidRPr="008F6C6F" w:rsidRDefault="008F19F2">
            <w:pPr>
              <w:spacing w:before="60" w:line="200" w:lineRule="exact"/>
              <w:rPr>
                <w:sz w:val="16"/>
                <w:szCs w:val="16"/>
              </w:rPr>
            </w:pPr>
            <w:r w:rsidRPr="008F6C6F">
              <w:rPr>
                <w:sz w:val="16"/>
                <w:szCs w:val="16"/>
              </w:rPr>
              <w:t>Studiemedelsräntor m.m.</w:t>
            </w:r>
          </w:p>
        </w:tc>
        <w:tc>
          <w:tcPr>
            <w:tcW w:w="1920" w:type="dxa"/>
            <w:tcBorders>
              <w:top w:val="nil"/>
              <w:left w:val="nil"/>
              <w:right w:val="nil"/>
            </w:tcBorders>
            <w:noWrap/>
            <w:vAlign w:val="bottom"/>
          </w:tcPr>
          <w:p w:rsidR="008F19F2" w:rsidRPr="008F6C6F" w:rsidRDefault="008F19F2">
            <w:pPr>
              <w:spacing w:before="60" w:line="200" w:lineRule="exact"/>
              <w:jc w:val="right"/>
              <w:rPr>
                <w:sz w:val="16"/>
                <w:szCs w:val="16"/>
              </w:rPr>
            </w:pPr>
            <w:r w:rsidRPr="008F6C6F">
              <w:rPr>
                <w:sz w:val="16"/>
                <w:szCs w:val="16"/>
              </w:rPr>
              <w:t>5 142 637</w:t>
            </w:r>
          </w:p>
        </w:tc>
        <w:tc>
          <w:tcPr>
            <w:tcW w:w="1494" w:type="dxa"/>
            <w:tcBorders>
              <w:top w:val="nil"/>
              <w:left w:val="nil"/>
              <w:right w:val="nil"/>
            </w:tcBorders>
            <w:noWrap/>
            <w:vAlign w:val="bottom"/>
          </w:tcPr>
          <w:p w:rsidR="008F19F2" w:rsidRPr="008F6C6F" w:rsidRDefault="008F19F2">
            <w:pPr>
              <w:spacing w:before="60" w:line="200" w:lineRule="exact"/>
              <w:jc w:val="right"/>
              <w:rPr>
                <w:sz w:val="16"/>
                <w:szCs w:val="16"/>
              </w:rPr>
            </w:pPr>
            <w:r w:rsidRPr="008F6C6F">
              <w:rPr>
                <w:sz w:val="16"/>
                <w:szCs w:val="16"/>
              </w:rPr>
              <w:t>–12 000</w:t>
            </w:r>
          </w:p>
        </w:tc>
      </w:tr>
      <w:tr w:rsidR="00000000" w:rsidRPr="008F6C6F">
        <w:tc>
          <w:tcPr>
            <w:tcW w:w="726" w:type="dxa"/>
            <w:tcBorders>
              <w:left w:val="nil"/>
              <w:bottom w:val="single" w:sz="4" w:space="0" w:color="auto"/>
              <w:right w:val="nil"/>
            </w:tcBorders>
            <w:noWrap/>
            <w:vAlign w:val="bottom"/>
          </w:tcPr>
          <w:p w:rsidR="008F19F2" w:rsidRPr="008F6C6F" w:rsidRDefault="008F19F2">
            <w:pPr>
              <w:spacing w:before="60" w:line="200" w:lineRule="exact"/>
              <w:rPr>
                <w:b/>
                <w:bCs/>
                <w:sz w:val="16"/>
                <w:szCs w:val="16"/>
              </w:rPr>
            </w:pPr>
          </w:p>
        </w:tc>
        <w:tc>
          <w:tcPr>
            <w:tcW w:w="1814" w:type="dxa"/>
            <w:tcBorders>
              <w:left w:val="nil"/>
              <w:bottom w:val="single" w:sz="4" w:space="0" w:color="auto"/>
              <w:right w:val="nil"/>
            </w:tcBorders>
            <w:vAlign w:val="bottom"/>
          </w:tcPr>
          <w:p w:rsidR="008F19F2" w:rsidRPr="008F6C6F" w:rsidRDefault="008F19F2">
            <w:pPr>
              <w:spacing w:before="60" w:line="200" w:lineRule="exact"/>
              <w:rPr>
                <w:b/>
                <w:bCs/>
                <w:sz w:val="16"/>
                <w:szCs w:val="16"/>
              </w:rPr>
            </w:pPr>
            <w:r w:rsidRPr="008F6C6F">
              <w:rPr>
                <w:b/>
                <w:bCs/>
                <w:sz w:val="16"/>
                <w:szCs w:val="16"/>
              </w:rPr>
              <w:t>Summa</w:t>
            </w:r>
          </w:p>
        </w:tc>
        <w:tc>
          <w:tcPr>
            <w:tcW w:w="1920" w:type="dxa"/>
            <w:tcBorders>
              <w:left w:val="nil"/>
              <w:bottom w:val="single" w:sz="4" w:space="0" w:color="auto"/>
              <w:right w:val="nil"/>
            </w:tcBorders>
            <w:noWrap/>
            <w:vAlign w:val="bottom"/>
          </w:tcPr>
          <w:p w:rsidR="008F19F2" w:rsidRPr="008F6C6F" w:rsidRDefault="008F19F2">
            <w:pPr>
              <w:spacing w:before="60" w:line="200" w:lineRule="exact"/>
              <w:jc w:val="right"/>
              <w:rPr>
                <w:b/>
                <w:bCs/>
                <w:sz w:val="16"/>
                <w:szCs w:val="16"/>
              </w:rPr>
            </w:pPr>
          </w:p>
        </w:tc>
        <w:tc>
          <w:tcPr>
            <w:tcW w:w="1494" w:type="dxa"/>
            <w:tcBorders>
              <w:left w:val="nil"/>
              <w:bottom w:val="single" w:sz="4" w:space="0" w:color="auto"/>
              <w:right w:val="nil"/>
            </w:tcBorders>
            <w:noWrap/>
            <w:vAlign w:val="bottom"/>
          </w:tcPr>
          <w:p w:rsidR="008F19F2" w:rsidRPr="008F6C6F" w:rsidRDefault="008F19F2">
            <w:pPr>
              <w:spacing w:before="60" w:line="200" w:lineRule="exact"/>
              <w:jc w:val="right"/>
              <w:rPr>
                <w:b/>
                <w:bCs/>
                <w:sz w:val="16"/>
                <w:szCs w:val="16"/>
              </w:rPr>
            </w:pPr>
            <w:r w:rsidRPr="008F6C6F">
              <w:rPr>
                <w:b/>
                <w:bCs/>
                <w:sz w:val="16"/>
                <w:szCs w:val="16"/>
              </w:rPr>
              <w:t>925 500</w:t>
            </w:r>
          </w:p>
        </w:tc>
      </w:tr>
    </w:tbl>
    <w:p w:rsidR="008F19F2" w:rsidRPr="008F6C6F" w:rsidRDefault="008F19F2">
      <w:pPr>
        <w:pStyle w:val="Hemstlatt"/>
        <w:numPr>
          <w:ilvl w:val="0"/>
          <w:numId w:val="1"/>
        </w:numPr>
      </w:pPr>
      <w:r w:rsidRPr="008F6C6F">
        <w:t>Riksdagen beslutar avslå regeringens förslag till lag om ändring i studiestödslagen (1999:1395) (avsnitt 2.1, 3.9.2 och 3.9.3 i propositionen).</w:t>
      </w:r>
    </w:p>
    <w:p w:rsidR="008F19F2" w:rsidRPr="008F6C6F" w:rsidRDefault="008F19F2">
      <w:pPr>
        <w:pStyle w:val="Hemstlatt"/>
        <w:numPr>
          <w:ilvl w:val="0"/>
          <w:numId w:val="1"/>
        </w:numPr>
      </w:pPr>
      <w:r w:rsidRPr="008F6C6F">
        <w:t>Riksdagen beslutar avslå regeringens förslag om att go</w:t>
      </w:r>
      <w:r w:rsidRPr="008F6C6F">
        <w:t>d</w:t>
      </w:r>
      <w:r w:rsidRPr="008F6C6F">
        <w:t>känna att det under 2011 får tas upp lån i Riksgäldskontoret för st</w:t>
      </w:r>
      <w:r w:rsidRPr="008F6C6F">
        <w:t>u</w:t>
      </w:r>
      <w:r w:rsidRPr="008F6C6F">
        <w:t>dielån till ett belopp om 172 300 000 000 kr (avsnitt 3.9.6 i propos</w:t>
      </w:r>
      <w:r w:rsidRPr="008F6C6F">
        <w:t>i</w:t>
      </w:r>
      <w:r w:rsidRPr="008F6C6F">
        <w:t>tionen).</w:t>
      </w:r>
    </w:p>
    <w:p w:rsidR="008F19F2" w:rsidRPr="008F6C6F" w:rsidRDefault="008F19F2">
      <w:pPr>
        <w:pStyle w:val="Hemstlatt"/>
        <w:numPr>
          <w:ilvl w:val="0"/>
          <w:numId w:val="1"/>
        </w:numPr>
      </w:pPr>
      <w:r w:rsidRPr="008F6C6F">
        <w:t>Riksdagen begär att regeringen återkommer med förslag till lag om ändring i studiestödslagen (1999:1395) i enlighet med vad som anges i motionen.</w:t>
      </w:r>
    </w:p>
    <w:p w:rsidR="008F19F2" w:rsidRPr="008F6C6F" w:rsidRDefault="008F19F2">
      <w:pPr>
        <w:pStyle w:val="Rubrik1"/>
      </w:pPr>
      <w:r w:rsidRPr="008F6C6F">
        <w:t>1:2 Studiemedel m.m.</w:t>
      </w:r>
    </w:p>
    <w:p w:rsidR="008F19F2" w:rsidRPr="008F6C6F" w:rsidRDefault="008F19F2">
      <w:r w:rsidRPr="008F6C6F">
        <w:t>Vi vill att fler ska få möjlighet att studera vidare, både i komvux, yrkeshö</w:t>
      </w:r>
      <w:r w:rsidRPr="008F6C6F">
        <w:t>g</w:t>
      </w:r>
      <w:r w:rsidRPr="008F6C6F">
        <w:t>skola och högskola.</w:t>
      </w:r>
    </w:p>
    <w:p w:rsidR="008F19F2" w:rsidRPr="008F6C6F" w:rsidRDefault="008F19F2">
      <w:pPr>
        <w:pStyle w:val="Normaltindrag"/>
      </w:pPr>
      <w:r w:rsidRPr="008F6C6F">
        <w:t>Många studenter upplever sin ekonomiska situation som pressad. Redan 2011 avsätter vi resurser för att höja bidragsdelen i studiemedlet med 100 kronor i månaden. Om det finns utrymme för ytterligare reformer under ma</w:t>
      </w:r>
      <w:r w:rsidRPr="008F6C6F">
        <w:t>n</w:t>
      </w:r>
      <w:r w:rsidRPr="008F6C6F">
        <w:t>datperioden vill vi höja studiemedlet med 600 kronor i månaden – 400 kronor i bidrag och 200 kronor i lån. Vi vill också höja tilläggsbidraget för studenter med barn med 25 procent. En ytterligare höjning av studiemedlet kan behövas på sikt. För att fler ska få chansen att läsa på högskolan måste också anta</w:t>
      </w:r>
      <w:r w:rsidRPr="008F6C6F">
        <w:t>g</w:t>
      </w:r>
      <w:r w:rsidRPr="008F6C6F">
        <w:lastRenderedPageBreak/>
        <w:t xml:space="preserve">ningsreglerna till högskolan förändras. Till exempel ska arbetslivserfarenhet kunna tillgodoräknas och möjligheter att läsa in på komvux finnas. </w:t>
      </w:r>
    </w:p>
    <w:p w:rsidR="008F19F2" w:rsidRPr="008F6C6F" w:rsidRDefault="008F19F2">
      <w:pPr>
        <w:pStyle w:val="Normaltindrag"/>
      </w:pPr>
      <w:r w:rsidRPr="008F6C6F">
        <w:t>Utöver detta avsätter vi medel på anslaget för att finan</w:t>
      </w:r>
      <w:r w:rsidRPr="008F6C6F">
        <w:t>siera kostnaderna för studiemedel m.m. för de utbildningsplatser som vi föreslår inom utgiftsomr</w:t>
      </w:r>
      <w:r w:rsidRPr="008F6C6F">
        <w:t>å</w:t>
      </w:r>
      <w:r w:rsidRPr="008F6C6F">
        <w:t xml:space="preserve">de 16. Sammantaget avsätter vi 937,5 miljoner kronor mer än regeringen på anslaget 2011. </w:t>
      </w:r>
    </w:p>
    <w:p w:rsidR="008F19F2" w:rsidRPr="008F6C6F" w:rsidRDefault="008F19F2">
      <w:pPr>
        <w:pStyle w:val="Normaltindrag"/>
      </w:pPr>
      <w:r w:rsidRPr="008F6C6F">
        <w:t>Mot denna bakgrund bör regeringen återkomma med förslag till lag om ändring i studiestödslagen (1999:1395) i enlighet med vad som anges i m</w:t>
      </w:r>
      <w:r w:rsidRPr="008F6C6F">
        <w:t>o</w:t>
      </w:r>
      <w:r w:rsidRPr="008F6C6F">
        <w:t>tionen. Detta bör riksdagen begära.</w:t>
      </w:r>
    </w:p>
    <w:p w:rsidR="008F19F2" w:rsidRPr="008F6C6F" w:rsidRDefault="008F19F2">
      <w:pPr>
        <w:pStyle w:val="Rubrik1"/>
      </w:pPr>
      <w:r w:rsidRPr="008F6C6F">
        <w:t>1:3 Studiemedelsräntor m.m.</w:t>
      </w:r>
    </w:p>
    <w:p w:rsidR="008F19F2" w:rsidRPr="008F6C6F" w:rsidRDefault="008F19F2">
      <w:r w:rsidRPr="008F6C6F">
        <w:t>Vi avvisar regeringens föreslagna höjning av lånedelen i studiemedlen och avsätter därmed 12 miljoner mindre än regeringen på anslaget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6C6F">
        <w:trPr>
          <w:cantSplit/>
        </w:trPr>
        <w:tc>
          <w:tcPr>
            <w:tcW w:w="3046" w:type="dxa"/>
          </w:tcPr>
          <w:p w:rsidR="008F19F2" w:rsidRPr="008F6C6F" w:rsidRDefault="008F19F2">
            <w:pPr>
              <w:pStyle w:val="UnderskriftDatum"/>
              <w:spacing w:before="240"/>
            </w:pPr>
            <w:r w:rsidRPr="008F6C6F">
              <w:t>Stockholm den 26 oktober 2010</w:t>
            </w:r>
          </w:p>
        </w:tc>
        <w:tc>
          <w:tcPr>
            <w:tcW w:w="3047" w:type="dxa"/>
          </w:tcPr>
          <w:p w:rsidR="008F19F2" w:rsidRPr="008F6C6F" w:rsidRDefault="008F19F2">
            <w:pPr>
              <w:pStyle w:val="Underskrifter"/>
              <w:spacing w:before="240"/>
            </w:pPr>
          </w:p>
        </w:tc>
      </w:tr>
      <w:tr w:rsidR="00000000" w:rsidRPr="008F6C6F">
        <w:trPr>
          <w:cantSplit/>
        </w:trPr>
        <w:tc>
          <w:tcPr>
            <w:tcW w:w="3046" w:type="dxa"/>
          </w:tcPr>
          <w:p w:rsidR="008F19F2" w:rsidRPr="008F6C6F" w:rsidRDefault="008F19F2">
            <w:pPr>
              <w:pStyle w:val="Underskrifter"/>
            </w:pPr>
            <w:r w:rsidRPr="008F6C6F">
              <w:t>Mikael Damberg (S)</w:t>
            </w:r>
          </w:p>
        </w:tc>
        <w:tc>
          <w:tcPr>
            <w:tcW w:w="3046" w:type="dxa"/>
          </w:tcPr>
          <w:p w:rsidR="008F19F2" w:rsidRPr="008F6C6F" w:rsidRDefault="008F19F2">
            <w:pPr>
              <w:pStyle w:val="Underskrifter"/>
            </w:pPr>
          </w:p>
        </w:tc>
      </w:tr>
      <w:tr w:rsidR="00000000" w:rsidRPr="008F6C6F">
        <w:trPr>
          <w:cantSplit/>
        </w:trPr>
        <w:tc>
          <w:tcPr>
            <w:tcW w:w="3046" w:type="dxa"/>
          </w:tcPr>
          <w:p w:rsidR="008F19F2" w:rsidRPr="008F6C6F" w:rsidRDefault="008F19F2">
            <w:pPr>
              <w:pStyle w:val="Underskrifter"/>
            </w:pPr>
            <w:r w:rsidRPr="008F6C6F">
              <w:t>Jabar Amin (MP)</w:t>
            </w:r>
          </w:p>
        </w:tc>
        <w:tc>
          <w:tcPr>
            <w:tcW w:w="3046" w:type="dxa"/>
          </w:tcPr>
          <w:p w:rsidR="008F19F2" w:rsidRPr="008F6C6F" w:rsidRDefault="008F19F2">
            <w:pPr>
              <w:pStyle w:val="Underskrifter"/>
            </w:pPr>
            <w:r w:rsidRPr="008F6C6F">
              <w:t>Rossana Dinamarca (V)</w:t>
            </w:r>
          </w:p>
        </w:tc>
      </w:tr>
    </w:tbl>
    <w:p w:rsidR="008F19F2" w:rsidRPr="008F6C6F" w:rsidRDefault="008F19F2">
      <w:pPr>
        <w:pStyle w:val="Normaltindrag"/>
      </w:pPr>
    </w:p>
    <w:sectPr w:rsidR="008F19F2" w:rsidRPr="008F6C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9F2" w:rsidRPr="008F6C6F" w:rsidRDefault="008F19F2">
      <w:r w:rsidRPr="008F6C6F">
        <w:separator/>
      </w:r>
    </w:p>
  </w:endnote>
  <w:endnote w:type="continuationSeparator" w:id="0">
    <w:p w:rsidR="008F19F2" w:rsidRPr="008F6C6F" w:rsidRDefault="008F19F2">
      <w:r w:rsidRPr="008F6C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9F2" w:rsidRPr="008F6C6F" w:rsidRDefault="008F6C6F">
    <w:pPr>
      <w:pStyle w:val="Sidfot"/>
    </w:pPr>
    <w:r w:rsidRPr="008F6C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45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9F2" w:rsidRDefault="008F19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9F2" w:rsidRDefault="008F19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9F2" w:rsidRPr="008F6C6F" w:rsidRDefault="008F6C6F">
    <w:pPr>
      <w:pStyle w:val="Sidfot"/>
    </w:pPr>
    <w:r w:rsidRPr="008F6C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475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9F2" w:rsidRDefault="008F19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9F2" w:rsidRDefault="008F19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9F2" w:rsidRPr="008F6C6F" w:rsidRDefault="008F6C6F">
    <w:pPr>
      <w:pStyle w:val="Sidfot"/>
    </w:pPr>
    <w:r w:rsidRPr="008F6C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716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9F2" w:rsidRDefault="008F19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9F2" w:rsidRDefault="008F19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9F2" w:rsidRPr="008F6C6F" w:rsidRDefault="008F19F2">
      <w:r w:rsidRPr="008F6C6F">
        <w:separator/>
      </w:r>
    </w:p>
  </w:footnote>
  <w:footnote w:type="continuationSeparator" w:id="0">
    <w:p w:rsidR="008F19F2" w:rsidRPr="008F6C6F" w:rsidRDefault="008F19F2">
      <w:r w:rsidRPr="008F6C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9F2" w:rsidRPr="008F6C6F" w:rsidRDefault="008F6C6F">
    <w:pPr>
      <w:pStyle w:val="Sidhuvud"/>
    </w:pPr>
    <w:r w:rsidRPr="008F6C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5933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9F2" w:rsidRDefault="008F19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9F2" w:rsidRDefault="008F19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9F2" w:rsidRPr="008F6C6F" w:rsidRDefault="008F6C6F">
    <w:pPr>
      <w:pStyle w:val="Sidhuvud"/>
    </w:pPr>
    <w:r w:rsidRPr="008F6C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563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9F2" w:rsidRDefault="008F19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9F2" w:rsidRDefault="008F19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9F2" w:rsidRPr="008F6C6F" w:rsidRDefault="008F19F2">
    <w:pPr>
      <w:pStyle w:val="FSHNormal"/>
      <w:tabs>
        <w:tab w:val="right" w:pos="5840"/>
      </w:tabs>
    </w:pPr>
    <w:r w:rsidRPr="008F6C6F">
      <w:br/>
    </w:r>
    <w:r w:rsidRPr="008F6C6F">
      <w:fldChar w:fldCharType="begin" w:fldLock="1"/>
    </w:r>
    <w:r w:rsidRPr="008F6C6F">
      <w:instrText xml:space="preserve"> DOCPROPERTY</w:instrText>
    </w:r>
    <w:r w:rsidRPr="008F6C6F">
      <w:rPr>
        <w:sz w:val="18"/>
      </w:rPr>
      <w:instrText xml:space="preserve"> "YearUser" *\charformat </w:instrText>
    </w:r>
    <w:r w:rsidRPr="008F6C6F">
      <w:fldChar w:fldCharType="separate"/>
    </w:r>
    <w:r w:rsidRPr="008F6C6F">
      <w:t>2010/11</w:t>
    </w:r>
    <w:r w:rsidRPr="008F6C6F">
      <w:fldChar w:fldCharType="end"/>
    </w:r>
    <w:r w:rsidRPr="008F6C6F">
      <w:t xml:space="preserve"> </w:t>
    </w:r>
    <w:r w:rsidRPr="008F6C6F">
      <w:tab/>
      <w:t xml:space="preserve">mnr: </w:t>
    </w:r>
    <w:r w:rsidRPr="008F6C6F">
      <w:fldChar w:fldCharType="begin" w:fldLock="1"/>
    </w:r>
    <w:r w:rsidRPr="008F6C6F">
      <w:instrText xml:space="preserve"> DOCPROPERTY</w:instrText>
    </w:r>
    <w:r w:rsidRPr="008F6C6F">
      <w:rPr>
        <w:sz w:val="18"/>
      </w:rPr>
      <w:instrText xml:space="preserve"> "Motionsnummer" *\charformat </w:instrText>
    </w:r>
    <w:r w:rsidRPr="008F6C6F">
      <w:fldChar w:fldCharType="separate"/>
    </w:r>
    <w:r w:rsidRPr="008F6C6F">
      <w:t>Ub425</w:t>
    </w:r>
    <w:r w:rsidRPr="008F6C6F">
      <w:fldChar w:fldCharType="end"/>
    </w:r>
    <w:r w:rsidRPr="008F6C6F">
      <w:br/>
    </w:r>
    <w:r w:rsidRPr="008F6C6F">
      <w:fldChar w:fldCharType="begin" w:fldLock="1"/>
    </w:r>
    <w:r w:rsidRPr="008F6C6F">
      <w:instrText xml:space="preserve"> DOCPROPERTY</w:instrText>
    </w:r>
    <w:r w:rsidRPr="008F6C6F">
      <w:rPr>
        <w:sz w:val="18"/>
      </w:rPr>
      <w:instrText xml:space="preserve"> "Samling" *\charformat </w:instrText>
    </w:r>
    <w:r w:rsidRPr="008F6C6F">
      <w:fldChar w:fldCharType="end"/>
    </w:r>
    <w:r w:rsidRPr="008F6C6F">
      <w:tab/>
      <w:t xml:space="preserve">pnr: </w:t>
    </w:r>
    <w:r w:rsidRPr="008F6C6F">
      <w:fldChar w:fldCharType="begin" w:fldLock="1"/>
    </w:r>
    <w:r w:rsidRPr="008F6C6F">
      <w:instrText xml:space="preserve"> DOCPROPERTY</w:instrText>
    </w:r>
    <w:r w:rsidRPr="008F6C6F">
      <w:rPr>
        <w:sz w:val="18"/>
      </w:rPr>
      <w:instrText xml:space="preserve"> "Partinummer" *\charformat </w:instrText>
    </w:r>
    <w:r w:rsidRPr="008F6C6F">
      <w:fldChar w:fldCharType="separate"/>
    </w:r>
    <w:r w:rsidRPr="008F6C6F">
      <w:t>-V815</w:t>
    </w:r>
    <w:r w:rsidRPr="008F6C6F">
      <w:fldChar w:fldCharType="end"/>
    </w:r>
  </w:p>
  <w:p w:rsidR="008F19F2" w:rsidRPr="008F6C6F" w:rsidRDefault="008F19F2">
    <w:pPr>
      <w:pStyle w:val="FSHRub1"/>
    </w:pPr>
    <w:r w:rsidRPr="008F6C6F">
      <w:t>Motion till riksdagen</w:t>
    </w:r>
    <w:r w:rsidRPr="008F6C6F">
      <w:br/>
    </w:r>
    <w:r w:rsidRPr="008F6C6F">
      <w:fldChar w:fldCharType="begin" w:fldLock="1"/>
    </w:r>
    <w:r w:rsidRPr="008F6C6F">
      <w:instrText xml:space="preserve"> DOCPROPERTY "YearUser" *\charformat </w:instrText>
    </w:r>
    <w:r w:rsidRPr="008F6C6F">
      <w:fldChar w:fldCharType="separate"/>
    </w:r>
    <w:r w:rsidRPr="008F6C6F">
      <w:t>2010/11</w:t>
    </w:r>
    <w:r w:rsidRPr="008F6C6F">
      <w:fldChar w:fldCharType="end"/>
    </w:r>
    <w:r w:rsidRPr="008F6C6F">
      <w:t>:</w:t>
    </w:r>
    <w:r w:rsidRPr="008F6C6F">
      <w:fldChar w:fldCharType="begin" w:fldLock="1"/>
    </w:r>
    <w:r w:rsidRPr="008F6C6F">
      <w:instrText xml:space="preserve"> DOCPROPERTY "Motionsnummer" *\charformat </w:instrText>
    </w:r>
    <w:r w:rsidRPr="008F6C6F">
      <w:fldChar w:fldCharType="separate"/>
    </w:r>
    <w:r w:rsidRPr="008F6C6F">
      <w:t>Ub425</w:t>
    </w:r>
    <w:r w:rsidRPr="008F6C6F">
      <w:fldChar w:fldCharType="end"/>
    </w:r>
  </w:p>
  <w:p w:rsidR="008F19F2" w:rsidRPr="008F6C6F" w:rsidRDefault="008F19F2">
    <w:pPr>
      <w:pStyle w:val="FSHNormalS5"/>
    </w:pPr>
    <w:r w:rsidRPr="008F6C6F">
      <w:fldChar w:fldCharType="begin" w:fldLock="1"/>
    </w:r>
    <w:r w:rsidRPr="008F6C6F">
      <w:instrText xml:space="preserve"> DOCPROPERTY "MotionarText" *\charformat </w:instrText>
    </w:r>
    <w:r w:rsidRPr="008F6C6F">
      <w:fldChar w:fldCharType="separate"/>
    </w:r>
    <w:r w:rsidRPr="008F6C6F">
      <w:t>av Mikael Damberg m.fl. (S, MP, V)</w:t>
    </w:r>
    <w:r w:rsidRPr="008F6C6F">
      <w:fldChar w:fldCharType="end"/>
    </w:r>
    <w:r w:rsidRPr="008F6C6F">
      <w:br/>
    </w:r>
    <w:r w:rsidRPr="008F6C6F">
      <w:fldChar w:fldCharType="begin" w:fldLock="1"/>
    </w:r>
    <w:r w:rsidRPr="008F6C6F">
      <w:instrText xml:space="preserve"> DOCPROPERTY "SvarFrasKort" *\charformat </w:instrText>
    </w:r>
    <w:r w:rsidRPr="008F6C6F">
      <w:fldChar w:fldCharType="end"/>
    </w:r>
  </w:p>
  <w:p w:rsidR="008F19F2" w:rsidRPr="008F6C6F" w:rsidRDefault="008F19F2">
    <w:pPr>
      <w:pStyle w:val="FSHTitel"/>
    </w:pPr>
    <w:r w:rsidRPr="008F6C6F">
      <w:fldChar w:fldCharType="begin" w:fldLock="1"/>
    </w:r>
    <w:r w:rsidRPr="008F6C6F">
      <w:instrText xml:space="preserve"> DOCPROPERTY</w:instrText>
    </w:r>
    <w:r w:rsidRPr="008F6C6F">
      <w:rPr>
        <w:sz w:val="18"/>
      </w:rPr>
      <w:instrText xml:space="preserve"> "RubrikSvar" *\charformat </w:instrText>
    </w:r>
    <w:r w:rsidRPr="008F6C6F">
      <w:fldChar w:fldCharType="separate"/>
    </w:r>
    <w:r w:rsidRPr="008F6C6F">
      <w:t>Utgiftsområde15 Studiestöd</w:t>
    </w:r>
    <w:r w:rsidRPr="008F6C6F">
      <w:fldChar w:fldCharType="end"/>
    </w:r>
  </w:p>
  <w:p w:rsidR="008F19F2" w:rsidRPr="008F6C6F" w:rsidRDefault="008F19F2">
    <w:pPr>
      <w:pStyle w:val="Normal00"/>
    </w:pPr>
  </w:p>
  <w:p w:rsidR="008F19F2" w:rsidRPr="008F6C6F" w:rsidRDefault="008F19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FF529FE"/>
    <w:multiLevelType w:val="hybridMultilevel"/>
    <w:tmpl w:val="0406C214"/>
    <w:lvl w:ilvl="0" w:tplc="B6F6A9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267780">
    <w:abstractNumId w:val="3"/>
  </w:num>
  <w:num w:numId="2" w16cid:durableId="514535556">
    <w:abstractNumId w:val="2"/>
  </w:num>
  <w:num w:numId="3" w16cid:durableId="2020689731">
    <w:abstractNumId w:val="1"/>
  </w:num>
  <w:num w:numId="4" w16cid:durableId="624190494">
    <w:abstractNumId w:val="0"/>
  </w:num>
  <w:num w:numId="5" w16cid:durableId="703213087">
    <w:abstractNumId w:val="7"/>
  </w:num>
  <w:num w:numId="6" w16cid:durableId="674839217">
    <w:abstractNumId w:val="6"/>
  </w:num>
  <w:num w:numId="7" w16cid:durableId="1176073021">
    <w:abstractNumId w:val="5"/>
  </w:num>
  <w:num w:numId="8" w16cid:durableId="1308821153">
    <w:abstractNumId w:val="4"/>
  </w:num>
  <w:num w:numId="9" w16cid:durableId="2119134242">
    <w:abstractNumId w:val="8"/>
  </w:num>
  <w:num w:numId="10" w16cid:durableId="534930882">
    <w:abstractNumId w:val="9"/>
  </w:num>
  <w:num w:numId="11" w16cid:durableId="187137259">
    <w:abstractNumId w:val="10"/>
  </w:num>
  <w:num w:numId="12" w16cid:durableId="232013468">
    <w:abstractNumId w:val="13"/>
  </w:num>
  <w:num w:numId="13" w16cid:durableId="588855855">
    <w:abstractNumId w:val="16"/>
  </w:num>
  <w:num w:numId="14" w16cid:durableId="1576672031">
    <w:abstractNumId w:val="18"/>
  </w:num>
  <w:num w:numId="15" w16cid:durableId="708997168">
    <w:abstractNumId w:val="11"/>
  </w:num>
  <w:num w:numId="16" w16cid:durableId="713575392">
    <w:abstractNumId w:val="20"/>
  </w:num>
  <w:num w:numId="17" w16cid:durableId="348141167">
    <w:abstractNumId w:val="19"/>
  </w:num>
  <w:num w:numId="18" w16cid:durableId="1944878528">
    <w:abstractNumId w:val="15"/>
  </w:num>
  <w:num w:numId="19" w16cid:durableId="85229010">
    <w:abstractNumId w:val="12"/>
  </w:num>
  <w:num w:numId="20" w16cid:durableId="776221861">
    <w:abstractNumId w:val="14"/>
  </w:num>
  <w:num w:numId="21" w16cid:durableId="1601373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D5EBC00A-9263-4FA0-8362-4ED95C542CE8},{6B2C5332-DB5D-4847-A6DA-15B0EAFB8A28},{A91A0519-8886-4C65-9424-5F1F036166D5}"/>
  </w:docVars>
  <w:rsids>
    <w:rsidRoot w:val="00B85DEE"/>
    <w:rsid w:val="008F19F2"/>
    <w:rsid w:val="008F6C6F"/>
    <w:rsid w:val="00B85D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2CA22C-08CD-49F2-B47D-64F77BD5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7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1949</Characters>
  <Application>Microsoft Office Word</Application>
  <DocSecurity>4</DocSecurity>
  <Lines>57</Lines>
  <Paragraphs>33</Paragraphs>
  <ScaleCrop>false</ScaleCrop>
  <HeadingPairs>
    <vt:vector size="2" baseType="variant">
      <vt:variant>
        <vt:lpstr>Rubrik</vt:lpstr>
      </vt:variant>
      <vt:variant>
        <vt:i4>1</vt:i4>
      </vt:variant>
    </vt:vector>
  </HeadingPairs>
  <TitlesOfParts>
    <vt:vector size="1" baseType="lpstr">
      <vt:lpstr>-V415</vt:lpstr>
    </vt:vector>
  </TitlesOfParts>
  <Company>Riksdagen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-V415</dc:title>
  <dc:subject>-V415</dc:subject>
  <dc:creator>Riksdagen</dc:creator>
  <cp:keywords>Riksdagen</cp:keywords>
  <dc:description>Versal/gemen i partibeteckning. Gemen i tryck för 0910, versal för 1011 och nyare</dc:description>
  <cp:lastModifiedBy>Lars Brink</cp:lastModifiedBy>
  <cp:revision>2</cp:revision>
  <cp:lastPrinted>2010-11-12T11:30:00Z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Utgiftsområde15 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Utgiftsområde15 Studiestöd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-V815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Mikael Damberg m.fl. (S, MP, V)</vt:lpwstr>
  </property>
  <property fmtid="{D5CDD505-2E9C-101B-9397-08002B2CF9AE}" pid="26" name="MotionarLista">
    <vt:lpwstr>Damberg, Mikael (S)\Amin, Jabar (MP)\Dinamarca,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Jabar Amin (MP),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20102011000000000086000004150070</vt:lpwstr>
  </property>
  <property fmtid="{D5CDD505-2E9C-101B-9397-08002B2CF9AE}" pid="47" name="datum">
    <vt:lpwstr>101026</vt:lpwstr>
  </property>
  <property fmtid="{D5CDD505-2E9C-101B-9397-08002B2CF9AE}" pid="48" name="avsändar-e-post">
    <vt:lpwstr>dina.fraggidou@riksdagen.se</vt:lpwstr>
  </property>
  <property fmtid="{D5CDD505-2E9C-101B-9397-08002B2CF9AE}" pid="49" name="id">
    <vt:lpwstr>20102011000000000086000004150070</vt:lpwstr>
  </property>
  <property fmtid="{D5CDD505-2E9C-101B-9397-08002B2CF9AE}" pid="50" name="nummer">
    <vt:lpwstr>425</vt:lpwstr>
  </property>
  <property fmtid="{D5CDD505-2E9C-101B-9397-08002B2CF9AE}" pid="51" name="utskottsbeteckning">
    <vt:lpwstr>Ub</vt:lpwstr>
  </property>
  <property fmtid="{D5CDD505-2E9C-101B-9397-08002B2CF9AE}" pid="52" name="GlobalUID">
    <vt:lpwstr>{945E2818-DC37-4927-8675-B57EF3611DEB}</vt:lpwstr>
  </property>
  <property fmtid="{D5CDD505-2E9C-101B-9397-08002B2CF9AE}" pid="53" name="Överföringar">
    <vt:i4>0</vt:i4>
  </property>
  <property fmtid="{D5CDD505-2E9C-101B-9397-08002B2CF9AE}" pid="54" name="Checksum">
    <vt:lpwstr>*0000831024978*</vt:lpwstr>
  </property>
  <property fmtid="{D5CDD505-2E9C-101B-9397-08002B2CF9AE}" pid="55" name="skuggnummer">
    <vt:lpwstr>2351</vt:lpwstr>
  </property>
  <property fmtid="{D5CDD505-2E9C-101B-9397-08002B2CF9AE}" pid="56" name="urixVersion">
    <vt:lpwstr>4.3.0.0</vt:lpwstr>
  </property>
  <property fmtid="{D5CDD505-2E9C-101B-9397-08002B2CF9AE}" pid="57" name="urixOrigin">
    <vt:lpwstr>101115 10:01:15.140</vt:lpwstr>
  </property>
  <property fmtid="{D5CDD505-2E9C-101B-9397-08002B2CF9AE}" pid="58" name="urixGuid">
    <vt:lpwstr>{F79F6C52-5D5E-4FE9-92B6-75557EAFFB0F}</vt:lpwstr>
  </property>
</Properties>
</file>