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D4A" w:rsidRPr="00A00A20" w:rsidRDefault="00337D4A" w:rsidP="00907B36">
      <w:pPr>
        <w:pStyle w:val="Hemstlrubrik"/>
      </w:pPr>
      <w:r w:rsidRPr="00A00A20">
        <w:t>Förslag till riksdagsbeslut</w:t>
      </w:r>
    </w:p>
    <w:p w:rsidR="00337D4A" w:rsidRPr="00A00A20" w:rsidRDefault="00337D4A" w:rsidP="00337D4A">
      <w:pPr>
        <w:pStyle w:val="Hemstlatt"/>
      </w:pPr>
      <w:r w:rsidRPr="00A00A20">
        <w:t>Riksdagen tillkännager för regeringen som sin mening vad i motionen anförs om införande av obligatorisk garanti för utförda tandvårdsåtgä</w:t>
      </w:r>
      <w:r w:rsidRPr="00A00A20">
        <w:t>r</w:t>
      </w:r>
      <w:r w:rsidRPr="00A00A20">
        <w:t>der.</w:t>
      </w:r>
    </w:p>
    <w:p w:rsidR="00337D4A" w:rsidRPr="00A00A20" w:rsidRDefault="00337D4A" w:rsidP="00337D4A">
      <w:pPr>
        <w:pStyle w:val="Hemstlatt"/>
      </w:pPr>
      <w:r w:rsidRPr="00A00A20">
        <w:t xml:space="preserve">Riksdagen tillkännager för regeringen som sin mening vad i motionen anförs om behovet av </w:t>
      </w:r>
      <w:r w:rsidR="00011556" w:rsidRPr="00A00A20">
        <w:t>riktlinjer för</w:t>
      </w:r>
      <w:r w:rsidRPr="00A00A20">
        <w:t xml:space="preserve"> tillsyn inom tandvården.</w:t>
      </w:r>
    </w:p>
    <w:p w:rsidR="00337D4A" w:rsidRPr="00A00A20" w:rsidRDefault="00337D4A" w:rsidP="00337D4A">
      <w:pPr>
        <w:pStyle w:val="Hemstlatt"/>
      </w:pPr>
      <w:r w:rsidRPr="00A00A20">
        <w:t>Riksdagen tillkännager för regeringen som sin mening vad i motionen anförs om riktlinjer för behandling och beaktande vid utarbetande av folkhä</w:t>
      </w:r>
      <w:r w:rsidRPr="00A00A20">
        <w:t>l</w:t>
      </w:r>
      <w:r w:rsidRPr="00A00A20">
        <w:t xml:space="preserve">somål. </w:t>
      </w:r>
    </w:p>
    <w:p w:rsidR="00337D4A" w:rsidRPr="00A00A20" w:rsidRDefault="00337D4A" w:rsidP="00337D4A">
      <w:pPr>
        <w:pStyle w:val="Hemstlatt"/>
      </w:pPr>
      <w:r w:rsidRPr="00A00A20">
        <w:t>Riksdagen tillkännager för regeringen som sin mening vad i motionen anförs om att inga undantag får göras avseende amalgam som tandfyl</w:t>
      </w:r>
      <w:r w:rsidRPr="00A00A20">
        <w:t>l</w:t>
      </w:r>
      <w:r w:rsidRPr="00A00A20">
        <w:t>ning</w:t>
      </w:r>
      <w:r w:rsidRPr="00A00A20">
        <w:t>s</w:t>
      </w:r>
      <w:r w:rsidRPr="00A00A20">
        <w:t>material på barn.</w:t>
      </w:r>
    </w:p>
    <w:p w:rsidR="00337D4A" w:rsidRPr="00A00A20" w:rsidRDefault="00337D4A" w:rsidP="00337D4A">
      <w:pPr>
        <w:pStyle w:val="Hemstlatt"/>
      </w:pPr>
      <w:r w:rsidRPr="00A00A20">
        <w:t>Riksdagen tillkännager för regeringen som sin mening vad i motionen anförs om kartläggning av tandfyllni</w:t>
      </w:r>
      <w:r w:rsidR="00562747" w:rsidRPr="00A00A20">
        <w:t xml:space="preserve">ngsmaterial som tillåtits på grund av </w:t>
      </w:r>
      <w:r w:rsidRPr="00A00A20">
        <w:t>medlemskap i EU.</w:t>
      </w:r>
    </w:p>
    <w:p w:rsidR="00337D4A" w:rsidRPr="00A00A20" w:rsidRDefault="00337D4A" w:rsidP="00337D4A">
      <w:pPr>
        <w:pStyle w:val="Hemstlatt"/>
      </w:pPr>
      <w:r w:rsidRPr="00A00A20">
        <w:t>Riksdagen tillkännager för regeringen som sin mening vad i motionen anförs om uppdrag att analysera tandvården ur ett genusperspektiv.</w:t>
      </w:r>
    </w:p>
    <w:p w:rsidR="00011556" w:rsidRPr="00A00A20" w:rsidRDefault="00011556" w:rsidP="00011556">
      <w:pPr>
        <w:pStyle w:val="Hemstlatt"/>
      </w:pPr>
      <w:r w:rsidRPr="00A00A20">
        <w:t>Riksdagen tillkännager för regeringen som sin mening vad i motionen anförs om att utreda tandutdragningar hos reumatiker.</w:t>
      </w:r>
    </w:p>
    <w:p w:rsidR="00E84F25" w:rsidRPr="00A00A20" w:rsidRDefault="00337D4A" w:rsidP="00E22893">
      <w:pPr>
        <w:pStyle w:val="Rubrik1"/>
      </w:pPr>
      <w:r w:rsidRPr="00A00A20">
        <w:t>Inledning</w:t>
      </w:r>
    </w:p>
    <w:p w:rsidR="00337D4A" w:rsidRPr="00A00A20" w:rsidRDefault="00337D4A" w:rsidP="00337D4A">
      <w:r w:rsidRPr="00A00A20">
        <w:t>Vi har under alla år upprepat att tänder måste betraktas som en del av kro</w:t>
      </w:r>
      <w:r w:rsidRPr="00A00A20">
        <w:t>p</w:t>
      </w:r>
      <w:r w:rsidRPr="00A00A20">
        <w:t>pen. Nu anser vi att det är dags att detta ges en konkret innebörd – nämligen att ett högkostnadsskydd för hälso- och sjukvård också ska omfatta tandvå</w:t>
      </w:r>
      <w:r w:rsidRPr="00A00A20">
        <w:t>r</w:t>
      </w:r>
      <w:r w:rsidRPr="00A00A20">
        <w:t>den. En sådan reform är kostsam men nödvändig. Det betyder dock att pr</w:t>
      </w:r>
      <w:r w:rsidRPr="00A00A20">
        <w:t>o</w:t>
      </w:r>
      <w:r w:rsidRPr="00A00A20">
        <w:t>cessen måste få ta tid och vi bedömer att en sådan reform k</w:t>
      </w:r>
      <w:r w:rsidR="00C547A0" w:rsidRPr="00A00A20">
        <w:t xml:space="preserve">ommer att </w:t>
      </w:r>
      <w:r w:rsidR="009258EE" w:rsidRPr="00A00A20">
        <w:t xml:space="preserve">ta </w:t>
      </w:r>
      <w:r w:rsidR="00C547A0" w:rsidRPr="00A00A20">
        <w:t>tid</w:t>
      </w:r>
      <w:r w:rsidR="009258EE" w:rsidRPr="00A00A20">
        <w:t xml:space="preserve">. Vidare </w:t>
      </w:r>
      <w:r w:rsidRPr="00A00A20">
        <w:t>behöver ett budgetutrymme skapas men också beredningstid så att den mångfald av system som i</w:t>
      </w:r>
      <w:r w:rsidR="0061353C" w:rsidRPr="00A00A20">
        <w:t> </w:t>
      </w:r>
      <w:r w:rsidRPr="00A00A20">
        <w:t>dag råder kan ersättas utan att enskilda drabbas negativt.</w:t>
      </w:r>
    </w:p>
    <w:p w:rsidR="00337D4A" w:rsidRPr="00A00A20" w:rsidRDefault="00337D4A" w:rsidP="00F34D39">
      <w:pPr>
        <w:pStyle w:val="Normaltindrag"/>
      </w:pPr>
      <w:r w:rsidRPr="00A00A20">
        <w:lastRenderedPageBreak/>
        <w:t>Det är dyrt att gå till tandläkaren och efter avregleringen av tandvårdspr</w:t>
      </w:r>
      <w:r w:rsidRPr="00A00A20">
        <w:t>i</w:t>
      </w:r>
      <w:r w:rsidRPr="00A00A20">
        <w:t xml:space="preserve">serna 1999 har priserna accelererat </w:t>
      </w:r>
      <w:r w:rsidR="00907B36" w:rsidRPr="00A00A20">
        <w:t>kraftigt. Under perioden 1999–</w:t>
      </w:r>
      <w:r w:rsidR="004C5BE1" w:rsidRPr="00A00A20">
        <w:t xml:space="preserve">2003 </w:t>
      </w:r>
      <w:r w:rsidRPr="00A00A20">
        <w:t>gick priserna i</w:t>
      </w:r>
      <w:r w:rsidR="00682112" w:rsidRPr="00A00A20">
        <w:t xml:space="preserve"> tandvården upp med 55 procent. </w:t>
      </w:r>
      <w:r w:rsidRPr="00A00A20">
        <w:t>I de undersökningar som Kons</w:t>
      </w:r>
      <w:r w:rsidRPr="00A00A20">
        <w:t>u</w:t>
      </w:r>
      <w:r w:rsidRPr="00A00A20">
        <w:t xml:space="preserve">mentverket genomfört svarar de tillfrågade att man anser att tandvården är för dyr och att det blivit en klassfråga. Ett inte särskilt oväntat resultat. </w:t>
      </w:r>
    </w:p>
    <w:p w:rsidR="00337D4A" w:rsidRPr="00A00A20" w:rsidRDefault="00907B36" w:rsidP="00F34D39">
      <w:pPr>
        <w:pStyle w:val="Normaltindrag"/>
      </w:pPr>
      <w:r w:rsidRPr="00A00A20">
        <w:t>Socialstyrelsen</w:t>
      </w:r>
      <w:r w:rsidR="00337D4A" w:rsidRPr="00A00A20">
        <w:t xml:space="preserve"> gjorde </w:t>
      </w:r>
      <w:r w:rsidR="004D3525" w:rsidRPr="00A00A20">
        <w:t xml:space="preserve">2002 </w:t>
      </w:r>
      <w:r w:rsidR="00337D4A" w:rsidRPr="00A00A20">
        <w:t xml:space="preserve">en undersökning som visade att under </w:t>
      </w:r>
      <w:r w:rsidR="00733784" w:rsidRPr="00A00A20">
        <w:t xml:space="preserve">år </w:t>
      </w:r>
      <w:r w:rsidR="00337D4A" w:rsidRPr="00A00A20">
        <w:t xml:space="preserve">2000 hade 68 procent av männen och 74 procent av kvinnorna besökt tandläkare för mindre än ett år sedan. Men det hade samtidigt skett en förändring mot </w:t>
      </w:r>
      <w:r w:rsidRPr="00A00A20">
        <w:t>färre besök i åldersgruppen 16–</w:t>
      </w:r>
      <w:r w:rsidR="00337D4A" w:rsidRPr="00A00A20">
        <w:t>24 år och allra störst var förändringen</w:t>
      </w:r>
      <w:r w:rsidRPr="00A00A20">
        <w:t xml:space="preserve"> bland män i åldersgruppen 25–</w:t>
      </w:r>
      <w:r w:rsidR="00337D4A" w:rsidRPr="00A00A20">
        <w:t>44 år. Socialstyrelsen har också visat i en tidigare undersökning 1999 att 15 procent, 1 miljon människor, avstått helt eller delvis från tandvård av ekonomiska skäl.</w:t>
      </w:r>
    </w:p>
    <w:p w:rsidR="00337D4A" w:rsidRPr="00A00A20" w:rsidRDefault="00337D4A" w:rsidP="00F34D39">
      <w:pPr>
        <w:pStyle w:val="Normaltindrag"/>
      </w:pPr>
      <w:r w:rsidRPr="00A00A20">
        <w:t>Tillgången till tandvård och problemet med de höga kostnaderna har blivit tydligare allteftersom tandvårdsförsäkringen urholkats. Därför har också kostnaderna för att införa ett generellt högkostnadsskydd ökat. Vänsterpartiet menar därför att det är hög tid att ta ett första reellt steg mot ett generellt hö</w:t>
      </w:r>
      <w:r w:rsidRPr="00A00A20">
        <w:t>g</w:t>
      </w:r>
      <w:r w:rsidRPr="00A00A20">
        <w:t xml:space="preserve">kostnadsskydd och utveckla tandvårdsförsäkringen. </w:t>
      </w:r>
    </w:p>
    <w:p w:rsidR="00337D4A" w:rsidRPr="00A00A20" w:rsidRDefault="00337D4A" w:rsidP="00F34D39">
      <w:pPr>
        <w:pStyle w:val="Normaltindrag"/>
      </w:pPr>
      <w:r w:rsidRPr="00A00A20">
        <w:t>Vård, oavsett om det är kropp eller tänder, får aldrig bli en fråga om ek</w:t>
      </w:r>
      <w:r w:rsidRPr="00A00A20">
        <w:t>o</w:t>
      </w:r>
      <w:r w:rsidRPr="00A00A20">
        <w:t>nomiska resurser så som det är i</w:t>
      </w:r>
      <w:r w:rsidR="00733784" w:rsidRPr="00A00A20">
        <w:t> </w:t>
      </w:r>
      <w:r w:rsidRPr="00A00A20">
        <w:t>dag. Därför är vi glada att vi äntligen fått gehör för våra krav. I budgeten för 2006 slås fast</w:t>
      </w:r>
      <w:r w:rsidR="00907B36" w:rsidRPr="00A00A20">
        <w:t>:</w:t>
      </w:r>
      <w:r w:rsidR="00733784" w:rsidRPr="00A00A20">
        <w:t>”…</w:t>
      </w:r>
      <w:r w:rsidR="00907B36" w:rsidRPr="00A00A20">
        <w:t xml:space="preserve"> </w:t>
      </w:r>
      <w:r w:rsidR="00C547A0" w:rsidRPr="00A00A20">
        <w:t xml:space="preserve">under 2006 utforma en tandvårdsreform med inriktningen att säkra en god tandhälsa och ett skydd mot höga tandvårdskostnader. Genomförandet påbörjas </w:t>
      </w:r>
      <w:smartTag w:uri="urn:schemas-microsoft-com:office:smarttags" w:element="metricconverter">
        <w:smartTagPr>
          <w:attr w:name="ProductID" w:val="2007.”"/>
        </w:smartTagPr>
        <w:r w:rsidR="00C547A0" w:rsidRPr="00A00A20">
          <w:t>2007</w:t>
        </w:r>
        <w:r w:rsidR="00907B36" w:rsidRPr="00A00A20">
          <w:t>.</w:t>
        </w:r>
        <w:r w:rsidR="00E911C1" w:rsidRPr="00A00A20">
          <w:t>”</w:t>
        </w:r>
      </w:smartTag>
      <w:r w:rsidR="00C547A0" w:rsidRPr="00A00A20">
        <w:t xml:space="preserve"> </w:t>
      </w:r>
    </w:p>
    <w:p w:rsidR="00337D4A" w:rsidRPr="00A00A20" w:rsidRDefault="00337D4A" w:rsidP="00BC4F5E">
      <w:pPr>
        <w:pStyle w:val="Rubrik1"/>
      </w:pPr>
      <w:r w:rsidRPr="00A00A20">
        <w:t>Kvalitet och säkerhet i tandvården</w:t>
      </w:r>
    </w:p>
    <w:p w:rsidR="00337D4A" w:rsidRPr="00A00A20" w:rsidRDefault="00337D4A" w:rsidP="00337D4A">
      <w:r w:rsidRPr="00A00A20">
        <w:t>En god tandvård handlar inte bara om rimliga kostnader utan också om kval</w:t>
      </w:r>
      <w:r w:rsidRPr="00A00A20">
        <w:t>i</w:t>
      </w:r>
      <w:r w:rsidRPr="00A00A20">
        <w:t>tet. På grund av tandvårdsförsäkring</w:t>
      </w:r>
      <w:r w:rsidR="00C547A0" w:rsidRPr="00A00A20">
        <w:t>ens utformning och tandvårdens struktur</w:t>
      </w:r>
      <w:r w:rsidRPr="00A00A20">
        <w:t xml:space="preserve"> </w:t>
      </w:r>
      <w:r w:rsidR="00C547A0" w:rsidRPr="00A00A20">
        <w:t xml:space="preserve">som </w:t>
      </w:r>
      <w:r w:rsidRPr="00A00A20">
        <w:t>skilt sig åt från hälso- och sjukvården har lite tid och kraft lagts ned på kvalitetsfrågor. I</w:t>
      </w:r>
      <w:r w:rsidR="00B2612C" w:rsidRPr="00A00A20">
        <w:t> </w:t>
      </w:r>
      <w:r w:rsidRPr="00A00A20">
        <w:t>dag saknas det motsvarande kvalitetssystem i tandvården som inom den övriga hälso- och sjukvården. Det handlar</w:t>
      </w:r>
      <w:r w:rsidR="00255337" w:rsidRPr="00A00A20">
        <w:t xml:space="preserve"> t.</w:t>
      </w:r>
      <w:r w:rsidRPr="00A00A20">
        <w:t>ex</w:t>
      </w:r>
      <w:r w:rsidR="00255337" w:rsidRPr="00A00A20">
        <w:t>.</w:t>
      </w:r>
      <w:r w:rsidRPr="00A00A20">
        <w:t xml:space="preserve"> om garantier efter utförd åtgärd. Många tandläkare har infört en frivillig regel om att kos</w:t>
      </w:r>
      <w:r w:rsidRPr="00A00A20">
        <w:t>t</w:t>
      </w:r>
      <w:r w:rsidRPr="00A00A20">
        <w:t>nadsfritt åtgärda</w:t>
      </w:r>
      <w:r w:rsidR="009D5D33" w:rsidRPr="00A00A20">
        <w:t xml:space="preserve"> t.</w:t>
      </w:r>
      <w:r w:rsidRPr="00A00A20">
        <w:t>ex</w:t>
      </w:r>
      <w:r w:rsidR="009D5D33" w:rsidRPr="00A00A20">
        <w:t>.</w:t>
      </w:r>
      <w:r w:rsidRPr="00A00A20">
        <w:t xml:space="preserve"> en lagning som faller sönder onormalt kort tid efter lagningen. Men det är inte obligatoriskt. Vi menar att det är en betydande osäkerhet för den enskilda patienten och föreslår därför att en obligatorisk garanti för åtgärder inom tandvården införs. Detta bör riksdagen som sin mening ge regeringen till känna.</w:t>
      </w:r>
    </w:p>
    <w:p w:rsidR="00337D4A" w:rsidRPr="00A00A20" w:rsidRDefault="00337D4A" w:rsidP="00BC4F5E">
      <w:pPr>
        <w:pStyle w:val="Normaltindrag"/>
      </w:pPr>
      <w:r w:rsidRPr="00A00A20">
        <w:t>Vi har en alltmer utvecklad tillsyn och uppföljning av kvaliteten inom hä</w:t>
      </w:r>
      <w:r w:rsidRPr="00A00A20">
        <w:t>l</w:t>
      </w:r>
      <w:r w:rsidRPr="00A00A20">
        <w:t xml:space="preserve">so- och sjukvården. I det arbetet tycker vi att tandvården släpat efter. Det finns ett lika stort behov av kvalitetsuppföljning inom tandvården som i annan hälso- och sjukvård. </w:t>
      </w:r>
    </w:p>
    <w:p w:rsidR="00337D4A" w:rsidRPr="00A00A20" w:rsidRDefault="00337D4A" w:rsidP="00010F50">
      <w:pPr>
        <w:pStyle w:val="Normaltindrag"/>
      </w:pPr>
      <w:r w:rsidRPr="00A00A20">
        <w:t xml:space="preserve">En satsning på kvalitetssäkring inom tandvården skulle enligt vår mening innebära ökad tillsyn av kompetens, behandlingsriktlinjer, ökade möjligheter </w:t>
      </w:r>
      <w:r w:rsidR="00011556" w:rsidRPr="00A00A20">
        <w:t xml:space="preserve">för patienten </w:t>
      </w:r>
      <w:r w:rsidRPr="00A00A20">
        <w:t>att framföra klagomål, produktkontroller och inte minst garantier vid behandling. I</w:t>
      </w:r>
      <w:r w:rsidR="00F96757" w:rsidRPr="00A00A20">
        <w:t xml:space="preserve"> dag kan en patient få </w:t>
      </w:r>
      <w:r w:rsidRPr="00A00A20">
        <w:t xml:space="preserve">en åtgärd </w:t>
      </w:r>
      <w:r w:rsidR="00F96757" w:rsidRPr="00A00A20">
        <w:t xml:space="preserve">utförd </w:t>
      </w:r>
      <w:r w:rsidRPr="00A00A20">
        <w:t>på flera olika sätt till olika kostnader utan att få en rimlig vägledning om vad s</w:t>
      </w:r>
      <w:r w:rsidR="00010F50" w:rsidRPr="00A00A20">
        <w:t xml:space="preserve">om bäst uppfyller behovet. </w:t>
      </w:r>
      <w:r w:rsidRPr="00A00A20">
        <w:t>V</w:t>
      </w:r>
      <w:r w:rsidR="00EB6F72" w:rsidRPr="00A00A20">
        <w:t>i</w:t>
      </w:r>
      <w:r w:rsidRPr="00A00A20">
        <w:t xml:space="preserve"> föreslår därför att Socialstyrelsen ges i uppdrag att </w:t>
      </w:r>
      <w:r w:rsidR="00011556" w:rsidRPr="00A00A20">
        <w:t>utforma rik</w:t>
      </w:r>
      <w:r w:rsidR="00011556" w:rsidRPr="00A00A20">
        <w:t>t</w:t>
      </w:r>
      <w:r w:rsidR="00011556" w:rsidRPr="00A00A20">
        <w:t xml:space="preserve">linjer för </w:t>
      </w:r>
      <w:r w:rsidRPr="00A00A20">
        <w:t>tillsyn av tandvården</w:t>
      </w:r>
      <w:r w:rsidR="00011556" w:rsidRPr="00A00A20">
        <w:t>.</w:t>
      </w:r>
      <w:r w:rsidRPr="00A00A20">
        <w:t xml:space="preserve"> Detta bör riksdagen som sin mening ge rege</w:t>
      </w:r>
      <w:r w:rsidRPr="00A00A20">
        <w:t>r</w:t>
      </w:r>
      <w:r w:rsidRPr="00A00A20">
        <w:t>ingen till känna.</w:t>
      </w:r>
    </w:p>
    <w:p w:rsidR="00337D4A" w:rsidRPr="00A00A20" w:rsidRDefault="00337D4A" w:rsidP="009D7397">
      <w:pPr>
        <w:pStyle w:val="Normaltindrag"/>
      </w:pPr>
      <w:r w:rsidRPr="00A00A20">
        <w:t>Förebyggande tandvård är en viktig folkhälsoinsats som sträcker sig långt utanför tandläkarmottagningen. En bra tandhälsa handlar om munhygien, matvanor och korrelation till andra sjukdomar samt läkemedel. Det betyder att primärvården, barnavårdscentraler och elevhälsa är viktiga aktörer i arbetet med att förebygg</w:t>
      </w:r>
      <w:r w:rsidR="009D7397" w:rsidRPr="00A00A20">
        <w:t xml:space="preserve">a tandskador. </w:t>
      </w:r>
      <w:r w:rsidRPr="00A00A20">
        <w:t>Vi menar att det är av vikt att vid utarbetande av riktlinjer för behandling av sjukdomar och vid utarbetande av folkhälsomål också inbegripa tandhälsan. Detta bör riksdagen som sin mening ge regerin</w:t>
      </w:r>
      <w:r w:rsidRPr="00A00A20">
        <w:t>g</w:t>
      </w:r>
      <w:r w:rsidRPr="00A00A20">
        <w:t>en till känna.</w:t>
      </w:r>
    </w:p>
    <w:p w:rsidR="00337D4A" w:rsidRPr="00A00A20" w:rsidRDefault="00337D4A" w:rsidP="00BC4F5E">
      <w:pPr>
        <w:pStyle w:val="Normaltindrag"/>
      </w:pPr>
      <w:r w:rsidRPr="00A00A20">
        <w:t>Även i kontakten med tandläkarmottagningen bör man prioritera det för</w:t>
      </w:r>
      <w:r w:rsidRPr="00A00A20">
        <w:t>e</w:t>
      </w:r>
      <w:r w:rsidRPr="00A00A20">
        <w:t>byggande arbetet i relation till behandlingar. Samverkan</w:t>
      </w:r>
      <w:r w:rsidR="00907B36" w:rsidRPr="00A00A20">
        <w:t xml:space="preserve"> med övrig hälso- och sjukvård</w:t>
      </w:r>
      <w:r w:rsidRPr="00A00A20">
        <w:t xml:space="preserve"> bör också stimuleras och utvecklas så att</w:t>
      </w:r>
      <w:r w:rsidR="004721CE" w:rsidRPr="00A00A20">
        <w:t xml:space="preserve"> t.</w:t>
      </w:r>
      <w:r w:rsidRPr="00A00A20">
        <w:t>ex</w:t>
      </w:r>
      <w:r w:rsidR="004721CE" w:rsidRPr="00A00A20">
        <w:t>.</w:t>
      </w:r>
      <w:r w:rsidRPr="00A00A20">
        <w:t xml:space="preserve"> tandläkare finns i anslutning till </w:t>
      </w:r>
      <w:r w:rsidR="00011556" w:rsidRPr="00A00A20">
        <w:t>primärvården</w:t>
      </w:r>
      <w:r w:rsidRPr="00A00A20">
        <w:t>.</w:t>
      </w:r>
    </w:p>
    <w:p w:rsidR="00337D4A" w:rsidRPr="00A00A20" w:rsidRDefault="00337D4A" w:rsidP="00BC4F5E">
      <w:pPr>
        <w:pStyle w:val="Rubrik1"/>
      </w:pPr>
      <w:r w:rsidRPr="00A00A20">
        <w:t>Amalgam och andra tandfyllningsmaterial</w:t>
      </w:r>
    </w:p>
    <w:p w:rsidR="00337D4A" w:rsidRPr="00A00A20" w:rsidRDefault="00337D4A" w:rsidP="00BC4F5E">
      <w:r w:rsidRPr="00A00A20">
        <w:t>Tandfyllningsmaterial är en viktig kvalitet</w:t>
      </w:r>
      <w:r w:rsidR="00E90C3B" w:rsidRPr="00A00A20">
        <w:t>s</w:t>
      </w:r>
      <w:r w:rsidR="00907B36" w:rsidRPr="00A00A20">
        <w:t>-</w:t>
      </w:r>
      <w:r w:rsidRPr="00A00A20">
        <w:t xml:space="preserve"> och miljöfråga inom tandvården. Det f</w:t>
      </w:r>
      <w:r w:rsidR="002C34D5" w:rsidRPr="00A00A20">
        <w:t xml:space="preserve">inns behov av både uppföljning, </w:t>
      </w:r>
      <w:r w:rsidR="0051587C" w:rsidRPr="00A00A20">
        <w:t>tillsyn och forskning kring</w:t>
      </w:r>
      <w:r w:rsidRPr="00A00A20">
        <w:t xml:space="preserve"> tandfyl</w:t>
      </w:r>
      <w:r w:rsidRPr="00A00A20">
        <w:t>l</w:t>
      </w:r>
      <w:r w:rsidRPr="00A00A20">
        <w:t>ningsmaterial som används i</w:t>
      </w:r>
      <w:r w:rsidR="006B4D11" w:rsidRPr="00A00A20">
        <w:t> </w:t>
      </w:r>
      <w:r w:rsidRPr="00A00A20">
        <w:t>dag. Det handlar om tandvårdspersonalens a</w:t>
      </w:r>
      <w:r w:rsidRPr="00A00A20">
        <w:t>r</w:t>
      </w:r>
      <w:r w:rsidRPr="00A00A20">
        <w:t xml:space="preserve">betsmiljö, patientens säkerhet och värnandet om miljön. Amalgam som länge varit ett ifrågasatt tandfyllningsmaterial subventioneras inte längre. Och </w:t>
      </w:r>
      <w:r w:rsidR="00907B36" w:rsidRPr="00A00A20">
        <w:t xml:space="preserve">det </w:t>
      </w:r>
      <w:r w:rsidRPr="00A00A20">
        <w:t>är på väg att försvinna helt men med ett undantag. Det förekommer fortfarande att barn med funktionshinder får fyllningar med amalgam trots att det egentl</w:t>
      </w:r>
      <w:r w:rsidRPr="00A00A20">
        <w:t>i</w:t>
      </w:r>
      <w:r w:rsidRPr="00A00A20">
        <w:t>gen råder totalförbud för amalgamfyllningar just för barn. Motivet för detta är att man</w:t>
      </w:r>
      <w:r w:rsidR="00DB3838" w:rsidRPr="00A00A20">
        <w:t xml:space="preserve"> bl.</w:t>
      </w:r>
      <w:r w:rsidRPr="00A00A20">
        <w:t>a</w:t>
      </w:r>
      <w:r w:rsidR="00DB3838" w:rsidRPr="00A00A20">
        <w:t>.</w:t>
      </w:r>
      <w:r w:rsidRPr="00A00A20">
        <w:t xml:space="preserve"> anser sig behöva särskilt hållbara material för vissa av dessa barn. Vi menar att det är oerhört cyniskt att ett skadligt tandfyllningsmaterial ska kunna användas för att laga tänderna på barn som </w:t>
      </w:r>
      <w:r w:rsidR="00907B36" w:rsidRPr="00A00A20">
        <w:t>kanske inte</w:t>
      </w:r>
      <w:r w:rsidRPr="00A00A20">
        <w:t xml:space="preserve"> har möjli</w:t>
      </w:r>
      <w:r w:rsidRPr="00A00A20">
        <w:t>g</w:t>
      </w:r>
      <w:r w:rsidRPr="00A00A20">
        <w:t xml:space="preserve">het att själva uttrycka sin vilja. Vänsterpartiet anser därför att undantag inte får medges för användande av amalgam till barn. Detta bör riksdagen som sin mening ge regeringen till känna. </w:t>
      </w:r>
    </w:p>
    <w:p w:rsidR="00337D4A" w:rsidRPr="00A00A20" w:rsidRDefault="00337D4A" w:rsidP="00BC4F5E">
      <w:pPr>
        <w:pStyle w:val="Normaltindrag"/>
      </w:pPr>
      <w:r w:rsidRPr="00A00A20">
        <w:t>Men amalgam är inte det enda tandfyllningsmaterial som är förenat med miljö- och hälsorisker. Det finns andra material som tidigare varit förbjudna i Sverige som nu är tillåtna på grund av Sveriges medlemskap i EU. Det finns tandläkare</w:t>
      </w:r>
      <w:r w:rsidR="00D223C6" w:rsidRPr="00A00A20">
        <w:t>,</w:t>
      </w:r>
      <w:r w:rsidRPr="00A00A20">
        <w:t xml:space="preserve"> </w:t>
      </w:r>
      <w:r w:rsidR="00D223C6" w:rsidRPr="00A00A20">
        <w:t xml:space="preserve">som </w:t>
      </w:r>
      <w:r w:rsidRPr="00A00A20">
        <w:t>i motsats till Social</w:t>
      </w:r>
      <w:r w:rsidR="00907B36" w:rsidRPr="00A00A20">
        <w:t>styrelsens rekommendationer</w:t>
      </w:r>
      <w:r w:rsidR="00D223C6" w:rsidRPr="00A00A20">
        <w:t xml:space="preserve"> </w:t>
      </w:r>
      <w:r w:rsidRPr="00A00A20">
        <w:t>använder dessa material med stor risk för patienterna att utveckla reaktioner mot me</w:t>
      </w:r>
      <w:r w:rsidRPr="00A00A20">
        <w:t>d</w:t>
      </w:r>
      <w:r w:rsidRPr="00A00A20">
        <w:t>let. Socialstyrelsen bör därför ges i uppdrag att kartlägga förekomsten av tandfyllningsmaterial som tidigare varit otillåtna men som nu genom EU</w:t>
      </w:r>
      <w:r w:rsidR="00F2339C" w:rsidRPr="00A00A20">
        <w:t>:</w:t>
      </w:r>
      <w:r w:rsidRPr="00A00A20">
        <w:t>s regelverk kan användas. Detta bör riksdagen som sin mening ge regeringen till känna.</w:t>
      </w:r>
    </w:p>
    <w:p w:rsidR="00337D4A" w:rsidRPr="00A00A20" w:rsidRDefault="00337D4A" w:rsidP="00BC4F5E">
      <w:pPr>
        <w:pStyle w:val="Rubrik1"/>
      </w:pPr>
      <w:r w:rsidRPr="00A00A20">
        <w:t>Kvinnor, män och tandvård</w:t>
      </w:r>
    </w:p>
    <w:p w:rsidR="00337D4A" w:rsidRPr="00A00A20" w:rsidRDefault="00FA67A7" w:rsidP="00337D4A">
      <w:r w:rsidRPr="00A00A20">
        <w:t>U</w:t>
      </w:r>
      <w:r w:rsidR="00337D4A" w:rsidRPr="00A00A20">
        <w:t>ppföljning av tandvården, tandhälsan och tandvårdsut</w:t>
      </w:r>
      <w:r w:rsidRPr="00A00A20">
        <w:t>n</w:t>
      </w:r>
      <w:r w:rsidR="00B32C9E" w:rsidRPr="00A00A20">
        <w:t xml:space="preserve">yttjandet har inte </w:t>
      </w:r>
      <w:r w:rsidRPr="00A00A20">
        <w:t xml:space="preserve">granskats </w:t>
      </w:r>
      <w:r w:rsidR="00B32C9E" w:rsidRPr="00A00A20">
        <w:t xml:space="preserve">särskilt </w:t>
      </w:r>
      <w:r w:rsidR="00337D4A" w:rsidRPr="00A00A20">
        <w:t>ur ett genusperspektiv. Den statliga utredningen Tandvå</w:t>
      </w:r>
      <w:r w:rsidR="00337D4A" w:rsidRPr="00A00A20">
        <w:t>r</w:t>
      </w:r>
      <w:r w:rsidR="00337D4A" w:rsidRPr="00A00A20">
        <w:t>den till 2010 (SOU 2002:53) konstaterade dock att det var få delar utifrån deras undersökning som pekade på några större skillnader mellan kvinnor och män</w:t>
      </w:r>
      <w:r w:rsidR="00D74788" w:rsidRPr="00A00A20">
        <w:t>,</w:t>
      </w:r>
      <w:r w:rsidR="00337D4A" w:rsidRPr="00A00A20">
        <w:t xml:space="preserve"> med ett undantag. Det gä</w:t>
      </w:r>
      <w:r w:rsidR="00384421" w:rsidRPr="00A00A20">
        <w:t>ller ökat tandvårdsbehov som uppstår på grund av</w:t>
      </w:r>
      <w:r w:rsidR="00337D4A" w:rsidRPr="00A00A20">
        <w:t xml:space="preserve"> långvarig sjukdom eller funktionshinder. Sjukdomar som berördes var</w:t>
      </w:r>
      <w:r w:rsidR="00384421" w:rsidRPr="00A00A20">
        <w:t xml:space="preserve"> bl.</w:t>
      </w:r>
      <w:r w:rsidR="00337D4A" w:rsidRPr="00A00A20">
        <w:t>a</w:t>
      </w:r>
      <w:r w:rsidR="00384421" w:rsidRPr="00A00A20">
        <w:t>.</w:t>
      </w:r>
      <w:r w:rsidR="00337D4A" w:rsidRPr="00A00A20">
        <w:t xml:space="preserve"> reumatiska sjukdomar och ätstörningar som ofta drabbar kvinnor. De nås inte heller i</w:t>
      </w:r>
      <w:r w:rsidR="00384421" w:rsidRPr="00A00A20">
        <w:t> </w:t>
      </w:r>
      <w:r w:rsidR="00337D4A" w:rsidRPr="00A00A20">
        <w:t xml:space="preserve">dag av andra </w:t>
      </w:r>
      <w:r w:rsidR="00011556" w:rsidRPr="00A00A20">
        <w:t xml:space="preserve">subventioner </w:t>
      </w:r>
      <w:r w:rsidR="00337D4A" w:rsidRPr="00A00A20">
        <w:t>inom tandvård</w:t>
      </w:r>
      <w:r w:rsidR="00011556" w:rsidRPr="00A00A20">
        <w:t>sförsäkringen</w:t>
      </w:r>
      <w:r w:rsidR="00337D4A" w:rsidRPr="00A00A20">
        <w:t xml:space="preserve">. Vänsterpartiet anser därför att Försäkringskassan </w:t>
      </w:r>
      <w:r w:rsidR="007323CF" w:rsidRPr="00A00A20">
        <w:t xml:space="preserve">ska </w:t>
      </w:r>
      <w:r w:rsidR="00337D4A" w:rsidRPr="00A00A20">
        <w:t>ges i uppdrag att analysera tandvården ur ett genusperspektiv. Detta bör riksdagen som sin mening ge regeringen till känna.</w:t>
      </w:r>
    </w:p>
    <w:p w:rsidR="00011556" w:rsidRPr="00A00A20" w:rsidRDefault="00011556" w:rsidP="00BC4F5E">
      <w:pPr>
        <w:pStyle w:val="Rubrik1"/>
      </w:pPr>
      <w:r w:rsidRPr="00A00A20">
        <w:t>Tandutdragningar som behandling vid reumatiska sjukdomar</w:t>
      </w:r>
    </w:p>
    <w:p w:rsidR="00BC4F5E" w:rsidRPr="00A00A20" w:rsidRDefault="00011556" w:rsidP="001B0C89">
      <w:r w:rsidRPr="00A00A20">
        <w:t>Under en period, framför</w:t>
      </w:r>
      <w:r w:rsidR="00907B36" w:rsidRPr="00A00A20">
        <w:t xml:space="preserve"> allt under 40 och </w:t>
      </w:r>
      <w:r w:rsidR="00DE0BD1" w:rsidRPr="00A00A20">
        <w:t>50-</w:t>
      </w:r>
      <w:r w:rsidRPr="00A00A20">
        <w:t>tale</w:t>
      </w:r>
      <w:r w:rsidR="00F34D39" w:rsidRPr="00A00A20">
        <w:t>n</w:t>
      </w:r>
      <w:r w:rsidRPr="00A00A20">
        <w:t>, behandlades vissa re</w:t>
      </w:r>
      <w:r w:rsidRPr="00A00A20">
        <w:t>u</w:t>
      </w:r>
      <w:r w:rsidRPr="00A00A20">
        <w:t>matiker genom tandutdragning. Många reumatiker, framför</w:t>
      </w:r>
      <w:r w:rsidR="00CE2986" w:rsidRPr="00A00A20">
        <w:t xml:space="preserve"> </w:t>
      </w:r>
      <w:r w:rsidRPr="00A00A20">
        <w:t>allt kvinnor, fick i unga år samtliga tänder utdragna och tvingades därefter att använda protes. Vi vet att tänder och tandstatus är en mycket viktig del av det generella välbefi</w:t>
      </w:r>
      <w:r w:rsidRPr="00A00A20">
        <w:t>n</w:t>
      </w:r>
      <w:r w:rsidRPr="00A00A20">
        <w:t>nandet och hälsan</w:t>
      </w:r>
      <w:r w:rsidR="007E29D6" w:rsidRPr="00A00A20">
        <w:t>,</w:t>
      </w:r>
      <w:r w:rsidRPr="00A00A20">
        <w:t xml:space="preserve"> varför vi enkelt kan förstå det trauma det måste ha inneb</w:t>
      </w:r>
      <w:r w:rsidRPr="00A00A20">
        <w:t>u</w:t>
      </w:r>
      <w:r w:rsidRPr="00A00A20">
        <w:t>rit att få samtliga tänder avlägsnade. Ingreppen utfördes utifrån det kunskap</w:t>
      </w:r>
      <w:r w:rsidRPr="00A00A20">
        <w:t>s</w:t>
      </w:r>
      <w:r w:rsidRPr="00A00A20">
        <w:t>läge som rådde vid denna tid. Men vi kan konstatera att några behandling</w:t>
      </w:r>
      <w:r w:rsidRPr="00A00A20">
        <w:t>s</w:t>
      </w:r>
      <w:r w:rsidRPr="00A00A20">
        <w:t>former som i en dåtid betraktats som lege artis nu berättigar till ersättning</w:t>
      </w:r>
      <w:r w:rsidR="00907B36" w:rsidRPr="00A00A20">
        <w:t>,</w:t>
      </w:r>
      <w:r w:rsidRPr="00A00A20">
        <w:t xml:space="preserve"> t</w:t>
      </w:r>
      <w:r w:rsidR="00C73087" w:rsidRPr="00A00A20">
        <w:t>.</w:t>
      </w:r>
      <w:r w:rsidRPr="00A00A20">
        <w:t>ex</w:t>
      </w:r>
      <w:r w:rsidR="00C73087" w:rsidRPr="00A00A20">
        <w:t>.</w:t>
      </w:r>
      <w:r w:rsidRPr="00A00A20">
        <w:t xml:space="preserve"> talidomidskadade. Vi bedömer att tandutdragningar hos reumatiker är en sådan behandling. Vänsterpartiet menar därför att regeringen bör utreda o</w:t>
      </w:r>
      <w:r w:rsidRPr="00A00A20">
        <w:t>m</w:t>
      </w:r>
      <w:r w:rsidRPr="00A00A20">
        <w:t>fattning</w:t>
      </w:r>
      <w:r w:rsidR="00907B36" w:rsidRPr="00A00A20">
        <w:t>en</w:t>
      </w:r>
      <w:r w:rsidRPr="00A00A20">
        <w:t xml:space="preserve"> och konsekvenserna för de drabbade samt återkomma till riksdagen med en redovisning. Detta bör riksdagen som sin me</w:t>
      </w:r>
      <w:r w:rsidR="00B95AC8" w:rsidRPr="00A00A20">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7B36" w:rsidRPr="00A00A20">
        <w:tblPrEx>
          <w:tblCellMar>
            <w:top w:w="0" w:type="dxa"/>
            <w:bottom w:w="0" w:type="dxa"/>
          </w:tblCellMar>
        </w:tblPrEx>
        <w:trPr>
          <w:cantSplit/>
        </w:trPr>
        <w:tc>
          <w:tcPr>
            <w:tcW w:w="3046" w:type="dxa"/>
          </w:tcPr>
          <w:p w:rsidR="00907B36" w:rsidRPr="00A00A20" w:rsidRDefault="00907B36" w:rsidP="00907B36">
            <w:pPr>
              <w:pStyle w:val="UnderskriftDatum"/>
              <w:spacing w:before="240"/>
            </w:pPr>
            <w:r w:rsidRPr="00A00A20">
              <w:t>Stockholm den 30 september 2005</w:t>
            </w:r>
          </w:p>
        </w:tc>
        <w:tc>
          <w:tcPr>
            <w:tcW w:w="3047" w:type="dxa"/>
          </w:tcPr>
          <w:p w:rsidR="00907B36" w:rsidRPr="00A00A20" w:rsidRDefault="00907B36" w:rsidP="00907B36">
            <w:pPr>
              <w:pStyle w:val="Underskrifter"/>
              <w:spacing w:before="240"/>
            </w:pPr>
          </w:p>
        </w:tc>
      </w:tr>
      <w:tr w:rsidR="00907B36" w:rsidRPr="00A00A20">
        <w:tblPrEx>
          <w:tblCellMar>
            <w:top w:w="0" w:type="dxa"/>
            <w:bottom w:w="0" w:type="dxa"/>
          </w:tblCellMar>
        </w:tblPrEx>
        <w:trPr>
          <w:cantSplit/>
        </w:trPr>
        <w:tc>
          <w:tcPr>
            <w:tcW w:w="3046" w:type="dxa"/>
          </w:tcPr>
          <w:p w:rsidR="00907B36" w:rsidRPr="00A00A20" w:rsidRDefault="00907B36" w:rsidP="00907B36">
            <w:pPr>
              <w:pStyle w:val="Underskrifter"/>
            </w:pPr>
            <w:r w:rsidRPr="00A00A20">
              <w:t>Lars Ohly (v)</w:t>
            </w:r>
          </w:p>
        </w:tc>
        <w:tc>
          <w:tcPr>
            <w:tcW w:w="3047" w:type="dxa"/>
          </w:tcPr>
          <w:p w:rsidR="00907B36" w:rsidRPr="00A00A20" w:rsidRDefault="00907B36" w:rsidP="00907B36">
            <w:pPr>
              <w:pStyle w:val="Underskrifter"/>
            </w:pPr>
          </w:p>
        </w:tc>
      </w:tr>
      <w:tr w:rsidR="00907B36" w:rsidRPr="00A00A20">
        <w:tblPrEx>
          <w:tblCellMar>
            <w:top w:w="0" w:type="dxa"/>
            <w:bottom w:w="0" w:type="dxa"/>
          </w:tblCellMar>
        </w:tblPrEx>
        <w:trPr>
          <w:cantSplit/>
        </w:trPr>
        <w:tc>
          <w:tcPr>
            <w:tcW w:w="3046" w:type="dxa"/>
          </w:tcPr>
          <w:p w:rsidR="00907B36" w:rsidRPr="00A00A20" w:rsidRDefault="00907B36" w:rsidP="00907B36">
            <w:pPr>
              <w:pStyle w:val="Underskrifter"/>
            </w:pPr>
            <w:r w:rsidRPr="00A00A20">
              <w:t>Lars Bäckström (v)</w:t>
            </w:r>
          </w:p>
        </w:tc>
        <w:tc>
          <w:tcPr>
            <w:tcW w:w="3047" w:type="dxa"/>
          </w:tcPr>
          <w:p w:rsidR="00907B36" w:rsidRPr="00A00A20" w:rsidRDefault="00907B36" w:rsidP="00907B36">
            <w:pPr>
              <w:pStyle w:val="Underskrifter"/>
            </w:pPr>
            <w:r w:rsidRPr="00A00A20">
              <w:t>Lennart Gustavsson (v)</w:t>
            </w:r>
          </w:p>
        </w:tc>
      </w:tr>
      <w:tr w:rsidR="00907B36" w:rsidRPr="00A00A20">
        <w:tblPrEx>
          <w:tblCellMar>
            <w:top w:w="0" w:type="dxa"/>
            <w:bottom w:w="0" w:type="dxa"/>
          </w:tblCellMar>
        </w:tblPrEx>
        <w:trPr>
          <w:cantSplit/>
        </w:trPr>
        <w:tc>
          <w:tcPr>
            <w:tcW w:w="3046" w:type="dxa"/>
          </w:tcPr>
          <w:p w:rsidR="00907B36" w:rsidRPr="00A00A20" w:rsidRDefault="00907B36" w:rsidP="00907B36">
            <w:pPr>
              <w:pStyle w:val="Underskrifter"/>
            </w:pPr>
            <w:r w:rsidRPr="00A00A20">
              <w:t>Berit Jóhannesson (v)</w:t>
            </w:r>
          </w:p>
        </w:tc>
        <w:tc>
          <w:tcPr>
            <w:tcW w:w="3047" w:type="dxa"/>
          </w:tcPr>
          <w:p w:rsidR="00907B36" w:rsidRPr="00A00A20" w:rsidRDefault="00907B36" w:rsidP="00907B36">
            <w:pPr>
              <w:pStyle w:val="Underskrifter"/>
            </w:pPr>
            <w:r w:rsidRPr="00A00A20">
              <w:t>Alice Åström (v)</w:t>
            </w:r>
          </w:p>
        </w:tc>
      </w:tr>
      <w:tr w:rsidR="00907B36" w:rsidRPr="00A00A20">
        <w:tblPrEx>
          <w:tblCellMar>
            <w:top w:w="0" w:type="dxa"/>
            <w:bottom w:w="0" w:type="dxa"/>
          </w:tblCellMar>
        </w:tblPrEx>
        <w:trPr>
          <w:cantSplit/>
        </w:trPr>
        <w:tc>
          <w:tcPr>
            <w:tcW w:w="3046" w:type="dxa"/>
          </w:tcPr>
          <w:p w:rsidR="00907B36" w:rsidRPr="00A00A20" w:rsidRDefault="00907B36" w:rsidP="00907B36">
            <w:pPr>
              <w:pStyle w:val="Underskrifter"/>
            </w:pPr>
            <w:r w:rsidRPr="00A00A20">
              <w:t>Sermin Özürküt (v)</w:t>
            </w:r>
          </w:p>
        </w:tc>
        <w:tc>
          <w:tcPr>
            <w:tcW w:w="3047" w:type="dxa"/>
          </w:tcPr>
          <w:p w:rsidR="00907B36" w:rsidRPr="00A00A20" w:rsidRDefault="00907B36" w:rsidP="00907B36">
            <w:pPr>
              <w:pStyle w:val="Underskrifter"/>
            </w:pPr>
            <w:r w:rsidRPr="00A00A20">
              <w:t>Gunilla Wahlén (v)</w:t>
            </w:r>
          </w:p>
        </w:tc>
      </w:tr>
    </w:tbl>
    <w:p w:rsidR="00337D4A" w:rsidRPr="00A00A20" w:rsidRDefault="00337D4A" w:rsidP="00907B36">
      <w:pPr>
        <w:pStyle w:val="Normaltindrag"/>
      </w:pPr>
    </w:p>
    <w:sectPr w:rsidR="00337D4A" w:rsidRPr="00A00A20" w:rsidSect="00907B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286" w:rsidRPr="00A00A20" w:rsidRDefault="00D54286">
      <w:r w:rsidRPr="00A00A20">
        <w:separator/>
      </w:r>
    </w:p>
  </w:endnote>
  <w:endnote w:type="continuationSeparator" w:id="0">
    <w:p w:rsidR="00D54286" w:rsidRPr="00A00A20" w:rsidRDefault="00D54286">
      <w:r w:rsidRPr="00A00A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C8" w:rsidRPr="00A00A20" w:rsidRDefault="00A00A20" w:rsidP="00907B36">
    <w:pPr>
      <w:pStyle w:val="Sidfot"/>
    </w:pPr>
    <w:r w:rsidRPr="00A00A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61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36" w:rsidRDefault="00907B36">
                          <w:pPr>
                            <w:pStyle w:val="NormalS5sidnrV"/>
                          </w:pPr>
                          <w:r>
                            <w:fldChar w:fldCharType="begin"/>
                          </w:r>
                          <w:r>
                            <w:instrText xml:space="preserve"> PAGE *\charformat</w:instrText>
                          </w:r>
                          <w:r>
                            <w:fldChar w:fldCharType="separate"/>
                          </w:r>
                          <w:r w:rsidR="00E90C3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B36" w:rsidRDefault="00907B36">
                    <w:pPr>
                      <w:pStyle w:val="NormalS5sidnrV"/>
                    </w:pPr>
                    <w:r>
                      <w:fldChar w:fldCharType="begin"/>
                    </w:r>
                    <w:r>
                      <w:instrText xml:space="preserve"> PAGE *\charformat</w:instrText>
                    </w:r>
                    <w:r>
                      <w:fldChar w:fldCharType="separate"/>
                    </w:r>
                    <w:r w:rsidR="00E90C3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C8" w:rsidRPr="00A00A20" w:rsidRDefault="00A00A20" w:rsidP="00907B36">
    <w:pPr>
      <w:pStyle w:val="Sidfot"/>
    </w:pPr>
    <w:r w:rsidRPr="00A00A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018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36" w:rsidRDefault="00907B36">
                          <w:pPr>
                            <w:pStyle w:val="NormalS5sidnrH"/>
                            <w:ind w:right="0"/>
                          </w:pPr>
                          <w:r>
                            <w:fldChar w:fldCharType="begin"/>
                          </w:r>
                          <w:r>
                            <w:instrText xml:space="preserve"> PAGE *\charformat</w:instrText>
                          </w:r>
                          <w:r>
                            <w:fldChar w:fldCharType="separate"/>
                          </w:r>
                          <w:r w:rsidR="00E90C3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B36" w:rsidRDefault="00907B36">
                    <w:pPr>
                      <w:pStyle w:val="NormalS5sidnrH"/>
                      <w:ind w:right="0"/>
                    </w:pPr>
                    <w:r>
                      <w:fldChar w:fldCharType="begin"/>
                    </w:r>
                    <w:r>
                      <w:instrText xml:space="preserve"> PAGE *\charformat</w:instrText>
                    </w:r>
                    <w:r>
                      <w:fldChar w:fldCharType="separate"/>
                    </w:r>
                    <w:r w:rsidR="00E90C3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C8" w:rsidRPr="00A00A20" w:rsidRDefault="00A00A20" w:rsidP="00907B36">
    <w:pPr>
      <w:pStyle w:val="Sidfot"/>
    </w:pPr>
    <w:r w:rsidRPr="00A00A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52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36" w:rsidRDefault="00907B36">
                          <w:pPr>
                            <w:pStyle w:val="NormalS5sidnrH"/>
                            <w:ind w:right="0"/>
                          </w:pPr>
                          <w:r>
                            <w:fldChar w:fldCharType="begin"/>
                          </w:r>
                          <w:r>
                            <w:instrText xml:space="preserve"> PAGE *\charformat</w:instrText>
                          </w:r>
                          <w:r>
                            <w:fldChar w:fldCharType="separate"/>
                          </w:r>
                          <w:r w:rsidR="00E90C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B36" w:rsidRDefault="00907B36">
                    <w:pPr>
                      <w:pStyle w:val="NormalS5sidnrH"/>
                      <w:ind w:right="0"/>
                    </w:pPr>
                    <w:r>
                      <w:fldChar w:fldCharType="begin"/>
                    </w:r>
                    <w:r>
                      <w:instrText xml:space="preserve"> PAGE *\charformat</w:instrText>
                    </w:r>
                    <w:r>
                      <w:fldChar w:fldCharType="separate"/>
                    </w:r>
                    <w:r w:rsidR="00E90C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286" w:rsidRPr="00A00A20" w:rsidRDefault="00D54286">
      <w:r w:rsidRPr="00A00A20">
        <w:separator/>
      </w:r>
    </w:p>
  </w:footnote>
  <w:footnote w:type="continuationSeparator" w:id="0">
    <w:p w:rsidR="00D54286" w:rsidRPr="00A00A20" w:rsidRDefault="00D54286">
      <w:r w:rsidRPr="00A00A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C8" w:rsidRPr="00A00A20" w:rsidRDefault="00A00A20" w:rsidP="00907B36">
    <w:pPr>
      <w:pStyle w:val="Sidhuvud"/>
    </w:pPr>
    <w:r w:rsidRPr="00A00A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404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36" w:rsidRDefault="00907B36">
                          <w:pPr>
                            <w:pStyle w:val="KantRubrikS5V"/>
                          </w:pPr>
                          <w:r>
                            <w:fldChar w:fldCharType="begin"/>
                          </w:r>
                          <w:r>
                            <w:instrText xml:space="preserve"> DOCPROPERTY "YearUser" *\charformat </w:instrText>
                          </w:r>
                          <w:r>
                            <w:fldChar w:fldCharType="separate"/>
                          </w:r>
                          <w:r w:rsidR="00E90C3B">
                            <w:t>2005/06</w:t>
                          </w:r>
                          <w:r>
                            <w:fldChar w:fldCharType="end"/>
                          </w:r>
                          <w:r>
                            <w:t>:</w:t>
                          </w:r>
                          <w:r>
                            <w:fldChar w:fldCharType="begin"/>
                          </w:r>
                          <w:r>
                            <w:instrText xml:space="preserve"> DOCPROPERTY "Motionsnummer" *\charformat </w:instrText>
                          </w:r>
                          <w:r>
                            <w:fldChar w:fldCharType="separate"/>
                          </w:r>
                          <w:r w:rsidR="00E90C3B">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B36" w:rsidRDefault="00907B36">
                    <w:pPr>
                      <w:pStyle w:val="KantRubrikS5V"/>
                    </w:pPr>
                    <w:r>
                      <w:fldChar w:fldCharType="begin"/>
                    </w:r>
                    <w:r>
                      <w:instrText xml:space="preserve"> DOCPROPERTY "YearUser" *\charformat </w:instrText>
                    </w:r>
                    <w:r>
                      <w:fldChar w:fldCharType="separate"/>
                    </w:r>
                    <w:r w:rsidR="00E90C3B">
                      <w:t>2005/06</w:t>
                    </w:r>
                    <w:r>
                      <w:fldChar w:fldCharType="end"/>
                    </w:r>
                    <w:r>
                      <w:t>:</w:t>
                    </w:r>
                    <w:r>
                      <w:fldChar w:fldCharType="begin"/>
                    </w:r>
                    <w:r>
                      <w:instrText xml:space="preserve"> DOCPROPERTY "Motionsnummer" *\charformat </w:instrText>
                    </w:r>
                    <w:r>
                      <w:fldChar w:fldCharType="separate"/>
                    </w:r>
                    <w:r w:rsidR="00E90C3B">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C8" w:rsidRPr="00A00A20" w:rsidRDefault="00A00A20" w:rsidP="00907B36">
    <w:pPr>
      <w:pStyle w:val="Sidhuvud"/>
    </w:pPr>
    <w:r w:rsidRPr="00A00A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115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36" w:rsidRDefault="00907B36">
                          <w:pPr>
                            <w:pStyle w:val="KantRubrikS5H"/>
                            <w:ind w:right="0"/>
                          </w:pPr>
                          <w:r>
                            <w:fldChar w:fldCharType="begin"/>
                          </w:r>
                          <w:r>
                            <w:instrText xml:space="preserve"> DOCPROPERTY "YearUser" *\charformat </w:instrText>
                          </w:r>
                          <w:r>
                            <w:fldChar w:fldCharType="separate"/>
                          </w:r>
                          <w:r w:rsidR="00E90C3B">
                            <w:t>2005/06</w:t>
                          </w:r>
                          <w:r>
                            <w:fldChar w:fldCharType="end"/>
                          </w:r>
                          <w:r>
                            <w:t>:</w:t>
                          </w:r>
                          <w:r>
                            <w:fldChar w:fldCharType="begin"/>
                          </w:r>
                          <w:r>
                            <w:instrText xml:space="preserve"> DOCPROPERTY "Motionsnummer" *\charformat </w:instrText>
                          </w:r>
                          <w:r>
                            <w:fldChar w:fldCharType="separate"/>
                          </w:r>
                          <w:r w:rsidR="00E90C3B">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B36" w:rsidRDefault="00907B36">
                    <w:pPr>
                      <w:pStyle w:val="KantRubrikS5H"/>
                      <w:ind w:right="0"/>
                    </w:pPr>
                    <w:r>
                      <w:fldChar w:fldCharType="begin"/>
                    </w:r>
                    <w:r>
                      <w:instrText xml:space="preserve"> DOCPROPERTY "YearUser" *\charformat </w:instrText>
                    </w:r>
                    <w:r>
                      <w:fldChar w:fldCharType="separate"/>
                    </w:r>
                    <w:r w:rsidR="00E90C3B">
                      <w:t>2005/06</w:t>
                    </w:r>
                    <w:r>
                      <w:fldChar w:fldCharType="end"/>
                    </w:r>
                    <w:r>
                      <w:t>:</w:t>
                    </w:r>
                    <w:r>
                      <w:fldChar w:fldCharType="begin"/>
                    </w:r>
                    <w:r>
                      <w:instrText xml:space="preserve"> DOCPROPERTY "Motionsnummer" *\charformat </w:instrText>
                    </w:r>
                    <w:r>
                      <w:fldChar w:fldCharType="separate"/>
                    </w:r>
                    <w:r w:rsidR="00E90C3B">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B36" w:rsidRPr="00A00A20" w:rsidRDefault="00907B36">
    <w:pPr>
      <w:pStyle w:val="FSHNormal"/>
      <w:tabs>
        <w:tab w:val="right" w:pos="5840"/>
      </w:tabs>
    </w:pPr>
    <w:r w:rsidRPr="00A00A20">
      <w:br/>
    </w:r>
    <w:r w:rsidRPr="00A00A20">
      <w:fldChar w:fldCharType="begin" w:fldLock="1"/>
    </w:r>
    <w:r w:rsidRPr="00A00A20">
      <w:instrText xml:space="preserve"> DOCPROPERTY</w:instrText>
    </w:r>
    <w:r w:rsidRPr="00A00A20">
      <w:rPr>
        <w:sz w:val="18"/>
      </w:rPr>
      <w:instrText xml:space="preserve"> "YearUser" *\charformat </w:instrText>
    </w:r>
    <w:r w:rsidRPr="00A00A20">
      <w:fldChar w:fldCharType="separate"/>
    </w:r>
    <w:r w:rsidR="00E90C3B" w:rsidRPr="00A00A20">
      <w:t>2005/06</w:t>
    </w:r>
    <w:r w:rsidRPr="00A00A20">
      <w:fldChar w:fldCharType="end"/>
    </w:r>
    <w:r w:rsidRPr="00A00A20">
      <w:t xml:space="preserve"> </w:t>
    </w:r>
    <w:r w:rsidRPr="00A00A20">
      <w:tab/>
      <w:t xml:space="preserve">mnr: </w:t>
    </w:r>
    <w:r w:rsidRPr="00A00A20">
      <w:fldChar w:fldCharType="begin" w:fldLock="1"/>
    </w:r>
    <w:r w:rsidRPr="00A00A20">
      <w:instrText xml:space="preserve"> DOCPROPERTY</w:instrText>
    </w:r>
    <w:r w:rsidRPr="00A00A20">
      <w:rPr>
        <w:sz w:val="18"/>
      </w:rPr>
      <w:instrText xml:space="preserve"> "Motionsnummer" *\charformat </w:instrText>
    </w:r>
    <w:r w:rsidRPr="00A00A20">
      <w:fldChar w:fldCharType="separate"/>
    </w:r>
    <w:r w:rsidR="00E90C3B" w:rsidRPr="00A00A20">
      <w:t>So399</w:t>
    </w:r>
    <w:r w:rsidRPr="00A00A20">
      <w:fldChar w:fldCharType="end"/>
    </w:r>
    <w:r w:rsidRPr="00A00A20">
      <w:br/>
    </w:r>
    <w:r w:rsidRPr="00A00A20">
      <w:fldChar w:fldCharType="begin" w:fldLock="1"/>
    </w:r>
    <w:r w:rsidRPr="00A00A20">
      <w:instrText xml:space="preserve"> DOCPROPERTY</w:instrText>
    </w:r>
    <w:r w:rsidRPr="00A00A20">
      <w:rPr>
        <w:sz w:val="18"/>
      </w:rPr>
      <w:instrText xml:space="preserve"> "Samling" *\charformat </w:instrText>
    </w:r>
    <w:r w:rsidRPr="00A00A20">
      <w:fldChar w:fldCharType="end"/>
    </w:r>
    <w:r w:rsidRPr="00A00A20">
      <w:tab/>
      <w:t xml:space="preserve">pnr: </w:t>
    </w:r>
    <w:r w:rsidRPr="00A00A20">
      <w:fldChar w:fldCharType="begin" w:fldLock="1"/>
    </w:r>
    <w:r w:rsidRPr="00A00A20">
      <w:instrText xml:space="preserve"> DOCPROPERTY</w:instrText>
    </w:r>
    <w:r w:rsidRPr="00A00A20">
      <w:rPr>
        <w:sz w:val="18"/>
      </w:rPr>
      <w:instrText xml:space="preserve"> "Partinummer" *\charformat </w:instrText>
    </w:r>
    <w:r w:rsidRPr="00A00A20">
      <w:fldChar w:fldCharType="separate"/>
    </w:r>
    <w:r w:rsidR="00E90C3B" w:rsidRPr="00A00A20">
      <w:t>v408</w:t>
    </w:r>
    <w:r w:rsidRPr="00A00A20">
      <w:fldChar w:fldCharType="end"/>
    </w:r>
  </w:p>
  <w:p w:rsidR="00907B36" w:rsidRPr="00A00A20" w:rsidRDefault="00907B36">
    <w:pPr>
      <w:pStyle w:val="FSHRub1"/>
    </w:pPr>
    <w:r w:rsidRPr="00A00A20">
      <w:t>Motion till riksdagen</w:t>
    </w:r>
    <w:r w:rsidRPr="00A00A20">
      <w:br/>
    </w:r>
    <w:r w:rsidRPr="00A00A20">
      <w:fldChar w:fldCharType="begin" w:fldLock="1"/>
    </w:r>
    <w:r w:rsidRPr="00A00A20">
      <w:instrText xml:space="preserve"> DOCPROPERTY "YearUser" *\charformat </w:instrText>
    </w:r>
    <w:r w:rsidRPr="00A00A20">
      <w:fldChar w:fldCharType="separate"/>
    </w:r>
    <w:r w:rsidR="00E90C3B" w:rsidRPr="00A00A20">
      <w:t>2005/06</w:t>
    </w:r>
    <w:r w:rsidRPr="00A00A20">
      <w:fldChar w:fldCharType="end"/>
    </w:r>
    <w:r w:rsidRPr="00A00A20">
      <w:t>:</w:t>
    </w:r>
    <w:r w:rsidRPr="00A00A20">
      <w:fldChar w:fldCharType="begin" w:fldLock="1"/>
    </w:r>
    <w:r w:rsidRPr="00A00A20">
      <w:instrText xml:space="preserve"> DOCPROPERTY "Motionsnummer" *\charformat </w:instrText>
    </w:r>
    <w:r w:rsidRPr="00A00A20">
      <w:fldChar w:fldCharType="separate"/>
    </w:r>
    <w:r w:rsidR="00E90C3B" w:rsidRPr="00A00A20">
      <w:t>So399</w:t>
    </w:r>
    <w:r w:rsidRPr="00A00A20">
      <w:fldChar w:fldCharType="end"/>
    </w:r>
  </w:p>
  <w:p w:rsidR="00907B36" w:rsidRPr="00A00A20" w:rsidRDefault="00907B36">
    <w:pPr>
      <w:pStyle w:val="FSHNormalS5"/>
    </w:pPr>
    <w:r w:rsidRPr="00A00A20">
      <w:fldChar w:fldCharType="begin" w:fldLock="1"/>
    </w:r>
    <w:r w:rsidRPr="00A00A20">
      <w:instrText xml:space="preserve"> DOCPROPERTY "MotionarText" *\charformat </w:instrText>
    </w:r>
    <w:r w:rsidRPr="00A00A20">
      <w:fldChar w:fldCharType="separate"/>
    </w:r>
    <w:r w:rsidR="00E90C3B" w:rsidRPr="00A00A20">
      <w:t>av Lars Ohly m.fl. (v)</w:t>
    </w:r>
    <w:r w:rsidRPr="00A00A20">
      <w:fldChar w:fldCharType="end"/>
    </w:r>
    <w:r w:rsidRPr="00A00A20">
      <w:br/>
    </w:r>
    <w:r w:rsidRPr="00A00A20">
      <w:fldChar w:fldCharType="begin" w:fldLock="1"/>
    </w:r>
    <w:r w:rsidRPr="00A00A20">
      <w:instrText xml:space="preserve"> DOCPROPERTY "SvarFrasKort" *\charformat </w:instrText>
    </w:r>
    <w:r w:rsidRPr="00A00A20">
      <w:fldChar w:fldCharType="end"/>
    </w:r>
  </w:p>
  <w:p w:rsidR="00907B36" w:rsidRPr="00A00A20" w:rsidRDefault="00907B36">
    <w:pPr>
      <w:pStyle w:val="FSHTitel"/>
    </w:pPr>
    <w:r w:rsidRPr="00A00A20">
      <w:fldChar w:fldCharType="begin" w:fldLock="1"/>
    </w:r>
    <w:r w:rsidRPr="00A00A20">
      <w:instrText xml:space="preserve"> DOCPROPERTY</w:instrText>
    </w:r>
    <w:r w:rsidRPr="00A00A20">
      <w:rPr>
        <w:sz w:val="18"/>
      </w:rPr>
      <w:instrText xml:space="preserve"> "RubrikSvar" *\charformat </w:instrText>
    </w:r>
    <w:r w:rsidRPr="00A00A20">
      <w:fldChar w:fldCharType="separate"/>
    </w:r>
    <w:r w:rsidR="00E90C3B" w:rsidRPr="00A00A20">
      <w:t>Tandvård</w:t>
    </w:r>
    <w:r w:rsidRPr="00A00A20">
      <w:fldChar w:fldCharType="end"/>
    </w:r>
  </w:p>
  <w:p w:rsidR="00907B36" w:rsidRPr="00A00A20" w:rsidRDefault="00907B36" w:rsidP="00907B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93CFD"/>
    <w:multiLevelType w:val="multilevel"/>
    <w:tmpl w:val="2BEEB8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7F3663"/>
    <w:multiLevelType w:val="multilevel"/>
    <w:tmpl w:val="97AAB8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562AEC6A"/>
    <w:lvl w:ilvl="0" w:tplc="760895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1228010">
    <w:abstractNumId w:val="15"/>
  </w:num>
  <w:num w:numId="2" w16cid:durableId="1516924812">
    <w:abstractNumId w:val="11"/>
  </w:num>
  <w:num w:numId="3" w16cid:durableId="710153656">
    <w:abstractNumId w:val="12"/>
  </w:num>
  <w:num w:numId="4" w16cid:durableId="1457259983">
    <w:abstractNumId w:val="14"/>
  </w:num>
  <w:num w:numId="5" w16cid:durableId="1936202852">
    <w:abstractNumId w:val="8"/>
  </w:num>
  <w:num w:numId="6" w16cid:durableId="1834176452">
    <w:abstractNumId w:val="3"/>
  </w:num>
  <w:num w:numId="7" w16cid:durableId="1669939210">
    <w:abstractNumId w:val="2"/>
  </w:num>
  <w:num w:numId="8" w16cid:durableId="315034991">
    <w:abstractNumId w:val="1"/>
  </w:num>
  <w:num w:numId="9" w16cid:durableId="531112738">
    <w:abstractNumId w:val="0"/>
  </w:num>
  <w:num w:numId="10" w16cid:durableId="96025232">
    <w:abstractNumId w:val="9"/>
  </w:num>
  <w:num w:numId="11" w16cid:durableId="1928690795">
    <w:abstractNumId w:val="7"/>
  </w:num>
  <w:num w:numId="12" w16cid:durableId="1756707522">
    <w:abstractNumId w:val="6"/>
  </w:num>
  <w:num w:numId="13" w16cid:durableId="1581790294">
    <w:abstractNumId w:val="5"/>
  </w:num>
  <w:num w:numId="14" w16cid:durableId="2052070173">
    <w:abstractNumId w:val="4"/>
  </w:num>
  <w:num w:numId="15" w16cid:durableId="1527715001">
    <w:abstractNumId w:val="10"/>
  </w:num>
  <w:num w:numId="16" w16cid:durableId="604921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0A1EAF"/>
    <w:rsid w:val="00010F50"/>
    <w:rsid w:val="00011556"/>
    <w:rsid w:val="00064BC3"/>
    <w:rsid w:val="00072FB9"/>
    <w:rsid w:val="000A1EAF"/>
    <w:rsid w:val="00100531"/>
    <w:rsid w:val="001B0C89"/>
    <w:rsid w:val="00201DFB"/>
    <w:rsid w:val="00212FF1"/>
    <w:rsid w:val="00230193"/>
    <w:rsid w:val="00255337"/>
    <w:rsid w:val="002818D3"/>
    <w:rsid w:val="002C34D5"/>
    <w:rsid w:val="002D11A8"/>
    <w:rsid w:val="00315364"/>
    <w:rsid w:val="00337D4A"/>
    <w:rsid w:val="003662C3"/>
    <w:rsid w:val="00373333"/>
    <w:rsid w:val="00384421"/>
    <w:rsid w:val="00467D76"/>
    <w:rsid w:val="004721CE"/>
    <w:rsid w:val="004A0504"/>
    <w:rsid w:val="004C5BE1"/>
    <w:rsid w:val="004D3525"/>
    <w:rsid w:val="004E38D9"/>
    <w:rsid w:val="0051587C"/>
    <w:rsid w:val="00562747"/>
    <w:rsid w:val="0061353C"/>
    <w:rsid w:val="00682112"/>
    <w:rsid w:val="006B4D11"/>
    <w:rsid w:val="007323CF"/>
    <w:rsid w:val="00733784"/>
    <w:rsid w:val="00740D6D"/>
    <w:rsid w:val="007773EA"/>
    <w:rsid w:val="007B67A7"/>
    <w:rsid w:val="007C6092"/>
    <w:rsid w:val="007E29D6"/>
    <w:rsid w:val="00861A71"/>
    <w:rsid w:val="008B1F3A"/>
    <w:rsid w:val="008D540D"/>
    <w:rsid w:val="00907B36"/>
    <w:rsid w:val="009258EE"/>
    <w:rsid w:val="00933489"/>
    <w:rsid w:val="009D5D33"/>
    <w:rsid w:val="009D7397"/>
    <w:rsid w:val="00A00A20"/>
    <w:rsid w:val="00A053C6"/>
    <w:rsid w:val="00B13BF0"/>
    <w:rsid w:val="00B2612C"/>
    <w:rsid w:val="00B32C9E"/>
    <w:rsid w:val="00B95AC8"/>
    <w:rsid w:val="00BC4F5E"/>
    <w:rsid w:val="00C1285C"/>
    <w:rsid w:val="00C27B7D"/>
    <w:rsid w:val="00C547A0"/>
    <w:rsid w:val="00C73087"/>
    <w:rsid w:val="00CE2986"/>
    <w:rsid w:val="00CE5124"/>
    <w:rsid w:val="00D006D1"/>
    <w:rsid w:val="00D223C6"/>
    <w:rsid w:val="00D54286"/>
    <w:rsid w:val="00D74788"/>
    <w:rsid w:val="00DB3838"/>
    <w:rsid w:val="00DC6C70"/>
    <w:rsid w:val="00DE0BD1"/>
    <w:rsid w:val="00E22893"/>
    <w:rsid w:val="00E360DE"/>
    <w:rsid w:val="00E75D28"/>
    <w:rsid w:val="00E84F25"/>
    <w:rsid w:val="00E90C3B"/>
    <w:rsid w:val="00E911C1"/>
    <w:rsid w:val="00EB6F72"/>
    <w:rsid w:val="00F2339C"/>
    <w:rsid w:val="00F34D39"/>
    <w:rsid w:val="00F96757"/>
    <w:rsid w:val="00FA2EA7"/>
    <w:rsid w:val="00FA67A7"/>
    <w:rsid w:val="00FD3A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DD60EB0-6782-45E2-821E-19393124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07B36"/>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07B36"/>
    <w:pPr>
      <w:numPr>
        <w:ilvl w:val="1"/>
      </w:numPr>
      <w:spacing w:before="500" w:line="250" w:lineRule="exact"/>
      <w:outlineLvl w:val="1"/>
    </w:pPr>
    <w:rPr>
      <w:sz w:val="27"/>
    </w:rPr>
  </w:style>
  <w:style w:type="paragraph" w:styleId="Rubrik3">
    <w:name w:val="heading 3"/>
    <w:aliases w:val="Mellanrubrik"/>
    <w:basedOn w:val="Rubrik2"/>
    <w:next w:val="Normal"/>
    <w:qFormat/>
    <w:rsid w:val="00907B36"/>
    <w:pPr>
      <w:numPr>
        <w:ilvl w:val="2"/>
      </w:numPr>
      <w:spacing w:before="250" w:after="0"/>
      <w:outlineLvl w:val="2"/>
    </w:pPr>
    <w:rPr>
      <w:b/>
      <w:sz w:val="21"/>
    </w:rPr>
  </w:style>
  <w:style w:type="paragraph" w:styleId="Rubrik4">
    <w:name w:val="heading 4"/>
    <w:aliases w:val="KursivRubrik"/>
    <w:basedOn w:val="Rubrik3"/>
    <w:next w:val="Normal"/>
    <w:qFormat/>
    <w:rsid w:val="00907B36"/>
    <w:pPr>
      <w:numPr>
        <w:ilvl w:val="3"/>
      </w:numPr>
      <w:outlineLvl w:val="3"/>
    </w:pPr>
    <w:rPr>
      <w:b w:val="0"/>
      <w:i/>
    </w:rPr>
  </w:style>
  <w:style w:type="paragraph" w:styleId="Rubrik5">
    <w:name w:val="heading 5"/>
    <w:aliases w:val="PackadFetRubrik,PackadKursivRubrik"/>
    <w:basedOn w:val="Rubrik4"/>
    <w:next w:val="Normal"/>
    <w:qFormat/>
    <w:rsid w:val="00907B36"/>
    <w:pPr>
      <w:numPr>
        <w:ilvl w:val="4"/>
      </w:numPr>
      <w:tabs>
        <w:tab w:val="clear" w:pos="1021"/>
      </w:tabs>
      <w:spacing w:before="125"/>
      <w:outlineLvl w:val="4"/>
    </w:pPr>
    <w:rPr>
      <w:i w:val="0"/>
      <w:sz w:val="19"/>
    </w:rPr>
  </w:style>
  <w:style w:type="paragraph" w:styleId="Rubrik6">
    <w:name w:val="heading 6"/>
    <w:basedOn w:val="Rubrik5"/>
    <w:next w:val="Normal"/>
    <w:qFormat/>
    <w:rsid w:val="00907B36"/>
    <w:pPr>
      <w:numPr>
        <w:ilvl w:val="5"/>
      </w:numPr>
      <w:spacing w:before="50" w:line="200" w:lineRule="exact"/>
      <w:outlineLvl w:val="5"/>
    </w:pPr>
    <w:rPr>
      <w:caps/>
      <w:sz w:val="14"/>
    </w:rPr>
  </w:style>
  <w:style w:type="paragraph" w:styleId="Rubrik7">
    <w:name w:val="heading 7"/>
    <w:basedOn w:val="Rubrik6"/>
    <w:next w:val="Normal"/>
    <w:qFormat/>
    <w:rsid w:val="00907B36"/>
    <w:pPr>
      <w:numPr>
        <w:ilvl w:val="6"/>
      </w:numPr>
      <w:spacing w:before="0"/>
      <w:outlineLvl w:val="6"/>
    </w:pPr>
  </w:style>
  <w:style w:type="paragraph" w:styleId="Rubrik8">
    <w:name w:val="heading 8"/>
    <w:basedOn w:val="Rubrik7"/>
    <w:next w:val="Normal"/>
    <w:qFormat/>
    <w:rsid w:val="00907B36"/>
    <w:pPr>
      <w:numPr>
        <w:ilvl w:val="7"/>
      </w:numPr>
      <w:outlineLvl w:val="7"/>
    </w:pPr>
  </w:style>
  <w:style w:type="paragraph" w:styleId="Rubrik9">
    <w:name w:val="heading 9"/>
    <w:basedOn w:val="Rubrik8"/>
    <w:next w:val="Normal"/>
    <w:qFormat/>
    <w:rsid w:val="00907B3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07B36"/>
    <w:pPr>
      <w:spacing w:after="250"/>
    </w:pPr>
  </w:style>
  <w:style w:type="paragraph" w:customStyle="1" w:styleId="Hemstlatt">
    <w:name w:val="Hemstl_att"/>
    <w:aliases w:val="HemstPunkt,HemstPunktFlera,HemställansPunkt,Förslagstext"/>
    <w:basedOn w:val="Normal"/>
    <w:next w:val="Normal"/>
    <w:rsid w:val="00907B3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1376</Words>
  <Characters>7847</Characters>
  <Application>Microsoft Office Word</Application>
  <DocSecurity>4</DocSecurity>
  <Lines>148</Lines>
  <Paragraphs>40</Paragraphs>
  <ScaleCrop>false</ScaleCrop>
  <HeadingPairs>
    <vt:vector size="2" baseType="variant">
      <vt:variant>
        <vt:lpstr>Rubrik</vt:lpstr>
      </vt:variant>
      <vt:variant>
        <vt:i4>1</vt:i4>
      </vt:variant>
    </vt:vector>
  </HeadingPairs>
  <TitlesOfParts>
    <vt:vector size="1" baseType="lpstr">
      <vt:lpstr>So399</vt:lpstr>
    </vt:vector>
  </TitlesOfParts>
  <Company>Riksdagen</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So399</dc:title>
  <dc:subject>So399</dc:subject>
  <dc:creator>Riksdagen</dc:creator>
  <cp:keywords>Riksdagen</cp:keywords>
  <dc:description/>
  <cp:lastModifiedBy>Lars Brink</cp:lastModifiedBy>
  <cp:revision>2</cp:revision>
  <cp:lastPrinted>2005-12-30T09:52:00Z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20052006000000000118000004080080</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20052006000000000118000004080080</vt:lpwstr>
  </property>
  <property fmtid="{D5CDD505-2E9C-101B-9397-08002B2CF9AE}" pid="50" name="nummer">
    <vt:lpwstr>399</vt:lpwstr>
  </property>
  <property fmtid="{D5CDD505-2E9C-101B-9397-08002B2CF9AE}" pid="51" name="utskottsbeteckning">
    <vt:lpwstr>So</vt:lpwstr>
  </property>
</Properties>
</file>