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396C75">
              <w:rPr>
                <w:b/>
              </w:rPr>
              <w:t>28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396C75">
              <w:t>03</w:t>
            </w:r>
            <w:r w:rsidR="00520D71">
              <w:t>-</w:t>
            </w:r>
            <w:r w:rsidR="00396C75">
              <w:t>22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396C75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F34FFF">
              <w:t>11:55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D33290" w:rsidRDefault="00D33290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5687D" w:rsidRPr="00230C9F" w:rsidTr="00BC5278">
        <w:tc>
          <w:tcPr>
            <w:tcW w:w="567" w:type="dxa"/>
          </w:tcPr>
          <w:p w:rsidR="00D5687D" w:rsidRPr="002D4B23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4B23">
              <w:rPr>
                <w:b/>
                <w:snapToGrid w:val="0"/>
              </w:rPr>
              <w:t>1 §</w:t>
            </w:r>
          </w:p>
        </w:tc>
        <w:tc>
          <w:tcPr>
            <w:tcW w:w="6946" w:type="dxa"/>
            <w:gridSpan w:val="2"/>
          </w:tcPr>
          <w:p w:rsidR="00D5687D" w:rsidRPr="003B1314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4B23">
              <w:rPr>
                <w:b/>
                <w:snapToGrid w:val="0"/>
              </w:rPr>
              <w:t xml:space="preserve">EU-överläggning </w:t>
            </w:r>
            <w:r w:rsidRPr="003B1314">
              <w:rPr>
                <w:b/>
                <w:snapToGrid w:val="0"/>
              </w:rPr>
              <w:t>om rådsrekommendation om brobyggande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B1314">
              <w:rPr>
                <w:b/>
                <w:snapToGrid w:val="0"/>
              </w:rPr>
              <w:t>för ett effektivt europeiskt samarbete om högre utbildning</w:t>
            </w: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Pr="009F71C5">
              <w:t xml:space="preserve">Utskottet överlade med </w:t>
            </w:r>
            <w:r>
              <w:t xml:space="preserve">statsrådet Anna Ekström, politiskt sakkunnige Ebba Ringborg, departementsrådet </w:t>
            </w:r>
            <w:r w:rsidRPr="00C869B4">
              <w:t>Ewa Wennberg</w:t>
            </w:r>
            <w:r>
              <w:t xml:space="preserve">, kansliråden Anneli Helgesson och Carina Lindén samt departementssekreteraren Robin Moberg </w:t>
            </w:r>
            <w:r w:rsidRPr="009F71C5">
              <w:t xml:space="preserve">om </w:t>
            </w:r>
            <w:r>
              <w:t>brobyggande för ett effektivt europeiskt samarbete om högre utbildning</w:t>
            </w:r>
            <w:r w:rsidRPr="009F71C5">
              <w:t>.</w:t>
            </w:r>
            <w:r w:rsidRPr="002D4B23">
              <w:rPr>
                <w:snapToGrid w:val="0"/>
              </w:rPr>
              <w:t xml:space="preserve"> </w:t>
            </w: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Underlag för överläggningen</w:t>
            </w:r>
          </w:p>
          <w:p w:rsidR="00D5687D" w:rsidRPr="003B1314" w:rsidRDefault="00D5687D" w:rsidP="00BC5278">
            <w:pPr>
              <w:rPr>
                <w:snapToGrid w:val="0"/>
              </w:rPr>
            </w:pPr>
            <w:r w:rsidRPr="003B1314">
              <w:rPr>
                <w:snapToGrid w:val="0"/>
              </w:rPr>
              <w:t>Promemoria från Utbildningsdepartementet (</w:t>
            </w:r>
            <w:proofErr w:type="gramStart"/>
            <w:r w:rsidRPr="003B1314">
              <w:rPr>
                <w:snapToGrid w:val="0"/>
              </w:rPr>
              <w:t>1596-2021</w:t>
            </w:r>
            <w:proofErr w:type="gramEnd"/>
            <w:r w:rsidRPr="003B1314">
              <w:rPr>
                <w:snapToGrid w:val="0"/>
              </w:rPr>
              <w:t>/22)</w:t>
            </w:r>
          </w:p>
          <w:p w:rsidR="00D5687D" w:rsidRDefault="00D5687D" w:rsidP="00BC5278">
            <w:pPr>
              <w:rPr>
                <w:snapToGrid w:val="0"/>
              </w:rPr>
            </w:pPr>
            <w:r w:rsidRPr="003B1314">
              <w:rPr>
                <w:snapToGrid w:val="0"/>
              </w:rPr>
              <w:t xml:space="preserve">Rådsdokument WK 7014/2022 </w:t>
            </w:r>
          </w:p>
          <w:p w:rsidR="00D5687D" w:rsidRPr="002D4B23" w:rsidRDefault="00D5687D" w:rsidP="00BC5278">
            <w:pPr>
              <w:rPr>
                <w:snapToGrid w:val="0"/>
              </w:rPr>
            </w:pP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Regeringens förslag till svensk ståndpunkt</w:t>
            </w:r>
          </w:p>
          <w:p w:rsidR="00D5687D" w:rsidRPr="001C360A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1C360A">
              <w:rPr>
                <w:snapToGrid w:val="0"/>
              </w:rPr>
              <w:t>EU är centralt för svensk ekonomi, välfärd och kompetensförsörjning.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Sverige ska fullt ut delta i och forma EU-samarbetet på ett sätt som värnar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både svenska och europeiska intressen. Det gäller även inom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utbildningsområdet. Regeringen har en uttalad önskan om att högre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utbildning ska ha en stark internationell prägel och att mobiliteten ska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öka.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1C360A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1C360A">
              <w:rPr>
                <w:snapToGrid w:val="0"/>
              </w:rPr>
              <w:t>Regeringen välkomnar kommissionens satsning på Europauniversitet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och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ser det som en intressant del i att på sikt upprätta det europeiska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utbildningsområdet och länka det till det europeiska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forsknings</w:t>
            </w:r>
            <w:r>
              <w:rPr>
                <w:snapToGrid w:val="0"/>
              </w:rPr>
              <w:softHyphen/>
            </w:r>
            <w:r w:rsidRPr="001C360A">
              <w:rPr>
                <w:snapToGrid w:val="0"/>
              </w:rPr>
              <w:t>området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(ERA).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1C360A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1C360A">
              <w:rPr>
                <w:snapToGrid w:val="0"/>
              </w:rPr>
              <w:t>En annan fråga som regeringen ser som prioriterad är relationen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mellan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det europeiska utbildningsområdet och det europeiska området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för högre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utbildning, en fråga som kommissionen måste ta i beaktning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vid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utformandet av rådsrekommendationen. Regeringens anser att</w:t>
            </w:r>
          </w:p>
          <w:p w:rsidR="00D5687D" w:rsidRPr="001C360A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1C360A">
              <w:rPr>
                <w:snapToGrid w:val="0"/>
              </w:rPr>
              <w:t>Bolognaprocessen, som bygger på frivillighet och förtroende mellan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olika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länders utbildningssystem, är framgångsrik och ska värnas. Även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förhållandet mellan det europeiska forskningsområdet och det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europeiska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utbildningsområdet behöver utvärderas. Regeringen anser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att mervärdet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av att utveckla ett ramverk för extern kvalitetssäkring i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och med att det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redan finns ett inom ramen för Bolognaprocessen inte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tillräckligt har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motiverats.</w:t>
            </w:r>
          </w:p>
          <w:p w:rsidR="00D5687D" w:rsidRDefault="00D5687D" w:rsidP="00BC5278">
            <w:pPr>
              <w:rPr>
                <w:snapToGrid w:val="0"/>
              </w:rPr>
            </w:pPr>
          </w:p>
          <w:p w:rsidR="00D5687D" w:rsidRDefault="00D5687D" w:rsidP="00BC5278">
            <w:pPr>
              <w:rPr>
                <w:snapToGrid w:val="0"/>
              </w:rPr>
            </w:pPr>
            <w:r w:rsidRPr="001C360A">
              <w:rPr>
                <w:snapToGrid w:val="0"/>
              </w:rPr>
              <w:t>Regeringen ställer sig inte bakom förslag om juridisk form och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lastRenderedPageBreak/>
              <w:t>europeisk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examen.</w:t>
            </w:r>
          </w:p>
          <w:p w:rsidR="00D5687D" w:rsidRDefault="00D5687D" w:rsidP="00BC5278">
            <w:pPr>
              <w:rPr>
                <w:snapToGrid w:val="0"/>
              </w:rPr>
            </w:pPr>
          </w:p>
          <w:p w:rsidR="00D5687D" w:rsidRDefault="00D5687D" w:rsidP="00BC5278">
            <w:pPr>
              <w:rPr>
                <w:snapToGrid w:val="0"/>
              </w:rPr>
            </w:pPr>
            <w:r w:rsidRPr="001C360A">
              <w:rPr>
                <w:snapToGrid w:val="0"/>
              </w:rPr>
              <w:t>Regeringen vill understryka att den nationella befogenheten på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utbildningsområdet ska respekteras och att de föreslagna initiativen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inte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får vara kostnadsdrivande.</w:t>
            </w: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Utskottet</w:t>
            </w:r>
          </w:p>
          <w:p w:rsidR="00D5687D" w:rsidRDefault="00D5687D" w:rsidP="00BC5278">
            <w:r w:rsidRPr="00F11C3E">
              <w:t>Ordföranden konstaterade att det fanns stöd för regeringens ståndpunkt.</w:t>
            </w:r>
            <w:r w:rsidRPr="007F03AF">
              <w:t xml:space="preserve"> </w:t>
            </w:r>
          </w:p>
          <w:p w:rsidR="00D5687D" w:rsidRPr="00102F48" w:rsidRDefault="00D5687D" w:rsidP="00BC5278">
            <w:pPr>
              <w:rPr>
                <w:snapToGrid w:val="0"/>
                <w:highlight w:val="yellow"/>
              </w:rPr>
            </w:pPr>
          </w:p>
          <w:p w:rsidR="00D5687D" w:rsidRDefault="00D5687D" w:rsidP="00BC5278">
            <w:r w:rsidRPr="00C92DB6">
              <w:t>Denna paragraf förklarades omedelbart justerad.</w:t>
            </w:r>
            <w:r w:rsidRPr="00230C9F">
              <w:t xml:space="preserve"> </w:t>
            </w:r>
          </w:p>
          <w:p w:rsidR="00D5687D" w:rsidRPr="00230C9F" w:rsidRDefault="00D5687D" w:rsidP="00BC5278">
            <w:pPr>
              <w:rPr>
                <w:snapToGrid w:val="0"/>
              </w:rPr>
            </w:pPr>
          </w:p>
        </w:tc>
      </w:tr>
      <w:tr w:rsidR="00D5687D" w:rsidRPr="00230C9F" w:rsidTr="00BC5278">
        <w:tc>
          <w:tcPr>
            <w:tcW w:w="567" w:type="dxa"/>
          </w:tcPr>
          <w:p w:rsidR="00D5687D" w:rsidRPr="002D4B23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2</w:t>
            </w:r>
            <w:r w:rsidRPr="002D4B23">
              <w:rPr>
                <w:b/>
                <w:snapToGrid w:val="0"/>
              </w:rPr>
              <w:t xml:space="preserve"> §</w:t>
            </w:r>
          </w:p>
        </w:tc>
        <w:tc>
          <w:tcPr>
            <w:tcW w:w="6946" w:type="dxa"/>
            <w:gridSpan w:val="2"/>
          </w:tcPr>
          <w:p w:rsidR="00D5687D" w:rsidRPr="003B1314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4B23">
              <w:rPr>
                <w:b/>
                <w:snapToGrid w:val="0"/>
              </w:rPr>
              <w:t xml:space="preserve">EU-överläggning </w:t>
            </w:r>
            <w:r w:rsidRPr="003B1314">
              <w:rPr>
                <w:b/>
                <w:snapToGrid w:val="0"/>
              </w:rPr>
              <w:t xml:space="preserve">om </w:t>
            </w:r>
            <w:proofErr w:type="spellStart"/>
            <w:r w:rsidRPr="003B1314">
              <w:rPr>
                <w:b/>
                <w:snapToGrid w:val="0"/>
              </w:rPr>
              <w:t>rådsslutsatser</w:t>
            </w:r>
            <w:proofErr w:type="spellEnd"/>
            <w:r w:rsidRPr="003B1314">
              <w:rPr>
                <w:b/>
                <w:snapToGrid w:val="0"/>
              </w:rPr>
              <w:t xml:space="preserve"> om en europeisk strategi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B1314">
              <w:rPr>
                <w:b/>
                <w:snapToGrid w:val="0"/>
              </w:rPr>
              <w:t>för att stärka universitet och högskolor för Europas framtid</w:t>
            </w: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Pr="009F71C5">
              <w:t xml:space="preserve">Utskottet överlade med </w:t>
            </w:r>
            <w:r>
              <w:t xml:space="preserve">statsrådet Anna Ekström, politiskt sakkunnige Ebba Ringborg, departementsrådet </w:t>
            </w:r>
            <w:r w:rsidRPr="00C869B4">
              <w:t>Ewa Wennberg</w:t>
            </w:r>
            <w:r>
              <w:t xml:space="preserve">, kansliråden Anneli Helgesson och Carina Lindén samt departementssekreteraren Robin Moberg om </w:t>
            </w:r>
            <w:proofErr w:type="spellStart"/>
            <w:r>
              <w:t>rådsslutsatser</w:t>
            </w:r>
            <w:proofErr w:type="spellEnd"/>
            <w:r>
              <w:t xml:space="preserve"> om en europeisk strategi för att stärka universitet och högskolor för Europas framtid</w:t>
            </w:r>
            <w:r w:rsidRPr="009F71C5">
              <w:t>.</w:t>
            </w:r>
            <w:r w:rsidRPr="002D4B23">
              <w:rPr>
                <w:snapToGrid w:val="0"/>
              </w:rPr>
              <w:t xml:space="preserve"> </w:t>
            </w: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Underlag för överläggningen</w:t>
            </w:r>
          </w:p>
          <w:p w:rsidR="00D5687D" w:rsidRPr="003B1314" w:rsidRDefault="00D5687D" w:rsidP="00BC5278">
            <w:pPr>
              <w:rPr>
                <w:snapToGrid w:val="0"/>
              </w:rPr>
            </w:pPr>
            <w:r w:rsidRPr="003B1314">
              <w:rPr>
                <w:snapToGrid w:val="0"/>
              </w:rPr>
              <w:t>Promemoria från Utbildningsdepartementet (</w:t>
            </w:r>
            <w:proofErr w:type="gramStart"/>
            <w:r w:rsidRPr="003B1314">
              <w:rPr>
                <w:snapToGrid w:val="0"/>
              </w:rPr>
              <w:t>1596-2021</w:t>
            </w:r>
            <w:proofErr w:type="gramEnd"/>
            <w:r w:rsidRPr="003B1314">
              <w:rPr>
                <w:snapToGrid w:val="0"/>
              </w:rPr>
              <w:t>/22)</w:t>
            </w:r>
          </w:p>
          <w:p w:rsidR="00D5687D" w:rsidRDefault="00D5687D" w:rsidP="00BC5278">
            <w:pPr>
              <w:rPr>
                <w:snapToGrid w:val="0"/>
              </w:rPr>
            </w:pPr>
            <w:r w:rsidRPr="003B1314">
              <w:rPr>
                <w:snapToGrid w:val="0"/>
              </w:rPr>
              <w:t>Rådsdokument WK 7013/2022</w:t>
            </w:r>
          </w:p>
          <w:p w:rsidR="00D5687D" w:rsidRPr="002D4B23" w:rsidRDefault="00D5687D" w:rsidP="00BC5278">
            <w:pPr>
              <w:rPr>
                <w:snapToGrid w:val="0"/>
              </w:rPr>
            </w:pP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Regeringens förslag till svensk ståndpunkt</w:t>
            </w:r>
          </w:p>
          <w:p w:rsidR="00D5687D" w:rsidRPr="001C360A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1C360A">
              <w:rPr>
                <w:snapToGrid w:val="0"/>
              </w:rPr>
              <w:t>EU är centralt för svensk ekonomi, välfärd och kompetensförsörjning.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Sverige ska fullt ut delta i och forma EU-samarbetet på ett sätt som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värnar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både svenska och europeiska intressen. Det gäller även inom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utbildningsområdet. Regeringen har en uttalad önskan om att högre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utbildning ska ha en stark internationell prägel och att mobiliteten ska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öka.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1C360A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1C360A">
              <w:rPr>
                <w:snapToGrid w:val="0"/>
              </w:rPr>
              <w:t>Regeringen välkomnar kommissionens satsning på Europauniversitet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och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ser det som en intressant del i att på sikt upprätta det europeiska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utbildningsområdet och länka det till ERA.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1C360A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1C360A">
              <w:rPr>
                <w:snapToGrid w:val="0"/>
              </w:rPr>
              <w:t>En annan fråga som regeringen ser som prioriterad i det övergripande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arbetet med universitetsstrategin är relationen mellan det europeiska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utbildningsområdet och det europeiska området för högre utbildning,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fråga som behöver utvärderas.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1C360A">
              <w:rPr>
                <w:snapToGrid w:val="0"/>
              </w:rPr>
              <w:t>Regeringen anser att Bolognaprocessen, som bygger på frivillighet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och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förtroende mellan olika länders utbildningssystem, är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framgångs</w:t>
            </w:r>
            <w:r>
              <w:rPr>
                <w:snapToGrid w:val="0"/>
              </w:rPr>
              <w:softHyphen/>
            </w:r>
            <w:r w:rsidRPr="001C360A">
              <w:rPr>
                <w:snapToGrid w:val="0"/>
              </w:rPr>
              <w:t>rik och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ska värnas. Även förhållandet mellan det europeiska forskningsområdet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och det europeiska utbildningsområdet behöver utvärderas.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1C360A">
              <w:rPr>
                <w:snapToGrid w:val="0"/>
              </w:rPr>
              <w:t>Regeringen anser inte att mervärdet av att utveckla ett ramverk för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extern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kvalitetssäkring i och med att det redan finns ett inom ramen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för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Bolognaprocessen är tillräckligt motiverat.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1C360A">
              <w:rPr>
                <w:snapToGrid w:val="0"/>
              </w:rPr>
              <w:t>Regeringen vill understryka att den nationella befogenheten på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utbildningsområdet ska respekteras och att de föreslagna initiativen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inte</w:t>
            </w:r>
            <w:r>
              <w:rPr>
                <w:snapToGrid w:val="0"/>
              </w:rPr>
              <w:t xml:space="preserve"> </w:t>
            </w:r>
            <w:r w:rsidRPr="001C360A">
              <w:rPr>
                <w:snapToGrid w:val="0"/>
              </w:rPr>
              <w:t>får vara kostnadsdrivande.</w:t>
            </w: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Utskottet</w:t>
            </w:r>
          </w:p>
          <w:p w:rsidR="00D5687D" w:rsidRDefault="00D5687D" w:rsidP="00BC5278">
            <w:r w:rsidRPr="00F11C3E">
              <w:t>Ordföranden konstaterade att det fanns stöd för regeringens ståndpunkt.</w:t>
            </w:r>
            <w:r w:rsidRPr="007F03AF">
              <w:t xml:space="preserve"> </w:t>
            </w:r>
          </w:p>
          <w:p w:rsidR="00D5687D" w:rsidRPr="00102F48" w:rsidRDefault="00D5687D" w:rsidP="00BC5278">
            <w:pPr>
              <w:rPr>
                <w:snapToGrid w:val="0"/>
                <w:highlight w:val="yellow"/>
              </w:rPr>
            </w:pPr>
          </w:p>
          <w:p w:rsidR="00D5687D" w:rsidRDefault="00D5687D" w:rsidP="00BC5278">
            <w:r w:rsidRPr="00C92DB6">
              <w:t>Denna paragraf förklarades omedelbart justerad.</w:t>
            </w:r>
            <w:r w:rsidRPr="00230C9F">
              <w:t xml:space="preserve"> </w:t>
            </w:r>
          </w:p>
          <w:p w:rsidR="00D5687D" w:rsidRPr="00230C9F" w:rsidRDefault="00D5687D" w:rsidP="00BC5278">
            <w:pPr>
              <w:rPr>
                <w:snapToGrid w:val="0"/>
              </w:rPr>
            </w:pPr>
          </w:p>
        </w:tc>
      </w:tr>
      <w:tr w:rsidR="00D5687D" w:rsidRPr="00230C9F" w:rsidTr="00BC5278">
        <w:tc>
          <w:tcPr>
            <w:tcW w:w="567" w:type="dxa"/>
          </w:tcPr>
          <w:p w:rsidR="00D5687D" w:rsidRPr="002D4B23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3</w:t>
            </w:r>
            <w:r w:rsidRPr="002D4B23">
              <w:rPr>
                <w:b/>
                <w:snapToGrid w:val="0"/>
              </w:rPr>
              <w:t xml:space="preserve"> §</w:t>
            </w:r>
          </w:p>
        </w:tc>
        <w:tc>
          <w:tcPr>
            <w:tcW w:w="6946" w:type="dxa"/>
            <w:gridSpan w:val="2"/>
          </w:tcPr>
          <w:p w:rsidR="00D5687D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4B23">
              <w:rPr>
                <w:b/>
                <w:snapToGrid w:val="0"/>
              </w:rPr>
              <w:t xml:space="preserve">EU-överläggning </w:t>
            </w:r>
            <w:r w:rsidRPr="003B1314">
              <w:rPr>
                <w:b/>
                <w:snapToGrid w:val="0"/>
              </w:rPr>
              <w:t xml:space="preserve">om </w:t>
            </w:r>
            <w:proofErr w:type="spellStart"/>
            <w:r w:rsidRPr="003B1314">
              <w:rPr>
                <w:b/>
                <w:snapToGrid w:val="0"/>
              </w:rPr>
              <w:t>rådsslutsatser</w:t>
            </w:r>
            <w:proofErr w:type="spellEnd"/>
            <w:r w:rsidRPr="003B1314">
              <w:rPr>
                <w:b/>
                <w:snapToGrid w:val="0"/>
              </w:rPr>
              <w:t xml:space="preserve"> om att stärka lärares och</w:t>
            </w:r>
            <w:r>
              <w:rPr>
                <w:b/>
                <w:snapToGrid w:val="0"/>
              </w:rPr>
              <w:t xml:space="preserve"> </w:t>
            </w:r>
            <w:r w:rsidRPr="003B1314">
              <w:rPr>
                <w:b/>
                <w:snapToGrid w:val="0"/>
              </w:rPr>
              <w:t>utbildares rörlighet, särskilt europeisk rörlighet, under deras</w:t>
            </w:r>
            <w:r>
              <w:rPr>
                <w:b/>
                <w:snapToGrid w:val="0"/>
              </w:rPr>
              <w:t xml:space="preserve"> </w:t>
            </w:r>
            <w:r w:rsidRPr="003B1314">
              <w:rPr>
                <w:b/>
                <w:snapToGrid w:val="0"/>
              </w:rPr>
              <w:t>grundutbildning och fortbildning</w:t>
            </w:r>
          </w:p>
          <w:p w:rsidR="00D5687D" w:rsidRPr="003B1314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Pr="009F71C5">
              <w:t xml:space="preserve">Utskottet överlade med </w:t>
            </w:r>
            <w:r>
              <w:t xml:space="preserve">statsrådet Anna Ekström, politiskt sakkunnige Ebba Ringborg, departementsrådet </w:t>
            </w:r>
            <w:r w:rsidRPr="00C869B4">
              <w:t>Ewa Wennberg</w:t>
            </w:r>
            <w:r>
              <w:t xml:space="preserve">, kansliråden Anneli Helgesson och Carina Lindén samt departementssekreteraren Robin Moberg </w:t>
            </w:r>
            <w:r w:rsidRPr="009F71C5">
              <w:t xml:space="preserve">om </w:t>
            </w:r>
            <w:r>
              <w:t>brobyggande för ett effektivt europeiskt samarbete om högre utbildning</w:t>
            </w:r>
            <w:r w:rsidRPr="009F71C5">
              <w:t>.</w:t>
            </w:r>
            <w:r w:rsidRPr="002D4B23">
              <w:rPr>
                <w:snapToGrid w:val="0"/>
              </w:rPr>
              <w:t xml:space="preserve"> </w:t>
            </w: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Underlag för överläggningen</w:t>
            </w:r>
          </w:p>
          <w:p w:rsidR="00D5687D" w:rsidRPr="003B1314" w:rsidRDefault="00D5687D" w:rsidP="00BC5278">
            <w:pPr>
              <w:rPr>
                <w:snapToGrid w:val="0"/>
              </w:rPr>
            </w:pPr>
            <w:r w:rsidRPr="003B1314">
              <w:rPr>
                <w:snapToGrid w:val="0"/>
              </w:rPr>
              <w:t>Promemoria från Utbildningsdepartementet (</w:t>
            </w:r>
            <w:proofErr w:type="gramStart"/>
            <w:r w:rsidRPr="003B1314">
              <w:rPr>
                <w:snapToGrid w:val="0"/>
              </w:rPr>
              <w:t>1596-2021</w:t>
            </w:r>
            <w:proofErr w:type="gramEnd"/>
            <w:r w:rsidRPr="003B1314">
              <w:rPr>
                <w:snapToGrid w:val="0"/>
              </w:rPr>
              <w:t>/22)</w:t>
            </w:r>
          </w:p>
          <w:p w:rsidR="00D5687D" w:rsidRDefault="00D5687D" w:rsidP="00BC5278">
            <w:pPr>
              <w:rPr>
                <w:snapToGrid w:val="0"/>
              </w:rPr>
            </w:pPr>
            <w:r w:rsidRPr="003B1314">
              <w:rPr>
                <w:snapToGrid w:val="0"/>
              </w:rPr>
              <w:t>Rådsdokument WK 3612/2022</w:t>
            </w:r>
          </w:p>
          <w:p w:rsidR="00D5687D" w:rsidRPr="002D4B23" w:rsidRDefault="00D5687D" w:rsidP="00BC5278">
            <w:pPr>
              <w:rPr>
                <w:snapToGrid w:val="0"/>
              </w:rPr>
            </w:pP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Regeringens förslag till svensk ståndpunkt</w:t>
            </w:r>
          </w:p>
          <w:p w:rsidR="00D5687D" w:rsidRPr="00C3640F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C3640F">
              <w:rPr>
                <w:snapToGrid w:val="0"/>
              </w:rPr>
              <w:t>Regeringen stödjer arbete som främjar fri rörlighet, vilket är en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grundläggande princip för det europeiska samarbetet.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C3640F">
              <w:rPr>
                <w:snapToGrid w:val="0"/>
              </w:rPr>
              <w:t>Regeringen menar att fri rörlighet inom utbildningsområdet är viktigt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för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att främja fri spridning av kunskap, värderingar och idéer.</w:t>
            </w:r>
            <w:r>
              <w:rPr>
                <w:snapToGrid w:val="0"/>
              </w:rPr>
              <w:t xml:space="preserve"> 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C3640F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C3640F">
              <w:rPr>
                <w:snapToGrid w:val="0"/>
              </w:rPr>
              <w:t>Särskilt viktigt är fri rörlighet för lärare, då de kan sprida sina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erfarenheter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 xml:space="preserve">vidare genom sitt arbete. Regeringen stödjer </w:t>
            </w:r>
            <w:r w:rsidRPr="008F3E3A">
              <w:rPr>
                <w:snapToGrid w:val="0"/>
              </w:rPr>
              <w:t>därför</w:t>
            </w:r>
            <w:r w:rsidRPr="00C3640F">
              <w:rPr>
                <w:snapToGrid w:val="0"/>
              </w:rPr>
              <w:t xml:space="preserve"> arbete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som syftar till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att underlätta mobilitet för alla studenter, inte minst lärarstudenter.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C3640F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C3640F">
              <w:rPr>
                <w:snapToGrid w:val="0"/>
              </w:rPr>
              <w:t>Regeringen stödjer samarbete som syftar till att öka språkkunskaper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hos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lärarstudenter och andra studenter och delar uppfattningen att det är av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värde att studenter kan tillgodogöra sig studieresultat även från kurser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från universitet och högskolor i andra medlemsstater i EU.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C3640F">
              <w:rPr>
                <w:snapToGrid w:val="0"/>
              </w:rPr>
              <w:t>Regeringen anser att det är viktigt att medlemsstaternas befogenheter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på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utbildningsområdet respekteras.</w:t>
            </w: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Utskottet</w:t>
            </w:r>
          </w:p>
          <w:p w:rsidR="00D5687D" w:rsidRDefault="00D5687D" w:rsidP="00BC5278">
            <w:r w:rsidRPr="00F11C3E">
              <w:t>Ordföranden konstaterade att det fanns stöd för regeringens ståndpunkt.</w:t>
            </w:r>
            <w:r w:rsidRPr="007F03AF">
              <w:t xml:space="preserve"> </w:t>
            </w:r>
          </w:p>
          <w:p w:rsidR="00D5687D" w:rsidRPr="00102F48" w:rsidRDefault="00D5687D" w:rsidP="00BC5278">
            <w:pPr>
              <w:rPr>
                <w:snapToGrid w:val="0"/>
                <w:highlight w:val="yellow"/>
              </w:rPr>
            </w:pPr>
          </w:p>
          <w:p w:rsidR="00D5687D" w:rsidRDefault="00D5687D" w:rsidP="00BC5278">
            <w:r w:rsidRPr="00C92DB6">
              <w:t>Denna paragraf förklarades omedelbart justerad.</w:t>
            </w:r>
            <w:r w:rsidRPr="00230C9F">
              <w:t xml:space="preserve"> </w:t>
            </w:r>
          </w:p>
          <w:p w:rsidR="00D5687D" w:rsidRPr="00230C9F" w:rsidRDefault="00D5687D" w:rsidP="00BC5278">
            <w:pPr>
              <w:rPr>
                <w:snapToGrid w:val="0"/>
              </w:rPr>
            </w:pPr>
          </w:p>
        </w:tc>
      </w:tr>
      <w:tr w:rsidR="00D5687D" w:rsidRPr="00230C9F" w:rsidTr="00BC5278">
        <w:tc>
          <w:tcPr>
            <w:tcW w:w="567" w:type="dxa"/>
          </w:tcPr>
          <w:p w:rsidR="00D5687D" w:rsidRPr="002D4B23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4</w:t>
            </w:r>
            <w:r w:rsidRPr="002D4B23">
              <w:rPr>
                <w:b/>
                <w:snapToGrid w:val="0"/>
              </w:rPr>
              <w:t xml:space="preserve"> §</w:t>
            </w:r>
          </w:p>
        </w:tc>
        <w:tc>
          <w:tcPr>
            <w:tcW w:w="6946" w:type="dxa"/>
            <w:gridSpan w:val="2"/>
          </w:tcPr>
          <w:p w:rsidR="00D5687D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4B23">
              <w:rPr>
                <w:b/>
                <w:snapToGrid w:val="0"/>
              </w:rPr>
              <w:t xml:space="preserve">EU-överläggning </w:t>
            </w:r>
            <w:r w:rsidRPr="003B1314">
              <w:rPr>
                <w:b/>
                <w:snapToGrid w:val="0"/>
              </w:rPr>
              <w:t>om rådsrekommendation om lärande för</w:t>
            </w:r>
            <w:r>
              <w:rPr>
                <w:b/>
                <w:snapToGrid w:val="0"/>
              </w:rPr>
              <w:t xml:space="preserve"> </w:t>
            </w:r>
            <w:r w:rsidRPr="003B1314">
              <w:rPr>
                <w:b/>
                <w:snapToGrid w:val="0"/>
              </w:rPr>
              <w:t>miljömässig hållbarhet</w:t>
            </w: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Pr="009F71C5">
              <w:t xml:space="preserve">Utskottet överlade med </w:t>
            </w:r>
            <w:r>
              <w:t xml:space="preserve">statsrådet Anna Ekström, politiskt sakkunnige Ebba Ringborg, departementsrådet </w:t>
            </w:r>
            <w:r w:rsidRPr="00C869B4">
              <w:t>Ewa Wennberg</w:t>
            </w:r>
            <w:r>
              <w:t>, kansliråden Anneli Helgesson och Carina Lindén samt departementssekreteraren Robin Moberg om rådsrekommendation om lärande för miljömässig hållbarhet</w:t>
            </w:r>
            <w:r w:rsidRPr="009F71C5">
              <w:t>.</w:t>
            </w:r>
            <w:r w:rsidRPr="002D4B23">
              <w:rPr>
                <w:snapToGrid w:val="0"/>
              </w:rPr>
              <w:t xml:space="preserve"> </w:t>
            </w: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Underlag för överläggningen</w:t>
            </w:r>
          </w:p>
          <w:p w:rsidR="00D5687D" w:rsidRPr="003B1314" w:rsidRDefault="00D5687D" w:rsidP="00BC5278">
            <w:pPr>
              <w:rPr>
                <w:snapToGrid w:val="0"/>
              </w:rPr>
            </w:pPr>
            <w:r w:rsidRPr="003B1314">
              <w:rPr>
                <w:snapToGrid w:val="0"/>
              </w:rPr>
              <w:t>Promemoria från Utbildningsdepartementet (</w:t>
            </w:r>
            <w:proofErr w:type="gramStart"/>
            <w:r w:rsidRPr="003B1314">
              <w:rPr>
                <w:snapToGrid w:val="0"/>
              </w:rPr>
              <w:t>1596-2021</w:t>
            </w:r>
            <w:proofErr w:type="gramEnd"/>
            <w:r w:rsidRPr="003B1314">
              <w:rPr>
                <w:snapToGrid w:val="0"/>
              </w:rPr>
              <w:t>/22)</w:t>
            </w:r>
          </w:p>
          <w:p w:rsidR="00D5687D" w:rsidRDefault="00D5687D" w:rsidP="00BC5278">
            <w:pPr>
              <w:rPr>
                <w:snapToGrid w:val="0"/>
              </w:rPr>
            </w:pPr>
            <w:r w:rsidRPr="003B1314">
              <w:rPr>
                <w:snapToGrid w:val="0"/>
              </w:rPr>
              <w:t>Rådsdokument ST 5325/2022</w:t>
            </w:r>
          </w:p>
          <w:p w:rsidR="00D5687D" w:rsidRPr="002D4B23" w:rsidRDefault="00D5687D" w:rsidP="00BC5278">
            <w:pPr>
              <w:rPr>
                <w:snapToGrid w:val="0"/>
              </w:rPr>
            </w:pP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Regeringens förslag till svensk ståndpunkt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C3640F">
              <w:rPr>
                <w:snapToGrid w:val="0"/>
              </w:rPr>
              <w:t>Regeringen välkomnar initiativ som underlättar genomförandet av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omställningen mot ett mer grönt samhälle och delar uppfattningen att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utbildningsområdet kan spela en viktig roll i detta arbete</w:t>
            </w:r>
            <w:r>
              <w:rPr>
                <w:snapToGrid w:val="0"/>
              </w:rPr>
              <w:t xml:space="preserve">. 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C3640F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C3640F">
              <w:rPr>
                <w:snapToGrid w:val="0"/>
              </w:rPr>
              <w:t>Utbildning för hållbar utveckling är en viktig fråga för regeringen.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Detta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gäller för alla nivåer från förskola till universitet och högskola.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C3640F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C3640F">
              <w:rPr>
                <w:snapToGrid w:val="0"/>
              </w:rPr>
              <w:t>Regeringen ställer sig frågande till att rekommendationen endast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behandlar miljömässig hållbarhet, då EU:s medlemsstater i FN och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Unesco har förbundit sig att arbeta i linje med Agenda 2030 för en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hållbar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utveckling.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C3640F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C3640F">
              <w:rPr>
                <w:snapToGrid w:val="0"/>
              </w:rPr>
              <w:t>Regeringen delar synen att medborgarnas tillgång till utbildning och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kompetensutveckling såväl inom arbetslivet som inom formell och</w:t>
            </w:r>
            <w:r>
              <w:rPr>
                <w:snapToGrid w:val="0"/>
              </w:rPr>
              <w:t xml:space="preserve"> </w:t>
            </w:r>
            <w:proofErr w:type="spellStart"/>
            <w:r w:rsidRPr="00C3640F">
              <w:rPr>
                <w:snapToGrid w:val="0"/>
              </w:rPr>
              <w:t>ickeformell</w:t>
            </w:r>
            <w:proofErr w:type="spellEnd"/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utbildning är avgörande för att möta efterfrågan på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arbetsmarknaden i dag och i framtiden och för att säkerställa en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smidig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övergång till ett grönt samhälle. Tillgång till utbildning och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kompetensutveckling är också avgörande för vuxnas möjlighet till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egen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försörjning och bidrar till individens personliga utveckling.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C3640F">
              <w:rPr>
                <w:snapToGrid w:val="0"/>
              </w:rPr>
              <w:t>Det är viktigt att investera i utbildning, inklusive utbildning för att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underlätta den gröna omställningen, men hur detta görs är en nationell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befogenhet, vilken medlemsstaterna själva ska styra över.</w:t>
            </w:r>
            <w:r>
              <w:rPr>
                <w:snapToGrid w:val="0"/>
              </w:rPr>
              <w:t xml:space="preserve"> 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C3640F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C3640F">
              <w:rPr>
                <w:snapToGrid w:val="0"/>
              </w:rPr>
              <w:t>Regeringen menar också att det är viktigt att även lärosätenas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autonomi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vad gäller utformningen av högre utbildning respekteras.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C3640F">
              <w:rPr>
                <w:snapToGrid w:val="0"/>
              </w:rPr>
              <w:t>Regeringen anser att det är viktigt att medlemsstaternas befogenheter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på</w:t>
            </w:r>
            <w:r>
              <w:rPr>
                <w:snapToGrid w:val="0"/>
              </w:rPr>
              <w:t xml:space="preserve"> </w:t>
            </w:r>
            <w:r w:rsidRPr="00C3640F">
              <w:rPr>
                <w:snapToGrid w:val="0"/>
              </w:rPr>
              <w:t>utbildningsområdet respekteras.</w:t>
            </w: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Utskottet</w:t>
            </w:r>
          </w:p>
          <w:p w:rsidR="00D5687D" w:rsidRDefault="00D5687D" w:rsidP="00BC5278">
            <w:r w:rsidRPr="00F11C3E">
              <w:t>Ordföranden konstaterade att det fanns stöd för regeringens ståndpunkt.</w:t>
            </w:r>
            <w:r w:rsidRPr="007F03AF">
              <w:t xml:space="preserve"> </w:t>
            </w:r>
          </w:p>
          <w:p w:rsidR="00D5687D" w:rsidRDefault="00D5687D" w:rsidP="00BC5278"/>
          <w:p w:rsidR="00D5687D" w:rsidRDefault="00D5687D" w:rsidP="00BC5278">
            <w:r>
              <w:t>Ledamöterna från Moderaterna lämnade en avvikande ståndpunkt om att det i slutet på andra stycket bör läggas till att ”</w:t>
            </w:r>
            <w:r w:rsidRPr="008F3E3A">
              <w:t>dock ansvarar varje medlemsstat för hur det görs</w:t>
            </w:r>
            <w:r>
              <w:t xml:space="preserve">”. I femte stycket anser ledamöterna att </w:t>
            </w:r>
            <w:r>
              <w:lastRenderedPageBreak/>
              <w:t xml:space="preserve">ordet absolut bör läggas till innan ”nationell befogenhet”. </w:t>
            </w:r>
          </w:p>
          <w:p w:rsidR="00D5687D" w:rsidRDefault="00D5687D" w:rsidP="00BC5278"/>
          <w:p w:rsidR="00D5687D" w:rsidRDefault="00D5687D" w:rsidP="00BC5278">
            <w:r>
              <w:t xml:space="preserve">Ledamöterna från Sverigedemokraterna lämnade en avvikande ståndpunkt om att regeringens ståndpunkt bör formuleras enligt följande. </w:t>
            </w:r>
          </w:p>
          <w:p w:rsidR="00D5687D" w:rsidRDefault="00D5687D" w:rsidP="00BC5278"/>
          <w:p w:rsidR="00D5687D" w:rsidRDefault="00D5687D" w:rsidP="00BC5278">
            <w:r>
              <w:t xml:space="preserve">”Läroplanerna, kursplanerna och den pedagogik medlemsländer väljer att använda är en strikt nationell angelägenhet och ligger inte inom EU:s kompetensområde, inte ens som rekommendationer. </w:t>
            </w:r>
          </w:p>
          <w:p w:rsidR="00D5687D" w:rsidRDefault="00D5687D" w:rsidP="00BC5278"/>
          <w:p w:rsidR="00D5687D" w:rsidRDefault="00D5687D" w:rsidP="00BC5278">
            <w:r>
              <w:t xml:space="preserve">Hur lärarutbildningarna utformas inom de olika medlemsländerna är en strikt nationell kompetens och ligger utanför EU:s jurisdiktion.    </w:t>
            </w:r>
          </w:p>
          <w:p w:rsidR="00D5687D" w:rsidRDefault="00D5687D" w:rsidP="00BC5278"/>
          <w:p w:rsidR="00D5687D" w:rsidRDefault="00D5687D" w:rsidP="00BC5278">
            <w:r>
              <w:t xml:space="preserve">Att utarbeta gemensamma indikatorer ”för en hållbar utbildning” ligger också utanför EU:s kompetensområde och är något Sverige inte vill se. </w:t>
            </w:r>
          </w:p>
          <w:p w:rsidR="00D5687D" w:rsidRDefault="00D5687D" w:rsidP="00BC5278"/>
          <w:p w:rsidR="00D5687D" w:rsidRDefault="00D5687D" w:rsidP="00BC5278">
            <w:r>
              <w:t xml:space="preserve">Hur de enskilda länderna utformar sin politiska styrning är en strikt nationell angelägenhet och är inget som ligger inom EU:s kompetensområde. </w:t>
            </w:r>
          </w:p>
          <w:p w:rsidR="00D5687D" w:rsidRDefault="00D5687D" w:rsidP="00BC5278"/>
          <w:p w:rsidR="00D5687D" w:rsidRDefault="00D5687D" w:rsidP="00BC5278">
            <w:r>
              <w:t>Med ovanstående argument och för den budgetära påverkan som grund avvisar regeringen rekommendationerna i sin helhet.”</w:t>
            </w:r>
          </w:p>
          <w:p w:rsidR="00D5687D" w:rsidRPr="00BC4D9F" w:rsidRDefault="00D5687D" w:rsidP="00BC5278">
            <w:r>
              <w:rPr>
                <w:snapToGrid w:val="0"/>
              </w:rPr>
              <w:t xml:space="preserve"> </w:t>
            </w:r>
          </w:p>
          <w:p w:rsidR="00D5687D" w:rsidRDefault="00D5687D" w:rsidP="00BC5278">
            <w:r w:rsidRPr="00C92DB6">
              <w:t>Denna paragraf förklarades omedelbart justerad.</w:t>
            </w:r>
            <w:r w:rsidRPr="00230C9F">
              <w:t xml:space="preserve"> </w:t>
            </w:r>
          </w:p>
          <w:p w:rsidR="00D5687D" w:rsidRPr="00230C9F" w:rsidRDefault="00D5687D" w:rsidP="00BC5278">
            <w:pPr>
              <w:rPr>
                <w:snapToGrid w:val="0"/>
              </w:rPr>
            </w:pPr>
          </w:p>
        </w:tc>
      </w:tr>
      <w:tr w:rsidR="00D5687D" w:rsidRPr="00230C9F" w:rsidTr="00BC5278">
        <w:tc>
          <w:tcPr>
            <w:tcW w:w="567" w:type="dxa"/>
          </w:tcPr>
          <w:p w:rsidR="00D5687D" w:rsidRPr="002D4B23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5</w:t>
            </w:r>
            <w:r w:rsidRPr="002D4B23">
              <w:rPr>
                <w:b/>
                <w:snapToGrid w:val="0"/>
              </w:rPr>
              <w:t xml:space="preserve"> §</w:t>
            </w:r>
          </w:p>
        </w:tc>
        <w:tc>
          <w:tcPr>
            <w:tcW w:w="6946" w:type="dxa"/>
            <w:gridSpan w:val="2"/>
          </w:tcPr>
          <w:p w:rsidR="00D5687D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4B23">
              <w:rPr>
                <w:b/>
                <w:snapToGrid w:val="0"/>
              </w:rPr>
              <w:t xml:space="preserve">EU-överläggning </w:t>
            </w:r>
            <w:r w:rsidRPr="003B1314">
              <w:rPr>
                <w:b/>
                <w:snapToGrid w:val="0"/>
              </w:rPr>
              <w:t>om rådsrekommendation om en europeisk</w:t>
            </w:r>
            <w:r>
              <w:rPr>
                <w:b/>
                <w:snapToGrid w:val="0"/>
              </w:rPr>
              <w:t xml:space="preserve"> </w:t>
            </w:r>
            <w:r w:rsidRPr="003B1314">
              <w:rPr>
                <w:b/>
                <w:snapToGrid w:val="0"/>
              </w:rPr>
              <w:t>strategi för mikromeriter för livslångt lärande och</w:t>
            </w:r>
            <w:r>
              <w:rPr>
                <w:b/>
                <w:snapToGrid w:val="0"/>
              </w:rPr>
              <w:t xml:space="preserve"> </w:t>
            </w:r>
            <w:r w:rsidRPr="003B1314">
              <w:rPr>
                <w:b/>
                <w:snapToGrid w:val="0"/>
              </w:rPr>
              <w:t>anställbarhet</w:t>
            </w:r>
          </w:p>
          <w:p w:rsidR="00D5687D" w:rsidRPr="003B1314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Pr="009F71C5">
              <w:t xml:space="preserve">Utskottet överlade med </w:t>
            </w:r>
            <w:r>
              <w:t xml:space="preserve">statsrådet Anna Ekström, politiskt sakkunnige Ebba Ringborg, departementsrådet </w:t>
            </w:r>
            <w:r w:rsidRPr="00C869B4">
              <w:t>Ewa Wennberg</w:t>
            </w:r>
            <w:r>
              <w:t xml:space="preserve">, kansliråden Anneli Helgesson och Carina Lindén samt departementssekreteraren Robin Moberg </w:t>
            </w:r>
            <w:r w:rsidRPr="009F71C5">
              <w:t xml:space="preserve">om </w:t>
            </w:r>
            <w:r>
              <w:t>brobyggande för ett effektivt europeiskt samarbete om högre utbildning</w:t>
            </w:r>
            <w:r w:rsidRPr="009F71C5">
              <w:t>.</w:t>
            </w:r>
            <w:r w:rsidRPr="002D4B23">
              <w:rPr>
                <w:snapToGrid w:val="0"/>
              </w:rPr>
              <w:t xml:space="preserve"> </w:t>
            </w: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Underlag för överläggningen</w:t>
            </w:r>
          </w:p>
          <w:p w:rsidR="00D5687D" w:rsidRPr="003B1314" w:rsidRDefault="00D5687D" w:rsidP="00BC5278">
            <w:pPr>
              <w:rPr>
                <w:snapToGrid w:val="0"/>
              </w:rPr>
            </w:pPr>
            <w:r w:rsidRPr="003B1314">
              <w:rPr>
                <w:snapToGrid w:val="0"/>
              </w:rPr>
              <w:t>Promemoria från Utbildningsdepartementet (</w:t>
            </w:r>
            <w:proofErr w:type="gramStart"/>
            <w:r w:rsidRPr="003B1314">
              <w:rPr>
                <w:snapToGrid w:val="0"/>
              </w:rPr>
              <w:t>1596-2021</w:t>
            </w:r>
            <w:proofErr w:type="gramEnd"/>
            <w:r w:rsidRPr="003B1314">
              <w:rPr>
                <w:snapToGrid w:val="0"/>
              </w:rPr>
              <w:t>/22)</w:t>
            </w:r>
          </w:p>
          <w:p w:rsidR="00D5687D" w:rsidRDefault="00D5687D" w:rsidP="00BC5278">
            <w:pPr>
              <w:rPr>
                <w:snapToGrid w:val="0"/>
              </w:rPr>
            </w:pPr>
            <w:r w:rsidRPr="003B1314">
              <w:rPr>
                <w:snapToGrid w:val="0"/>
              </w:rPr>
              <w:t xml:space="preserve">Rådsdokument ST </w:t>
            </w:r>
            <w:proofErr w:type="gramStart"/>
            <w:r w:rsidRPr="003B1314">
              <w:rPr>
                <w:snapToGrid w:val="0"/>
              </w:rPr>
              <w:t>14744</w:t>
            </w:r>
            <w:proofErr w:type="gramEnd"/>
            <w:r w:rsidRPr="003B1314">
              <w:rPr>
                <w:snapToGrid w:val="0"/>
              </w:rPr>
              <w:t>/2021</w:t>
            </w:r>
          </w:p>
          <w:p w:rsidR="00D5687D" w:rsidRPr="002D4B23" w:rsidRDefault="00D5687D" w:rsidP="00BC5278">
            <w:pPr>
              <w:rPr>
                <w:snapToGrid w:val="0"/>
              </w:rPr>
            </w:pP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Regeringens förslag till svensk ståndpunkt</w:t>
            </w:r>
          </w:p>
          <w:p w:rsidR="00D5687D" w:rsidRPr="00BC4D9F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BC4D9F">
              <w:rPr>
                <w:snapToGrid w:val="0"/>
              </w:rPr>
              <w:t>Regeringen delar kommissionens målsättning att vuxna ska kunna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bygga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vidare på lärande från olika aktörer genom livet. Regeringen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delar även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kommissionens behovsbeskrivning att allt fler människor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behöver få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tillgång till fort- och vidareutbildning och omskolning för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att kunna möta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de förändrade behoven på en arbetsmarknad i snabb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förändring.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Regeringen håller även med om att utbildningsutbudet måste kunna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anpassas efter individuella behov. Mikromeriter kan vara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ett verktyg som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bidrar till att möta dessa behov i takt med att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medlemsstaterna identifierar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relevanta användningsområden.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BC4D9F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BC4D9F">
              <w:rPr>
                <w:snapToGrid w:val="0"/>
              </w:rPr>
              <w:t>Innan regeringen kan ställa sig bakom förslaget finns det skrivningar i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lastRenderedPageBreak/>
              <w:t>förslaget till rekommendation som måste tydliggöras, bland annat om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ansvaret för kvalitetssäkring, hur det är tänkt att övergången mellan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olika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utbildningsnivåer och möjligheten att bygga ihop mikromeriter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från olika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aktörer ska fungera samt hur omfattande kommissionen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föreslår att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medlemsstaternas ansvar ska vara i förhållande till andra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aktörer.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BC4D9F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BC4D9F">
              <w:rPr>
                <w:snapToGrid w:val="0"/>
              </w:rPr>
              <w:t>Regeringen menar att det europeiska samarbetet även framöver bör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bygga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på transparens och öppenhet. Det är viktigt att komma ihåg att de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nationella systemen för utbildning ser olika ut.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BC4D9F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BC4D9F">
              <w:rPr>
                <w:snapToGrid w:val="0"/>
              </w:rPr>
              <w:t>Regeringen vill se ett förtydligade om hur en mikromerit förhåller sig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till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kurser och vad som är skillnaden mellan en mikromerit och en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kurs.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Regeringen önskar även ett förtydligande om en mikromerit kan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vara en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kurs inom det formella utbildningssystemet eller om det är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större moduler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av lärande som avses.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BC4D9F">
              <w:rPr>
                <w:snapToGrid w:val="0"/>
              </w:rPr>
              <w:t>Det är viktigt att utvecklingen går i linje med den europeiska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referensramen för kvalifikationer (EQF) och principen om resultat av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lärande. Det är viktigt att särskilja kvalifikationer som nivåplacerats i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EQF och meriter som placeras i ett CV. Det måste vara tydligt för alla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vad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en kvalifikation respektive ett intyg står för och att inte blanda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olika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former av intyg med kvalitetssäkrade kvalifikationer. Det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behöver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förtydligas hur resultatet av lärande och anordnare ska kunna verifieras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och kvalitetssäkras för de föreslagna mikromeriterna.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Regeringen anser att det är viktigt att medlemsstaternas befogenheter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på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utbildningsområdet respekteras.</w:t>
            </w: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Utskottet</w:t>
            </w:r>
          </w:p>
          <w:p w:rsidR="00D5687D" w:rsidRDefault="00D5687D" w:rsidP="00BC5278">
            <w:r w:rsidRPr="00F11C3E">
              <w:t>Ordföranden konstaterade att det fanns stöd för regeringens ståndpunkt.</w:t>
            </w:r>
            <w:r w:rsidRPr="007F03AF">
              <w:t xml:space="preserve"> </w:t>
            </w:r>
          </w:p>
          <w:p w:rsidR="00D5687D" w:rsidRDefault="00D5687D" w:rsidP="00BC5278"/>
          <w:p w:rsidR="00D5687D" w:rsidRDefault="00D5687D" w:rsidP="00BC5278">
            <w:r>
              <w:t xml:space="preserve">Ledamöterna från Sverigedemokraterna lämnade en avvikande ståndpunkt om att regeringens ståndpunkt bör formuleras enligt följande. </w:t>
            </w:r>
          </w:p>
          <w:p w:rsidR="00D5687D" w:rsidRDefault="00D5687D" w:rsidP="00BC5278"/>
          <w:p w:rsidR="00D5687D" w:rsidRDefault="00D5687D" w:rsidP="00BC5278">
            <w:r>
              <w:t>”Trots att fortbildning och vidareutbildning är oerhört viktigt för medlemsstaterna i EU är förslaget från rådet ofullständigt genom</w:t>
            </w:r>
            <w:r>
              <w:softHyphen/>
              <w:t>arbetat. Ansvaret för kvalitetssäkring av mikromeriterna är otydligt, övergången mellan utbildningsnivåer saknar beskrivning och det saknas ett förslag på hur ansvaret ska fördelas mellan staten och olika aktörer.</w:t>
            </w:r>
          </w:p>
          <w:p w:rsidR="00D5687D" w:rsidRDefault="00D5687D" w:rsidP="00BC5278"/>
          <w:p w:rsidR="00D5687D" w:rsidRDefault="00D5687D" w:rsidP="00BC5278">
            <w:r>
              <w:t xml:space="preserve">Framförallt saknas det insikt från rådet att medlemsstaternas utbildningssystem ser väldigt olika ut. Det framgår inte heller vad skillnaden är mellan en kurs och mikromeriter i rådets förslag.  </w:t>
            </w:r>
          </w:p>
          <w:p w:rsidR="00D5687D" w:rsidRDefault="00D5687D" w:rsidP="00BC5278">
            <w:r>
              <w:t xml:space="preserve">  </w:t>
            </w:r>
          </w:p>
          <w:p w:rsidR="00D5687D" w:rsidRDefault="00D5687D" w:rsidP="00BC5278">
            <w:r>
              <w:t>På grund av en rad otydligheter och praktiska svårigheter med förslaget och för att mikromeriter i alltför hög grad inkräktar på den nationella kompetensen på utbildningsområdet så ställer sig regeringen inte bakom förslaget.”</w:t>
            </w:r>
          </w:p>
          <w:p w:rsidR="00D5687D" w:rsidRPr="003B1314" w:rsidRDefault="00D5687D" w:rsidP="00BC5278">
            <w:r>
              <w:rPr>
                <w:snapToGrid w:val="0"/>
              </w:rPr>
              <w:lastRenderedPageBreak/>
              <w:t xml:space="preserve"> </w:t>
            </w:r>
          </w:p>
          <w:p w:rsidR="00D5687D" w:rsidRDefault="00D5687D" w:rsidP="00BC5278">
            <w:r w:rsidRPr="00C92DB6">
              <w:t>Denna paragraf förklarades omedelbart justerad.</w:t>
            </w:r>
            <w:r w:rsidRPr="00230C9F">
              <w:t xml:space="preserve"> </w:t>
            </w:r>
          </w:p>
          <w:p w:rsidR="00D5687D" w:rsidRPr="00230C9F" w:rsidRDefault="00D5687D" w:rsidP="00BC5278">
            <w:pPr>
              <w:pStyle w:val="Default"/>
              <w:rPr>
                <w:snapToGrid w:val="0"/>
              </w:rPr>
            </w:pPr>
          </w:p>
        </w:tc>
      </w:tr>
      <w:tr w:rsidR="00D5687D" w:rsidRPr="00230C9F" w:rsidTr="00BC5278">
        <w:tc>
          <w:tcPr>
            <w:tcW w:w="567" w:type="dxa"/>
          </w:tcPr>
          <w:p w:rsidR="00D5687D" w:rsidRPr="002D4B23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6</w:t>
            </w:r>
            <w:r w:rsidRPr="002D4B23">
              <w:rPr>
                <w:b/>
                <w:snapToGrid w:val="0"/>
              </w:rPr>
              <w:t xml:space="preserve"> §</w:t>
            </w:r>
          </w:p>
        </w:tc>
        <w:tc>
          <w:tcPr>
            <w:tcW w:w="6946" w:type="dxa"/>
            <w:gridSpan w:val="2"/>
          </w:tcPr>
          <w:p w:rsidR="00D5687D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4B23">
              <w:rPr>
                <w:b/>
                <w:snapToGrid w:val="0"/>
              </w:rPr>
              <w:t xml:space="preserve">EU-överläggning </w:t>
            </w:r>
            <w:r w:rsidRPr="003B1314">
              <w:rPr>
                <w:b/>
                <w:snapToGrid w:val="0"/>
              </w:rPr>
              <w:t>om rådsrekommendation om individuella</w:t>
            </w:r>
            <w:r>
              <w:rPr>
                <w:b/>
                <w:snapToGrid w:val="0"/>
              </w:rPr>
              <w:t xml:space="preserve"> </w:t>
            </w:r>
            <w:r w:rsidRPr="003B1314">
              <w:rPr>
                <w:b/>
                <w:snapToGrid w:val="0"/>
              </w:rPr>
              <w:t>utbildningskonton</w:t>
            </w: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Pr="009F71C5">
              <w:t xml:space="preserve">Utskottet överlade med </w:t>
            </w:r>
            <w:r>
              <w:t xml:space="preserve">statsrådet Anna Ekström, politiskt sakkunnige Ebba Ringborg, departementsrådet </w:t>
            </w:r>
            <w:r w:rsidRPr="00C869B4">
              <w:t>Ewa Wennberg</w:t>
            </w:r>
            <w:r>
              <w:t xml:space="preserve">, kansliråden Anneli Helgesson och Carina Lindén samt departementssekreteraren Robin Moberg </w:t>
            </w:r>
            <w:r w:rsidRPr="009F71C5">
              <w:t xml:space="preserve">om </w:t>
            </w:r>
            <w:r>
              <w:t>brobyggande för ett effektivt europeiskt samarbete om högre utbildning</w:t>
            </w:r>
            <w:r w:rsidRPr="009F71C5">
              <w:t>.</w:t>
            </w:r>
            <w:r w:rsidRPr="002D4B23">
              <w:rPr>
                <w:snapToGrid w:val="0"/>
              </w:rPr>
              <w:t xml:space="preserve"> </w:t>
            </w: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Underlag för överläggningen</w:t>
            </w:r>
          </w:p>
          <w:p w:rsidR="00D5687D" w:rsidRPr="003B1314" w:rsidRDefault="00D5687D" w:rsidP="00BC5278">
            <w:pPr>
              <w:rPr>
                <w:snapToGrid w:val="0"/>
              </w:rPr>
            </w:pPr>
            <w:r w:rsidRPr="003B1314">
              <w:rPr>
                <w:snapToGrid w:val="0"/>
              </w:rPr>
              <w:t>Promemoria från Utbildningsdepartementet (</w:t>
            </w:r>
            <w:proofErr w:type="gramStart"/>
            <w:r w:rsidRPr="003B1314">
              <w:rPr>
                <w:snapToGrid w:val="0"/>
              </w:rPr>
              <w:t>1596-2021</w:t>
            </w:r>
            <w:proofErr w:type="gramEnd"/>
            <w:r w:rsidRPr="003B1314">
              <w:rPr>
                <w:snapToGrid w:val="0"/>
              </w:rPr>
              <w:t>/22)</w:t>
            </w:r>
          </w:p>
          <w:p w:rsidR="00D5687D" w:rsidRDefault="00D5687D" w:rsidP="00BC5278">
            <w:pPr>
              <w:rPr>
                <w:snapToGrid w:val="0"/>
              </w:rPr>
            </w:pPr>
            <w:r w:rsidRPr="003B1314">
              <w:rPr>
                <w:snapToGrid w:val="0"/>
              </w:rPr>
              <w:t>Rådsdokument ST 5934/2022</w:t>
            </w:r>
          </w:p>
          <w:p w:rsidR="00D5687D" w:rsidRPr="002D4B23" w:rsidRDefault="00D5687D" w:rsidP="00BC5278">
            <w:pPr>
              <w:rPr>
                <w:snapToGrid w:val="0"/>
              </w:rPr>
            </w:pP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Regeringens förslag till svensk ståndpunkt</w:t>
            </w:r>
          </w:p>
          <w:p w:rsidR="00D5687D" w:rsidRPr="00BC4D9F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BC4D9F">
              <w:rPr>
                <w:snapToGrid w:val="0"/>
              </w:rPr>
              <w:t>Regeringen stödjer åtgärder som syftar till att underlätta för och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inspirera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till livslångt lärande för ökad anställningsbarhet och personlig utveckling.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BC4D9F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BC4D9F">
              <w:rPr>
                <w:snapToGrid w:val="0"/>
              </w:rPr>
              <w:t>Regeringen stödjer inte införandet av individuella utbildningskonton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som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ett EU-initiativ. Rekommendationen bör inte framhålla ett visst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specifikt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instrument utan i stället se till målsättningen, dvs. att säkerställa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finansiering för fort- och vidareutbildning för att möta behoven på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arbetsmarknaden och tillgång till vägledning och validering.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BC4D9F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BC4D9F">
              <w:rPr>
                <w:snapToGrid w:val="0"/>
              </w:rPr>
              <w:t>Regeringen bör påtala att förslaget utgår från att den enskilda betalar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avgift för att gå en utbildning. I flera länder (däribland SE) är formell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utbildning kostnadsfri för deltagaren och det finns ett generöst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studiestöd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att tillgå för att klara försörjningen under studietiden.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Studier inom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arbetsmarknadspolitiken är kostnadsfri och den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studerande behåller sin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ersättning under studierna. Det finns också goda möjligheter till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kompetensutveckling inom kollektivavtalen samt inom folkbildningen.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Därutöver planerar SE att införa ett nytt, omfattande och generöst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omställningsstudiestöd (OSS) för personer som vill vidareutbilda sig. OSS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kommer att göra det möjligt för individer mitt i livet att studera i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omställnings- eller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kompetens</w:t>
            </w:r>
            <w:r>
              <w:rPr>
                <w:snapToGrid w:val="0"/>
              </w:rPr>
              <w:softHyphen/>
            </w:r>
            <w:r w:rsidRPr="00BC4D9F">
              <w:rPr>
                <w:snapToGrid w:val="0"/>
              </w:rPr>
              <w:t>utvecklingssyfte genom att ersätta minst 80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% av lönen för upp till ett års studier. Det är i linje med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rekommendationens målsättning. Regeringen anser att rekommendationen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därför bör utformas så att den ger flera olika exempel på hur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målsättningen kan nås och att offentlig finansiering av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kompetensutveckling under studier är ett av exemplen.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 w:rsidRPr="00BC4D9F">
              <w:rPr>
                <w:snapToGrid w:val="0"/>
              </w:rPr>
              <w:t>Förslaget till rekommendation handlar om ett specifikt verktyg och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hur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det bör utformas. I praktiken innebär det att det endast finns ett sätt för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medlemsstaterna att agera på för att anses följa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rekommendationen.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Regeringen anser att det är viktigt att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medlemsstaternas befogenheter på</w:t>
            </w:r>
            <w:r>
              <w:rPr>
                <w:snapToGrid w:val="0"/>
              </w:rPr>
              <w:t xml:space="preserve"> </w:t>
            </w:r>
            <w:r w:rsidRPr="00BC4D9F">
              <w:rPr>
                <w:snapToGrid w:val="0"/>
              </w:rPr>
              <w:t>utbildningsområdet respekteras.</w:t>
            </w: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lastRenderedPageBreak/>
              <w:t>Utskottet</w:t>
            </w:r>
          </w:p>
          <w:p w:rsidR="00D5687D" w:rsidRDefault="00D5687D" w:rsidP="00BC5278">
            <w:r w:rsidRPr="00F11C3E">
              <w:t>Ordföranden konstaterade att det fanns stöd för regeringens ståndpunkt.</w:t>
            </w:r>
            <w:r w:rsidRPr="007F03AF">
              <w:t xml:space="preserve"> </w:t>
            </w:r>
          </w:p>
          <w:p w:rsidR="00D5687D" w:rsidRPr="00BC4D9F" w:rsidRDefault="00D5687D" w:rsidP="00BC5278"/>
          <w:p w:rsidR="00D5687D" w:rsidRDefault="00D5687D" w:rsidP="00BC5278">
            <w:r w:rsidRPr="00C92DB6">
              <w:t>Denna paragraf förklarades omedelbart justerad.</w:t>
            </w:r>
            <w:r w:rsidRPr="00230C9F">
              <w:t xml:space="preserve"> </w:t>
            </w:r>
          </w:p>
          <w:p w:rsidR="00D5687D" w:rsidRPr="00E06A3F" w:rsidRDefault="00D5687D" w:rsidP="00BC5278"/>
        </w:tc>
      </w:tr>
      <w:tr w:rsidR="00D5687D" w:rsidRPr="00230C9F" w:rsidTr="00BC5278">
        <w:tc>
          <w:tcPr>
            <w:tcW w:w="567" w:type="dxa"/>
          </w:tcPr>
          <w:p w:rsidR="00D5687D" w:rsidRPr="002D4B23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7</w:t>
            </w:r>
            <w:r w:rsidRPr="002D4B23">
              <w:rPr>
                <w:b/>
                <w:snapToGrid w:val="0"/>
              </w:rPr>
              <w:t xml:space="preserve"> §</w:t>
            </w:r>
          </w:p>
        </w:tc>
        <w:tc>
          <w:tcPr>
            <w:tcW w:w="6946" w:type="dxa"/>
            <w:gridSpan w:val="2"/>
          </w:tcPr>
          <w:p w:rsidR="00D5687D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B1314">
              <w:rPr>
                <w:b/>
                <w:snapToGrid w:val="0"/>
              </w:rPr>
              <w:t>EU-information om riktlinjedebatt om att stärka krishantering</w:t>
            </w:r>
            <w:r>
              <w:rPr>
                <w:b/>
                <w:snapToGrid w:val="0"/>
              </w:rPr>
              <w:t xml:space="preserve"> </w:t>
            </w:r>
            <w:r w:rsidRPr="003B1314">
              <w:rPr>
                <w:b/>
                <w:snapToGrid w:val="0"/>
              </w:rPr>
              <w:t>inom det europeiska utbildningsområdet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t xml:space="preserve">Statsrådet Anna Ekström, biträdd av politiskt sakkunnige Ebba Ringborg, departementsrådet </w:t>
            </w:r>
            <w:r w:rsidRPr="00C869B4">
              <w:t>Ewa Wennberg</w:t>
            </w:r>
            <w:r>
              <w:t xml:space="preserve">, kansliråden Anneli Helgesson och Carina Lindén samt departementssekreteraren Robin Moberg, informerade om </w:t>
            </w:r>
            <w:r w:rsidRPr="003B1314">
              <w:t>riktlinjedebatt om att stärka krishantering inom det europeiska utbildningsområdet</w:t>
            </w:r>
            <w:r w:rsidRPr="009F71C5">
              <w:t>.</w:t>
            </w:r>
            <w:r w:rsidRPr="002D4B23">
              <w:rPr>
                <w:snapToGrid w:val="0"/>
              </w:rPr>
              <w:t xml:space="preserve"> </w:t>
            </w:r>
          </w:p>
          <w:p w:rsidR="00D5687D" w:rsidRPr="00230C9F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5687D" w:rsidRPr="00230C9F" w:rsidTr="00BC5278">
        <w:tc>
          <w:tcPr>
            <w:tcW w:w="567" w:type="dxa"/>
          </w:tcPr>
          <w:p w:rsidR="00D5687D" w:rsidRPr="002D4B23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8</w:t>
            </w:r>
            <w:r w:rsidRPr="002D4B23">
              <w:rPr>
                <w:b/>
                <w:snapToGrid w:val="0"/>
              </w:rPr>
              <w:t xml:space="preserve"> §</w:t>
            </w:r>
          </w:p>
        </w:tc>
        <w:tc>
          <w:tcPr>
            <w:tcW w:w="6946" w:type="dxa"/>
            <w:gridSpan w:val="2"/>
          </w:tcPr>
          <w:p w:rsidR="00D5687D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B1314">
              <w:rPr>
                <w:b/>
                <w:snapToGrid w:val="0"/>
              </w:rPr>
              <w:t>EU-information om frukostpunkt om investering i utbildning</w:t>
            </w: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t xml:space="preserve">Statsrådet Anna Ekström, biträdd av politiskt sakkunnige Ebba Ringborg, departementsrådet </w:t>
            </w:r>
            <w:r w:rsidRPr="00C869B4">
              <w:t>Ewa Wennberg</w:t>
            </w:r>
            <w:r>
              <w:t xml:space="preserve">, kansliråden Anneli Helgesson och Carina Lindén samt departementssekreteraren Robin Moberg, informerade om </w:t>
            </w:r>
            <w:r w:rsidRPr="003B1314">
              <w:t>frukostpunkt om investering i utbildning</w:t>
            </w:r>
            <w:r w:rsidRPr="009F71C5">
              <w:t>.</w:t>
            </w:r>
            <w:r w:rsidRPr="002D4B23">
              <w:rPr>
                <w:snapToGrid w:val="0"/>
              </w:rPr>
              <w:t xml:space="preserve"> </w:t>
            </w:r>
          </w:p>
          <w:p w:rsidR="00D5687D" w:rsidRPr="00230C9F" w:rsidRDefault="00D5687D" w:rsidP="00BC5278">
            <w:pPr>
              <w:rPr>
                <w:snapToGrid w:val="0"/>
              </w:rPr>
            </w:pPr>
          </w:p>
        </w:tc>
      </w:tr>
      <w:tr w:rsidR="00D5687D" w:rsidRPr="00230C9F" w:rsidTr="00BC5278">
        <w:tc>
          <w:tcPr>
            <w:tcW w:w="567" w:type="dxa"/>
          </w:tcPr>
          <w:p w:rsidR="00D5687D" w:rsidRPr="002D4B23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9</w:t>
            </w:r>
            <w:r w:rsidRPr="002D4B23">
              <w:rPr>
                <w:b/>
                <w:snapToGrid w:val="0"/>
              </w:rPr>
              <w:t xml:space="preserve"> §</w:t>
            </w:r>
          </w:p>
        </w:tc>
        <w:tc>
          <w:tcPr>
            <w:tcW w:w="6946" w:type="dxa"/>
            <w:gridSpan w:val="2"/>
          </w:tcPr>
          <w:p w:rsidR="00D5687D" w:rsidRPr="003B1314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B1314">
              <w:rPr>
                <w:b/>
                <w:snapToGrid w:val="0"/>
              </w:rPr>
              <w:t>EU-information om lunchpunkt om finansiering av högre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B1314">
              <w:rPr>
                <w:b/>
                <w:snapToGrid w:val="0"/>
              </w:rPr>
              <w:t>utbildning</w:t>
            </w:r>
          </w:p>
          <w:p w:rsidR="00D5687D" w:rsidRDefault="00D5687D" w:rsidP="00BC5278">
            <w:pPr>
              <w:tabs>
                <w:tab w:val="left" w:pos="1701"/>
              </w:tabs>
            </w:pPr>
            <w:r>
              <w:rPr>
                <w:b/>
                <w:snapToGrid w:val="0"/>
              </w:rPr>
              <w:br/>
            </w:r>
            <w:r>
              <w:t xml:space="preserve">Statsrådet Anna Ekström, biträdd av politiskt sakkunnige Ebba Ringborg, departementsrådet </w:t>
            </w:r>
            <w:r w:rsidRPr="00C869B4">
              <w:t>Ewa Wennberg</w:t>
            </w:r>
            <w:r>
              <w:t>, kansliråden Anneli Helgesson och Carina Lindén samt departementssekreteraren Robin Moberg, informerade om lunchpunkt om finansiering av högre</w:t>
            </w:r>
          </w:p>
          <w:p w:rsidR="00D5687D" w:rsidRPr="002D4B23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>
              <w:t>utbildning</w:t>
            </w:r>
            <w:r w:rsidRPr="009F71C5">
              <w:t>.</w:t>
            </w:r>
            <w:r w:rsidRPr="002D4B23">
              <w:rPr>
                <w:snapToGrid w:val="0"/>
              </w:rPr>
              <w:t xml:space="preserve"> </w:t>
            </w:r>
          </w:p>
          <w:p w:rsidR="00D5687D" w:rsidRPr="00230C9F" w:rsidRDefault="00D5687D" w:rsidP="00BC5278">
            <w:pPr>
              <w:rPr>
                <w:snapToGrid w:val="0"/>
              </w:rPr>
            </w:pPr>
          </w:p>
        </w:tc>
      </w:tr>
      <w:tr w:rsidR="00D5687D" w:rsidRPr="00230C9F" w:rsidTr="00BC5278">
        <w:tc>
          <w:tcPr>
            <w:tcW w:w="567" w:type="dxa"/>
          </w:tcPr>
          <w:p w:rsidR="00D5687D" w:rsidRPr="002D4B23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4B23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>0</w:t>
            </w:r>
            <w:r w:rsidRPr="002D4B23">
              <w:rPr>
                <w:b/>
                <w:snapToGrid w:val="0"/>
              </w:rPr>
              <w:t xml:space="preserve"> §</w:t>
            </w:r>
          </w:p>
        </w:tc>
        <w:tc>
          <w:tcPr>
            <w:tcW w:w="6946" w:type="dxa"/>
            <w:gridSpan w:val="2"/>
          </w:tcPr>
          <w:p w:rsidR="00D5687D" w:rsidRDefault="00D5687D" w:rsidP="00BC527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B1314">
              <w:rPr>
                <w:b/>
                <w:snapToGrid w:val="0"/>
              </w:rPr>
              <w:t>EU-information om deklaration om investering i utbildning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t xml:space="preserve">Statsrådet Anna Ekström, biträdd av politiskt sakkunnige Ebba Ringborg, departementsrådet </w:t>
            </w:r>
            <w:r w:rsidRPr="00C869B4">
              <w:t>Ewa Wennberg</w:t>
            </w:r>
            <w:r>
              <w:t xml:space="preserve">, kansliråden Anneli Helgesson och Carina Lindén samt departementssekreteraren Robin Moberg, informerade om </w:t>
            </w:r>
            <w:r w:rsidRPr="003B1314">
              <w:t>deklaration om investering i utbildning</w:t>
            </w:r>
            <w:r w:rsidRPr="009F71C5">
              <w:t>.</w:t>
            </w:r>
            <w:r w:rsidRPr="002D4B23">
              <w:rPr>
                <w:snapToGrid w:val="0"/>
              </w:rPr>
              <w:t xml:space="preserve"> </w:t>
            </w:r>
          </w:p>
          <w:p w:rsidR="00D5687D" w:rsidRDefault="00D5687D" w:rsidP="00BC5278">
            <w:pPr>
              <w:tabs>
                <w:tab w:val="left" w:pos="1701"/>
              </w:tabs>
              <w:rPr>
                <w:snapToGrid w:val="0"/>
              </w:rPr>
            </w:pPr>
          </w:p>
          <w:p w:rsidR="00D5687D" w:rsidRPr="00230C9F" w:rsidRDefault="00D5687D" w:rsidP="00BC5278">
            <w:pPr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D5687D" w:rsidRDefault="00D5687D" w:rsidP="00D5687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4B23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>1</w:t>
            </w:r>
            <w:r w:rsidRPr="002D4B23">
              <w:rPr>
                <w:b/>
                <w:snapToGrid w:val="0"/>
              </w:rPr>
              <w:t xml:space="preserve"> §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396C75">
              <w:rPr>
                <w:snapToGrid w:val="0"/>
              </w:rPr>
              <w:t>27.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D5687D" w:rsidRDefault="00D5687D" w:rsidP="00D5687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4B23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>2</w:t>
            </w:r>
            <w:r w:rsidRPr="002D4B23">
              <w:rPr>
                <w:b/>
                <w:snapToGrid w:val="0"/>
              </w:rPr>
              <w:t xml:space="preserve"> §</w:t>
            </w:r>
          </w:p>
        </w:tc>
        <w:tc>
          <w:tcPr>
            <w:tcW w:w="6946" w:type="dxa"/>
            <w:gridSpan w:val="2"/>
          </w:tcPr>
          <w:p w:rsidR="003B4DE8" w:rsidRDefault="008F0EF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Förslag till utskottsinitiativ om rätt till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sfi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och att fullfölja en gymnasieutbildning för ukrainska flyktingar</w:t>
            </w:r>
          </w:p>
          <w:p w:rsidR="008F0EFE" w:rsidRDefault="008F0EFE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F0EFE" w:rsidRDefault="008F0EFE" w:rsidP="008F0EFE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behandlade ett förslag till utskottsinitiativ om rätt till </w:t>
            </w:r>
            <w:proofErr w:type="spellStart"/>
            <w:r>
              <w:rPr>
                <w:bCs/>
                <w:color w:val="000000"/>
                <w:szCs w:val="24"/>
              </w:rPr>
              <w:t>sfi</w:t>
            </w:r>
            <w:proofErr w:type="spellEnd"/>
            <w:r>
              <w:rPr>
                <w:bCs/>
                <w:color w:val="000000"/>
                <w:szCs w:val="24"/>
              </w:rPr>
              <w:t xml:space="preserve"> och att fullfölja en gymnasieutbildning för ukrainska flyktingar.</w:t>
            </w:r>
          </w:p>
          <w:p w:rsidR="008F0EFE" w:rsidRDefault="008F0EFE" w:rsidP="008F0EFE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7676F3" w:rsidRDefault="007676F3" w:rsidP="008F0EFE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beslutade att inte ta något initiativ. 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D5687D" w:rsidRDefault="00D5687D" w:rsidP="00D5687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4B23">
              <w:rPr>
                <w:b/>
                <w:snapToGrid w:val="0"/>
              </w:rPr>
              <w:lastRenderedPageBreak/>
              <w:t>1</w:t>
            </w:r>
            <w:r>
              <w:rPr>
                <w:b/>
                <w:snapToGrid w:val="0"/>
              </w:rPr>
              <w:t>3</w:t>
            </w:r>
            <w:r w:rsidRPr="002D4B23">
              <w:rPr>
                <w:b/>
                <w:snapToGrid w:val="0"/>
              </w:rPr>
              <w:t xml:space="preserve"> §</w:t>
            </w: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396C75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396C75">
              <w:rPr>
                <w:szCs w:val="24"/>
              </w:rPr>
              <w:t>24 mars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0A167A">
              <w:rPr>
                <w:szCs w:val="24"/>
              </w:rPr>
              <w:t>2</w:t>
            </w:r>
            <w:r>
              <w:rPr>
                <w:szCs w:val="24"/>
              </w:rPr>
              <w:t xml:space="preserve"> kl. </w:t>
            </w:r>
            <w:r w:rsidR="00396C75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  <w:p w:rsidR="007676F3" w:rsidRDefault="007676F3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96C75" w:rsidP="00D817DA">
            <w:pPr>
              <w:tabs>
                <w:tab w:val="left" w:pos="1701"/>
              </w:tabs>
            </w:pPr>
            <w:r>
              <w:t>Karolina Gustafson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396C75">
              <w:t>tors</w:t>
            </w:r>
            <w:r w:rsidRPr="00C56172">
              <w:t xml:space="preserve">dagen </w:t>
            </w:r>
            <w:r w:rsidR="00396C75">
              <w:t xml:space="preserve">den 24 mars </w:t>
            </w:r>
            <w:r w:rsidR="00BB7028">
              <w:t>20</w:t>
            </w:r>
            <w:r w:rsidR="005F0E85">
              <w:t>2</w:t>
            </w:r>
            <w:r w:rsidR="000A167A">
              <w:t>2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977"/>
        <w:gridCol w:w="425"/>
        <w:gridCol w:w="45"/>
        <w:gridCol w:w="356"/>
        <w:gridCol w:w="356"/>
        <w:gridCol w:w="356"/>
        <w:gridCol w:w="356"/>
        <w:gridCol w:w="356"/>
        <w:gridCol w:w="356"/>
        <w:gridCol w:w="356"/>
        <w:gridCol w:w="86"/>
        <w:gridCol w:w="270"/>
        <w:gridCol w:w="356"/>
        <w:gridCol w:w="356"/>
        <w:gridCol w:w="356"/>
        <w:gridCol w:w="356"/>
        <w:gridCol w:w="356"/>
        <w:gridCol w:w="356"/>
      </w:tblGrid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  <w:r w:rsidRPr="00310016">
              <w:t>NÄRVAROFÖRTECKNING</w:t>
            </w: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310016" w:rsidRPr="00DB43E0" w:rsidRDefault="00310016" w:rsidP="00310016">
            <w:pPr>
              <w:tabs>
                <w:tab w:val="left" w:pos="1276"/>
              </w:tabs>
            </w:pPr>
            <w:r w:rsidRPr="00DB43E0">
              <w:t>till protokoll</w:t>
            </w:r>
          </w:p>
          <w:p w:rsidR="00310016" w:rsidRP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 w:rsidRPr="00DB43E0">
              <w:t>2021/22:</w:t>
            </w:r>
            <w:r w:rsidR="00396C75">
              <w:t>28</w:t>
            </w:r>
          </w:p>
        </w:tc>
      </w:tr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10016" w:rsidTr="00310016"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proofErr w:type="gramStart"/>
            <w:r w:rsidR="00D5687D">
              <w:rPr>
                <w:sz w:val="22"/>
              </w:rPr>
              <w:t>1-13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6110B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RPr="0000117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3D41A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00117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00117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00117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00117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00117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00117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00117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00117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00117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00117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00117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EC27A5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3D41A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3D41A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3D41A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3D41A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3D41A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3D41A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3D41A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3D41A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3D41A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3D41A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3D41A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3D41A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3D41A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25076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3D41A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25076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0C461C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9E1FCA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25076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0C461C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25076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0C461C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402D5D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0C461C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0C461C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0C461C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0C461C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Pontus Andersson </w:t>
            </w:r>
            <w:r w:rsidRPr="000C461C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3D41A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3D41A2" w:rsidRDefault="00925076" w:rsidP="00925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3D41A2" w:rsidRDefault="00925076" w:rsidP="00925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3D41A2" w:rsidRDefault="00925076" w:rsidP="00925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Pr="003D41A2" w:rsidRDefault="00925076" w:rsidP="00925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5076" w:rsidTr="00310016"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:rsidR="00925076" w:rsidRPr="003D41A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925076" w:rsidTr="00310016"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:rsidR="00925076" w:rsidRPr="003D41A2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925076" w:rsidRDefault="00925076" w:rsidP="009250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310016" w:rsidRDefault="00310016" w:rsidP="008F0EFE"/>
    <w:sectPr w:rsidR="0031001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68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C75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C2396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30AC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676F3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0EFE"/>
    <w:rsid w:val="008F6938"/>
    <w:rsid w:val="008F6C98"/>
    <w:rsid w:val="008F7983"/>
    <w:rsid w:val="009171C9"/>
    <w:rsid w:val="00923EFE"/>
    <w:rsid w:val="00925076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E22B2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C1C68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3290"/>
    <w:rsid w:val="00D35718"/>
    <w:rsid w:val="00D4759F"/>
    <w:rsid w:val="00D5687D"/>
    <w:rsid w:val="00D63878"/>
    <w:rsid w:val="00D65276"/>
    <w:rsid w:val="00D67D14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34FFF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895DE-F272-471D-A5A2-701CB89A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customStyle="1" w:styleId="Default">
    <w:name w:val="Default"/>
    <w:rsid w:val="00D5687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1</TotalTime>
  <Pages>11</Pages>
  <Words>3118</Words>
  <Characters>16527</Characters>
  <Application>Microsoft Office Word</Application>
  <DocSecurity>0</DocSecurity>
  <Lines>137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19606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2</cp:revision>
  <cp:lastPrinted>2013-04-22T11:37:00Z</cp:lastPrinted>
  <dcterms:created xsi:type="dcterms:W3CDTF">2022-03-24T09:45:00Z</dcterms:created>
  <dcterms:modified xsi:type="dcterms:W3CDTF">2022-03-24T09:45:00Z</dcterms:modified>
</cp:coreProperties>
</file>