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028" w:rsidRPr="007B6028" w:rsidRDefault="007B6028">
      <w:pPr>
        <w:pStyle w:val="Frslagsrubrik"/>
      </w:pPr>
      <w:r w:rsidRPr="007B6028">
        <w:t>Förslag till riksdagsbeslut</w:t>
      </w:r>
    </w:p>
    <w:p w:rsidR="007B6028" w:rsidRPr="007B6028" w:rsidRDefault="007B6028">
      <w:pPr>
        <w:pStyle w:val="Hemstlatt"/>
        <w:ind w:left="0"/>
      </w:pPr>
      <w:r w:rsidRPr="007B6028">
        <w:t>Riksdagen tillkännager för regeringen som sin mening vad som anförs i motionen om åtgärder för att förverkliga EU:s strategi för sällsynta diagnoser.</w:t>
      </w:r>
    </w:p>
    <w:p w:rsidR="007B6028" w:rsidRPr="007B6028" w:rsidRDefault="007B6028">
      <w:pPr>
        <w:pStyle w:val="Rubrik1"/>
      </w:pPr>
      <w:r w:rsidRPr="007B6028">
        <w:t>Motivering</w:t>
      </w:r>
    </w:p>
    <w:p w:rsidR="007B6028" w:rsidRPr="007B6028" w:rsidRDefault="007B6028">
      <w:r w:rsidRPr="007B6028">
        <w:t>I juni 2009 antog EU:s ministerråd en strategi för vård och forskning gällande sällsynta diagnoser. Den är prioriterad inom ramen för EU:s pågående fol</w:t>
      </w:r>
      <w:r w:rsidRPr="007B6028">
        <w:t>k</w:t>
      </w:r>
      <w:r w:rsidRPr="007B6028">
        <w:t>hälsoprogram 2008–2013. Därmed förutsätts länderna följa de rekommend</w:t>
      </w:r>
      <w:r w:rsidRPr="007B6028">
        <w:t>a</w:t>
      </w:r>
      <w:r w:rsidRPr="007B6028">
        <w:t>tioner som framförs i strategin. Dessa är:</w:t>
      </w:r>
    </w:p>
    <w:p w:rsidR="007B6028" w:rsidRPr="007B6028" w:rsidRDefault="007B6028">
      <w:pPr>
        <w:pStyle w:val="PunktlistaBomb"/>
      </w:pPr>
      <w:r w:rsidRPr="007B6028">
        <w:t>Fastställande av en nationell handlingsplan för sällsynta diagnoser.</w:t>
      </w:r>
    </w:p>
    <w:p w:rsidR="007B6028" w:rsidRPr="007B6028" w:rsidRDefault="007B6028">
      <w:pPr>
        <w:pStyle w:val="PunktlistaBomb"/>
        <w:spacing w:before="0"/>
      </w:pPr>
      <w:r w:rsidRPr="007B6028">
        <w:t>Mekanismer för inventering och definition av samt riktlinjer för sällsynta diagnoser.</w:t>
      </w:r>
    </w:p>
    <w:p w:rsidR="007B6028" w:rsidRPr="007B6028" w:rsidRDefault="007B6028">
      <w:pPr>
        <w:pStyle w:val="PunktlistaBomb"/>
        <w:spacing w:before="0"/>
      </w:pPr>
      <w:r w:rsidRPr="007B6028">
        <w:t>Utarbetande av riktlinjer för god praxis för både diagnostik och behan</w:t>
      </w:r>
      <w:r w:rsidRPr="007B6028">
        <w:t>d</w:t>
      </w:r>
      <w:r w:rsidRPr="007B6028">
        <w:t>ling samt spridning av kunskap.</w:t>
      </w:r>
    </w:p>
    <w:p w:rsidR="007B6028" w:rsidRPr="007B6028" w:rsidRDefault="007B6028">
      <w:pPr>
        <w:pStyle w:val="PunktlistaBomb"/>
        <w:spacing w:before="0"/>
      </w:pPr>
      <w:r w:rsidRPr="007B6028">
        <w:t>Satsning på forskning kring sällsynta diagnoser.</w:t>
      </w:r>
    </w:p>
    <w:p w:rsidR="007B6028" w:rsidRPr="007B6028" w:rsidRDefault="007B6028">
      <w:pPr>
        <w:pStyle w:val="PunktlistaBomb"/>
        <w:spacing w:before="0"/>
      </w:pPr>
      <w:r w:rsidRPr="007B6028">
        <w:t>Utveckling av nationella medicinska center för sällsynta sjukdomar och deras samverkan i europeiska nätverk.</w:t>
      </w:r>
    </w:p>
    <w:p w:rsidR="007B6028" w:rsidRPr="007B6028" w:rsidRDefault="007B6028">
      <w:pPr>
        <w:pStyle w:val="PunktlistaBomb"/>
        <w:spacing w:before="0"/>
      </w:pPr>
      <w:r w:rsidRPr="007B6028">
        <w:t>Åtgärder för att stärka patienternas och patientorganisationernas inflyta</w:t>
      </w:r>
      <w:r w:rsidRPr="007B6028">
        <w:t>n</w:t>
      </w:r>
      <w:r w:rsidRPr="007B6028">
        <w:t>de på och deltagande i utvecklingen.</w:t>
      </w:r>
    </w:p>
    <w:p w:rsidR="007B6028" w:rsidRPr="007B6028" w:rsidRDefault="007B6028">
      <w:pPr>
        <w:pStyle w:val="Normaltindrag"/>
        <w:spacing w:before="125"/>
        <w:ind w:firstLine="0"/>
      </w:pPr>
      <w:r w:rsidRPr="007B6028">
        <w:t>Den svenska regeringen har i svar till Europeiska kommissionen ställt sig positiv till EU:s strategi på området. Socialstyrelsen genomför i höst en u</w:t>
      </w:r>
      <w:r w:rsidRPr="007B6028">
        <w:t>t</w:t>
      </w:r>
      <w:r w:rsidRPr="007B6028">
        <w:t>redning om vården för människor med sällsynta diagnoser. Det som dessutom behövs är en utredning som tar upp sociala och ekonomiska aspekter för att man ska kunna få en helhetsbild av situationen för människor med sällsynta diagnoser som underlag för en nationell handlingsplan. Därutöver behövs en satsning på forskning om dessa sjukdomars orsaker, diagnostik och behan</w:t>
      </w:r>
      <w:r w:rsidRPr="007B6028">
        <w:t>d</w:t>
      </w:r>
      <w:r w:rsidRPr="007B6028">
        <w:t>ling samt den habilitering och rehabilitering som är nödvändig.</w:t>
      </w:r>
    </w:p>
    <w:p w:rsidR="007B6028" w:rsidRPr="007B6028" w:rsidRDefault="007B6028">
      <w:pPr>
        <w:pStyle w:val="Normaltindrag"/>
      </w:pPr>
      <w:r w:rsidRPr="007B6028">
        <w:lastRenderedPageBreak/>
        <w:t>Dagens hälso- och sjukvård är inte anpassad till de behov människor med säll</w:t>
      </w:r>
      <w:r w:rsidRPr="007B6028">
        <w:t>synta sjukdomar har bl.a. beroende på bristen på kunskap om dessa sju</w:t>
      </w:r>
      <w:r w:rsidRPr="007B6028">
        <w:t>k</w:t>
      </w:r>
      <w:r w:rsidRPr="007B6028">
        <w:t>domar. En medlemsundersökning från Riksförbundet Sällsynta diagnoser presenterad 2008 påvisade stora brister i vården för människor med livslånga, komplexa sällsynta diagnoser som leder till funktionsnedsättningar. Vården visade sig vara godtycklig, osäker och präglad av felbehandlingar. Samverkan mellan olika medicinska specialiteter fungerade dåligt. Patienten själv blev den som överförde kunskap mellan olika experter. Undersökningen vi</w:t>
      </w:r>
      <w:r w:rsidRPr="007B6028">
        <w:t>sade med all önskvärd tydlighet att det behövs nationella medicinska center för de sällsynta diagnoserna. Kunskap om dessa kan inte finnas på alla vårdenheter.</w:t>
      </w:r>
    </w:p>
    <w:p w:rsidR="007B6028" w:rsidRPr="007B6028" w:rsidRDefault="007B6028">
      <w:pPr>
        <w:pStyle w:val="Normaltindrag"/>
      </w:pPr>
      <w:r w:rsidRPr="007B6028">
        <w:t>Genom att bygga upp nationella medicinska center, där varje center kan ansvara för flera diagnosgrupper med liknande funktionsnedsättningar och vårdbehov, kan kompetens samlas från olika professioner, s.k. tvärmedicinska team. Här kan kunskap samlas för vidare spridning och även forskning skulle kunna bedrivas. Det center som finns idag i Sverige för</w:t>
      </w:r>
      <w:r w:rsidRPr="007B6028">
        <w:t xml:space="preserve"> cystisk fibros visar att det här kan vara en framgångsrik lösning.</w:t>
      </w:r>
    </w:p>
    <w:p w:rsidR="007B6028" w:rsidRPr="007B6028" w:rsidRDefault="007B6028">
      <w:pPr>
        <w:pStyle w:val="Normaltindrag"/>
      </w:pPr>
      <w:r w:rsidRPr="007B6028">
        <w:t>Mot bakgrund av de brister i vården som människor med sällsynta diagn</w:t>
      </w:r>
      <w:r w:rsidRPr="007B6028">
        <w:t>o</w:t>
      </w:r>
      <w:r w:rsidRPr="007B6028">
        <w:t>ser möter och att Sverige i EU-samarbetet ställt sig bakom EU:s strategi för sällsynta sjukdomar anser jag att det är hög tid att Sverige vidtar de åtgärder som behövs för att vi ska kunna leva upp till EU:s mål på detta område.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028">
        <w:trPr>
          <w:cantSplit/>
        </w:trPr>
        <w:tc>
          <w:tcPr>
            <w:tcW w:w="3046" w:type="dxa"/>
          </w:tcPr>
          <w:p w:rsidR="007B6028" w:rsidRPr="007B6028" w:rsidRDefault="007B6028">
            <w:pPr>
              <w:pStyle w:val="UnderskriftDatum"/>
              <w:spacing w:before="240"/>
            </w:pPr>
            <w:r w:rsidRPr="007B6028">
              <w:t>Stockholm den 1 oktober 2009</w:t>
            </w:r>
          </w:p>
        </w:tc>
        <w:tc>
          <w:tcPr>
            <w:tcW w:w="3047" w:type="dxa"/>
          </w:tcPr>
          <w:p w:rsidR="007B6028" w:rsidRPr="007B6028" w:rsidRDefault="007B6028">
            <w:pPr>
              <w:pStyle w:val="Underskrifter"/>
              <w:spacing w:before="240"/>
            </w:pPr>
          </w:p>
        </w:tc>
      </w:tr>
      <w:tr w:rsidR="00000000" w:rsidRPr="007B6028">
        <w:trPr>
          <w:cantSplit/>
        </w:trPr>
        <w:tc>
          <w:tcPr>
            <w:tcW w:w="3046" w:type="dxa"/>
          </w:tcPr>
          <w:p w:rsidR="007B6028" w:rsidRPr="007B6028" w:rsidRDefault="007B6028">
            <w:pPr>
              <w:pStyle w:val="Underskrifter"/>
            </w:pPr>
            <w:r w:rsidRPr="007B6028">
              <w:t>Christer Winbäck (fp)</w:t>
            </w:r>
          </w:p>
        </w:tc>
        <w:tc>
          <w:tcPr>
            <w:tcW w:w="3046" w:type="dxa"/>
          </w:tcPr>
          <w:p w:rsidR="007B6028" w:rsidRPr="007B6028" w:rsidRDefault="007B6028">
            <w:pPr>
              <w:pStyle w:val="Underskrifter"/>
            </w:pPr>
          </w:p>
        </w:tc>
      </w:tr>
    </w:tbl>
    <w:p w:rsidR="007B6028" w:rsidRPr="007B6028" w:rsidRDefault="007B6028">
      <w:pPr>
        <w:pStyle w:val="Normaltindrag"/>
      </w:pPr>
    </w:p>
    <w:sectPr w:rsidR="00000000" w:rsidRPr="007B6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028" w:rsidRPr="007B6028" w:rsidRDefault="007B6028">
      <w:r w:rsidRPr="007B6028">
        <w:separator/>
      </w:r>
    </w:p>
  </w:endnote>
  <w:endnote w:type="continuationSeparator" w:id="0">
    <w:p w:rsidR="007B6028" w:rsidRPr="007B6028" w:rsidRDefault="007B6028">
      <w:r w:rsidRPr="007B6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fot"/>
    </w:pPr>
    <w:r w:rsidRPr="007B6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06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028" w:rsidRDefault="007B60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fot"/>
    </w:pPr>
    <w:r w:rsidRPr="007B6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539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fot"/>
    </w:pPr>
    <w:r w:rsidRPr="007B6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115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028" w:rsidRPr="007B6028" w:rsidRDefault="007B6028">
      <w:r w:rsidRPr="007B6028">
        <w:separator/>
      </w:r>
    </w:p>
  </w:footnote>
  <w:footnote w:type="continuationSeparator" w:id="0">
    <w:p w:rsidR="007B6028" w:rsidRPr="007B6028" w:rsidRDefault="007B6028">
      <w:r w:rsidRPr="007B6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huvud"/>
    </w:pPr>
    <w:r w:rsidRPr="007B6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911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028" w:rsidRDefault="007B60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huvud"/>
    </w:pPr>
    <w:r w:rsidRPr="007B6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962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028" w:rsidRDefault="007B60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FSHNormal"/>
      <w:tabs>
        <w:tab w:val="right" w:pos="5840"/>
      </w:tabs>
    </w:pPr>
    <w:r w:rsidRPr="007B6028">
      <w:br/>
    </w:r>
    <w:r w:rsidRPr="007B6028">
      <w:fldChar w:fldCharType="begin" w:fldLock="1"/>
    </w:r>
    <w:r w:rsidRPr="007B6028">
      <w:instrText xml:space="preserve"> DOCPROPERTY</w:instrText>
    </w:r>
    <w:r w:rsidRPr="007B6028">
      <w:rPr>
        <w:sz w:val="18"/>
      </w:rPr>
      <w:instrText xml:space="preserve"> "YearUser" *\charformat </w:instrText>
    </w:r>
    <w:r w:rsidRPr="007B6028">
      <w:fldChar w:fldCharType="separate"/>
    </w:r>
    <w:r w:rsidRPr="007B6028">
      <w:t>2009/10</w:t>
    </w:r>
    <w:r w:rsidRPr="007B6028">
      <w:fldChar w:fldCharType="end"/>
    </w:r>
    <w:r w:rsidRPr="007B6028">
      <w:t xml:space="preserve"> </w:t>
    </w:r>
    <w:r w:rsidRPr="007B6028">
      <w:tab/>
      <w:t xml:space="preserve">mnr: </w:t>
    </w:r>
    <w:r w:rsidRPr="007B6028">
      <w:fldChar w:fldCharType="begin" w:fldLock="1"/>
    </w:r>
    <w:r w:rsidRPr="007B6028">
      <w:instrText xml:space="preserve"> DOCPROPERTY</w:instrText>
    </w:r>
    <w:r w:rsidRPr="007B6028">
      <w:rPr>
        <w:sz w:val="18"/>
      </w:rPr>
      <w:instrText xml:space="preserve"> "Motionsnummer" *\charformat </w:instrText>
    </w:r>
    <w:r w:rsidRPr="007B6028">
      <w:fldChar w:fldCharType="separate"/>
    </w:r>
    <w:r w:rsidRPr="007B6028">
      <w:t>So333</w:t>
    </w:r>
    <w:r w:rsidRPr="007B6028">
      <w:fldChar w:fldCharType="end"/>
    </w:r>
    <w:r w:rsidRPr="007B6028">
      <w:br/>
    </w:r>
    <w:r w:rsidRPr="007B6028">
      <w:fldChar w:fldCharType="begin" w:fldLock="1"/>
    </w:r>
    <w:r w:rsidRPr="007B6028">
      <w:instrText xml:space="preserve"> DOCPROPERTY</w:instrText>
    </w:r>
    <w:r w:rsidRPr="007B6028">
      <w:rPr>
        <w:sz w:val="18"/>
      </w:rPr>
      <w:instrText xml:space="preserve"> "Samling" *\charformat </w:instrText>
    </w:r>
    <w:r w:rsidRPr="007B6028">
      <w:fldChar w:fldCharType="end"/>
    </w:r>
    <w:r w:rsidRPr="007B6028">
      <w:tab/>
      <w:t xml:space="preserve">pnr: </w:t>
    </w:r>
    <w:r w:rsidRPr="007B6028">
      <w:fldChar w:fldCharType="begin" w:fldLock="1"/>
    </w:r>
    <w:r w:rsidRPr="007B6028">
      <w:instrText xml:space="preserve"> DOCPROPERTY</w:instrText>
    </w:r>
    <w:r w:rsidRPr="007B6028">
      <w:rPr>
        <w:sz w:val="18"/>
      </w:rPr>
      <w:instrText xml:space="preserve"> "Partinummer" *\charformat </w:instrText>
    </w:r>
    <w:r w:rsidRPr="007B6028">
      <w:fldChar w:fldCharType="separate"/>
    </w:r>
    <w:r w:rsidRPr="007B6028">
      <w:t>fp1245</w:t>
    </w:r>
    <w:r w:rsidRPr="007B6028">
      <w:fldChar w:fldCharType="end"/>
    </w:r>
  </w:p>
  <w:p w:rsidR="007B6028" w:rsidRPr="007B6028" w:rsidRDefault="007B6028">
    <w:pPr>
      <w:pStyle w:val="FSHRub1"/>
    </w:pPr>
    <w:r w:rsidRPr="007B6028">
      <w:t>Motion till riksdagen</w:t>
    </w:r>
    <w:r w:rsidRPr="007B6028">
      <w:br/>
    </w:r>
    <w:r w:rsidRPr="007B6028">
      <w:fldChar w:fldCharType="begin" w:fldLock="1"/>
    </w:r>
    <w:r w:rsidRPr="007B6028">
      <w:instrText xml:space="preserve"> DOCPROPERTY "YearUser" *\charformat </w:instrText>
    </w:r>
    <w:r w:rsidRPr="007B6028">
      <w:fldChar w:fldCharType="separate"/>
    </w:r>
    <w:r w:rsidRPr="007B6028">
      <w:t>2009/10</w:t>
    </w:r>
    <w:r w:rsidRPr="007B6028">
      <w:fldChar w:fldCharType="end"/>
    </w:r>
    <w:r w:rsidRPr="007B6028">
      <w:t>:</w:t>
    </w:r>
    <w:r w:rsidRPr="007B6028">
      <w:fldChar w:fldCharType="begin" w:fldLock="1"/>
    </w:r>
    <w:r w:rsidRPr="007B6028">
      <w:instrText xml:space="preserve"> DOCPROPERTY "Motionsnummer" *\charformat </w:instrText>
    </w:r>
    <w:r w:rsidRPr="007B6028">
      <w:fldChar w:fldCharType="separate"/>
    </w:r>
    <w:r w:rsidRPr="007B6028">
      <w:t>So333</w:t>
    </w:r>
    <w:r w:rsidRPr="007B6028">
      <w:fldChar w:fldCharType="end"/>
    </w:r>
  </w:p>
  <w:p w:rsidR="007B6028" w:rsidRPr="007B6028" w:rsidRDefault="007B6028">
    <w:pPr>
      <w:pStyle w:val="FSHNormalS5"/>
    </w:pPr>
    <w:r w:rsidRPr="007B6028">
      <w:fldChar w:fldCharType="begin" w:fldLock="1"/>
    </w:r>
    <w:r w:rsidRPr="007B6028">
      <w:instrText xml:space="preserve"> DOCPROPERTY "MotionarText" *\charformat </w:instrText>
    </w:r>
    <w:r w:rsidRPr="007B6028">
      <w:fldChar w:fldCharType="separate"/>
    </w:r>
    <w:r w:rsidRPr="007B6028">
      <w:t>av Christer Winbäck (fp)</w:t>
    </w:r>
    <w:r w:rsidRPr="007B6028">
      <w:fldChar w:fldCharType="end"/>
    </w:r>
    <w:r w:rsidRPr="007B6028">
      <w:br/>
    </w:r>
    <w:r w:rsidRPr="007B6028">
      <w:fldChar w:fldCharType="begin" w:fldLock="1"/>
    </w:r>
    <w:r w:rsidRPr="007B6028">
      <w:instrText xml:space="preserve"> DOCPROPERTY "SvarFrasKort" *\charformat </w:instrText>
    </w:r>
    <w:r w:rsidRPr="007B6028">
      <w:fldChar w:fldCharType="end"/>
    </w:r>
  </w:p>
  <w:p w:rsidR="007B6028" w:rsidRPr="007B6028" w:rsidRDefault="007B6028">
    <w:pPr>
      <w:pStyle w:val="FSHTitel"/>
    </w:pPr>
    <w:r w:rsidRPr="007B6028">
      <w:fldChar w:fldCharType="begin" w:fldLock="1"/>
    </w:r>
    <w:r w:rsidRPr="007B6028">
      <w:instrText xml:space="preserve"> DOCPROPERTY</w:instrText>
    </w:r>
    <w:r w:rsidRPr="007B6028">
      <w:rPr>
        <w:sz w:val="18"/>
      </w:rPr>
      <w:instrText xml:space="preserve"> "RubrikSvar" *\charformat </w:instrText>
    </w:r>
    <w:r w:rsidRPr="007B6028">
      <w:fldChar w:fldCharType="separate"/>
    </w:r>
    <w:r w:rsidRPr="007B6028">
      <w:t>EU:s strategi för sällsynta diagnoser</w:t>
    </w:r>
    <w:r w:rsidRPr="007B6028">
      <w:fldChar w:fldCharType="end"/>
    </w:r>
  </w:p>
  <w:p w:rsidR="007B6028" w:rsidRPr="007B6028" w:rsidRDefault="007B6028">
    <w:pPr>
      <w:pStyle w:val="Normal00"/>
    </w:pPr>
  </w:p>
  <w:p w:rsidR="007B6028" w:rsidRPr="007B6028" w:rsidRDefault="007B60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2315977"/>
    <w:multiLevelType w:val="multilevel"/>
    <w:tmpl w:val="B20E5BD2"/>
    <w:lvl w:ilvl="0">
      <w:start w:val="1"/>
      <w:numFmt w:val="bullet"/>
      <w:lvlText w:val="?"/>
      <w:lvlJc w:val="left"/>
      <w:pPr>
        <w:tabs>
          <w:tab w:val="num" w:pos="720"/>
        </w:tabs>
        <w:ind w:left="720" w:hanging="360"/>
      </w:pPr>
      <w:rPr>
        <w:rFonts w:ascii="Symbol" w:hAnsi="Symbol" w:hint="default"/>
        <w:color w:val="auto"/>
        <w:sz w:val="32"/>
        <w:effect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B7A0E"/>
    <w:multiLevelType w:val="multilevel"/>
    <w:tmpl w:val="92D0BA08"/>
    <w:lvl w:ilvl="0">
      <w:start w:val="31"/>
      <w:numFmt w:val="bullet"/>
      <w:lvlText w:val="?"/>
      <w:lvlJc w:val="left"/>
      <w:pPr>
        <w:tabs>
          <w:tab w:val="num" w:pos="700"/>
        </w:tabs>
        <w:ind w:left="700" w:hanging="340"/>
      </w:pPr>
      <w:rPr>
        <w:rFonts w:ascii="Symbol" w:hAnsi="Symbol" w:hint="default"/>
        <w:color w:val="auto"/>
        <w:sz w:val="32"/>
        <w:effect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E2D34"/>
    <w:multiLevelType w:val="hybridMultilevel"/>
    <w:tmpl w:val="B20E5BD2"/>
    <w:lvl w:ilvl="0" w:tplc="94506A42">
      <w:start w:val="1"/>
      <w:numFmt w:val="bullet"/>
      <w:lvlText w:val="?"/>
      <w:lvlJc w:val="left"/>
      <w:pPr>
        <w:tabs>
          <w:tab w:val="num" w:pos="720"/>
        </w:tabs>
        <w:ind w:left="720" w:hanging="360"/>
      </w:pPr>
      <w:rPr>
        <w:rFonts w:ascii="Symbol" w:hAnsi="Symbol" w:hint="default"/>
        <w:color w:val="auto"/>
        <w:sz w:val="32"/>
        <w:effect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537E0"/>
    <w:multiLevelType w:val="hybridMultilevel"/>
    <w:tmpl w:val="D0CEF9CA"/>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4AEC7B4F"/>
    <w:multiLevelType w:val="hybridMultilevel"/>
    <w:tmpl w:val="92D0BA08"/>
    <w:lvl w:ilvl="0" w:tplc="786058A4">
      <w:start w:val="31"/>
      <w:numFmt w:val="bullet"/>
      <w:lvlText w:val="?"/>
      <w:lvlJc w:val="left"/>
      <w:pPr>
        <w:tabs>
          <w:tab w:val="num" w:pos="700"/>
        </w:tabs>
        <w:ind w:left="700" w:hanging="340"/>
      </w:pPr>
      <w:rPr>
        <w:rFonts w:ascii="Symbol" w:hAnsi="Symbol" w:hint="default"/>
        <w:color w:val="auto"/>
        <w:sz w:val="32"/>
        <w:effect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23505"/>
    <w:multiLevelType w:val="multilevel"/>
    <w:tmpl w:val="73F02D12"/>
    <w:lvl w:ilvl="0">
      <w:start w:val="1"/>
      <w:numFmt w:val="bullet"/>
      <w:lvlText w:val="?"/>
      <w:lvlJc w:val="left"/>
      <w:pPr>
        <w:tabs>
          <w:tab w:val="num" w:pos="720"/>
        </w:tabs>
        <w:ind w:left="720" w:hanging="360"/>
      </w:pPr>
      <w:rPr>
        <w:rFonts w:ascii="Wingdings" w:hAnsi="Wingdings" w:hint="default"/>
        <w:color w:val="99330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850B4D"/>
    <w:multiLevelType w:val="hybridMultilevel"/>
    <w:tmpl w:val="7CE4C098"/>
    <w:lvl w:ilvl="0" w:tplc="A7F84202">
      <w:start w:val="31"/>
      <w:numFmt w:val="bullet"/>
      <w:lvlText w:val="?"/>
      <w:lvlJc w:val="left"/>
      <w:pPr>
        <w:tabs>
          <w:tab w:val="num" w:pos="700"/>
        </w:tabs>
        <w:ind w:left="700" w:hanging="340"/>
      </w:pPr>
      <w:rPr>
        <w:rFonts w:ascii="Symbol" w:hAnsi="Symbol" w:hint="default"/>
        <w:color w:val="auto"/>
        <w:sz w:val="18"/>
        <w:szCs w:val="18"/>
        <w:effect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452A5"/>
    <w:multiLevelType w:val="hybridMultilevel"/>
    <w:tmpl w:val="73F02D12"/>
    <w:lvl w:ilvl="0" w:tplc="9F5299E0">
      <w:start w:val="1"/>
      <w:numFmt w:val="bullet"/>
      <w:lvlText w:val="?"/>
      <w:lvlJc w:val="left"/>
      <w:pPr>
        <w:tabs>
          <w:tab w:val="num" w:pos="720"/>
        </w:tabs>
        <w:ind w:left="720" w:hanging="360"/>
      </w:pPr>
      <w:rPr>
        <w:rFonts w:ascii="Wingdings" w:hAnsi="Wingdings" w:hint="default"/>
        <w:color w:val="993300"/>
        <w:sz w:val="2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57511587">
    <w:abstractNumId w:val="8"/>
  </w:num>
  <w:num w:numId="2" w16cid:durableId="1807703492">
    <w:abstractNumId w:val="9"/>
  </w:num>
  <w:num w:numId="3" w16cid:durableId="1891266786">
    <w:abstractNumId w:val="8"/>
  </w:num>
  <w:num w:numId="4" w16cid:durableId="1745911736">
    <w:abstractNumId w:val="9"/>
  </w:num>
  <w:num w:numId="5" w16cid:durableId="490678552">
    <w:abstractNumId w:val="19"/>
  </w:num>
  <w:num w:numId="6" w16cid:durableId="754783929">
    <w:abstractNumId w:val="10"/>
  </w:num>
  <w:num w:numId="7" w16cid:durableId="1706322578">
    <w:abstractNumId w:val="11"/>
  </w:num>
  <w:num w:numId="8" w16cid:durableId="812647463">
    <w:abstractNumId w:val="16"/>
  </w:num>
  <w:num w:numId="9" w16cid:durableId="1864247119">
    <w:abstractNumId w:val="8"/>
  </w:num>
  <w:num w:numId="10" w16cid:durableId="1061321859">
    <w:abstractNumId w:val="3"/>
  </w:num>
  <w:num w:numId="11" w16cid:durableId="22757142">
    <w:abstractNumId w:val="2"/>
  </w:num>
  <w:num w:numId="12" w16cid:durableId="1575892693">
    <w:abstractNumId w:val="1"/>
  </w:num>
  <w:num w:numId="13" w16cid:durableId="1368217756">
    <w:abstractNumId w:val="0"/>
  </w:num>
  <w:num w:numId="14" w16cid:durableId="444808517">
    <w:abstractNumId w:val="9"/>
  </w:num>
  <w:num w:numId="15" w16cid:durableId="1144272927">
    <w:abstractNumId w:val="7"/>
  </w:num>
  <w:num w:numId="16" w16cid:durableId="1203442898">
    <w:abstractNumId w:val="6"/>
  </w:num>
  <w:num w:numId="17" w16cid:durableId="1895461617">
    <w:abstractNumId w:val="5"/>
  </w:num>
  <w:num w:numId="18" w16cid:durableId="1351369076">
    <w:abstractNumId w:val="4"/>
  </w:num>
  <w:num w:numId="19" w16cid:durableId="1222595884">
    <w:abstractNumId w:val="15"/>
  </w:num>
  <w:num w:numId="20" w16cid:durableId="1194729474">
    <w:abstractNumId w:val="21"/>
  </w:num>
  <w:num w:numId="21" w16cid:durableId="566889508">
    <w:abstractNumId w:val="18"/>
  </w:num>
  <w:num w:numId="22" w16cid:durableId="2017728599">
    <w:abstractNumId w:val="17"/>
  </w:num>
  <w:num w:numId="23" w16cid:durableId="1733191597">
    <w:abstractNumId w:val="13"/>
  </w:num>
  <w:num w:numId="24" w16cid:durableId="637413629">
    <w:abstractNumId w:val="14"/>
  </w:num>
  <w:num w:numId="25" w16cid:durableId="715740630">
    <w:abstractNumId w:val="12"/>
  </w:num>
  <w:num w:numId="26" w16cid:durableId="674301757">
    <w:abstractNumId w:val="20"/>
  </w:num>
  <w:num w:numId="27" w16cid:durableId="1907301954">
    <w:abstractNumId w:val="11"/>
  </w:num>
  <w:num w:numId="28" w16cid:durableId="2146846376">
    <w:abstractNumId w:val="10"/>
  </w:num>
  <w:num w:numId="29" w16cid:durableId="1827431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7F799B"/>
    <w:rsid w:val="007B6028"/>
    <w:rsid w:val="007F7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97A56FE-85C3-4D78-A719-824F2601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2677</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fp1245</vt:lpstr>
    </vt:vector>
  </TitlesOfParts>
  <Company>Riksdagen</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fp1245</dc:title>
  <dc:subject>fp1245</dc:subject>
  <dc:creator>Riksdagen</dc:creator>
  <cp:keywords>Riksdagen</cp:keywords>
  <dc:description>Nya formatmallshantering för förslag+urix bakåtkomp+könamn</dc:description>
  <cp:lastModifiedBy>Lars Brink</cp:lastModifiedBy>
  <cp:revision>2</cp:revision>
  <cp:lastPrinted>2009-11-28T12:16:00Z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EU:s strategi för 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strategi för 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20092010000001020112000012450069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20092010000001020112000012450069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{612C69AB-A7D2-418D-BF17-FC5AC0006EC6}</vt:lpwstr>
  </property>
  <property fmtid="{D5CDD505-2E9C-101B-9397-08002B2CF9AE}" pid="53" name="Överföringar">
    <vt:i4>0</vt:i4>
  </property>
  <property fmtid="{D5CDD505-2E9C-101B-9397-08002B2CF9AE}" pid="54" name="Checksum">
    <vt:lpwstr>*1001172509925*</vt:lpwstr>
  </property>
  <property fmtid="{D5CDD505-2E9C-101B-9397-08002B2CF9AE}" pid="55" name="skuggnummer">
    <vt:lpwstr>855</vt:lpwstr>
  </property>
  <property fmtid="{D5CDD505-2E9C-101B-9397-08002B2CF9AE}" pid="56" name="urixVersion">
    <vt:lpwstr>4.0.0.9</vt:lpwstr>
  </property>
  <property fmtid="{D5CDD505-2E9C-101B-9397-08002B2CF9AE}" pid="57" name="urixOrigin">
    <vt:lpwstr>091128 13:16:10.143</vt:lpwstr>
  </property>
  <property fmtid="{D5CDD505-2E9C-101B-9397-08002B2CF9AE}" pid="58" name="urixGuid">
    <vt:lpwstr>{1975050E-1A4E-49CD-99F1-0B2B4B6340B5}</vt:lpwstr>
  </property>
</Properties>
</file>