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00D" w:rsidRPr="00C97055" w:rsidRDefault="00AF500D">
      <w:pPr>
        <w:pStyle w:val="Frslagsrubrik"/>
      </w:pPr>
      <w:r w:rsidRPr="00C97055">
        <w:t>Förslag till riksdagsbeslut</w:t>
      </w:r>
    </w:p>
    <w:p w:rsidR="00AF500D" w:rsidRPr="00C97055" w:rsidRDefault="00AF500D">
      <w:pPr>
        <w:pStyle w:val="Hemstlatt"/>
      </w:pPr>
      <w:r w:rsidRPr="00C97055">
        <w:t>Riksdagen avslår proposition 2011/12:15 Genomf</w:t>
      </w:r>
      <w:r w:rsidRPr="00C97055">
        <w:t>ö</w:t>
      </w:r>
      <w:r w:rsidRPr="00C97055">
        <w:t>rande av det nya EU-direktivet om bistånd med indri</w:t>
      </w:r>
      <w:r w:rsidRPr="00C97055">
        <w:t>v</w:t>
      </w:r>
      <w:r w:rsidRPr="00C97055">
        <w:t>ning.</w:t>
      </w:r>
    </w:p>
    <w:p w:rsidR="00AF500D" w:rsidRPr="00C97055" w:rsidRDefault="00AF500D">
      <w:pPr>
        <w:pStyle w:val="Rubrik1"/>
      </w:pPr>
      <w:r w:rsidRPr="00C97055">
        <w:t>Motivering</w:t>
      </w:r>
    </w:p>
    <w:p w:rsidR="00AF500D" w:rsidRPr="00C97055" w:rsidRDefault="00AF500D">
      <w:r w:rsidRPr="00C97055">
        <w:t>EU-direktivet om bistånd med indrivning antogs våren 2010 och syftar till ”ömsesidigt bistånd för indrivning av fordringar som avser skatter, avgifter och andra åtgärder”. Sverigedemokraterna är ett nationalistiskt parti som verkar för att minimera det överstatliga inflytandet över Sverige. EU:s ökade inflytande över svensk politik i allmänhet och svensk ekonomisk politisk i synnerhet är mycket oroande. Direktivet om bistånd med indrivning innebär ytterligare makt till EU på viktiga skattepolitiska områden</w:t>
      </w:r>
      <w:r w:rsidRPr="00C97055">
        <w:t>.</w:t>
      </w:r>
    </w:p>
    <w:p w:rsidR="00AF500D" w:rsidRPr="00C97055" w:rsidRDefault="00AF500D">
      <w:pPr>
        <w:pStyle w:val="Normaltindrag"/>
      </w:pPr>
      <w:r w:rsidRPr="00C97055">
        <w:t>Sveriges politik för bistånd med indrivning är i dag huvudsakligen utfo</w:t>
      </w:r>
      <w:r w:rsidRPr="00C97055">
        <w:t>r</w:t>
      </w:r>
      <w:r w:rsidRPr="00C97055">
        <w:t>mad på bilaterad eller multilateral basis. De viktigaste nationella bestämme</w:t>
      </w:r>
      <w:r w:rsidRPr="00C97055">
        <w:t>l</w:t>
      </w:r>
      <w:r w:rsidRPr="00C97055">
        <w:t>serna finns i lagen om ömsesidig handräckning i skatteärenden, LÖHS. Andra viktiga överenskommelser är det nordiska skattehandräckningsavtalet, Eur</w:t>
      </w:r>
      <w:r w:rsidRPr="00C97055">
        <w:t>o</w:t>
      </w:r>
      <w:r w:rsidRPr="00C97055">
        <w:t>paråds- och OECD-konventionen om ömsesidig handräckning i skatteärenden (som alltså är utformad på mellanstatlig nivå) och vissa bilaterala skatteavtal och tullsamarbetsavtal. Det nya direktivet ska visserligen gälla vid sidan av dessa avtal och inte sätta dessa ur spel. Däremot får di</w:t>
      </w:r>
      <w:r w:rsidRPr="00C97055">
        <w:t xml:space="preserve">rektivet långtgående effekter på grund av dess stora omfattning, samtidigt som de andra avtalen har tjänat oss väl och i högsta grad är tillräckliga. En gemensam EU-politik på området behövs därför inte. Propositionens syfte är visserligen att föreslå lämplig lagstiftning som krävs för att genomföra direktivet, som redan är antaget, men det innebär inte att vi inte kan ha synpunkter på direktivet som </w:t>
      </w:r>
      <w:r w:rsidRPr="00C97055">
        <w:lastRenderedPageBreak/>
        <w:t>sådant. Det måste anses vara inom ärendets ram att även yttra sig om direkt</w:t>
      </w:r>
      <w:r w:rsidRPr="00C97055">
        <w:t>i</w:t>
      </w:r>
      <w:r w:rsidRPr="00C97055">
        <w:t>vet. Sverigedemokraterna menar a</w:t>
      </w:r>
      <w:r w:rsidRPr="00C97055">
        <w:t>tt inga lagändringar borde göras och att direktivet inte ska implementeras i svensk lagstiftning. Vidare är det oroväc</w:t>
      </w:r>
      <w:r w:rsidRPr="00C97055">
        <w:t>k</w:t>
      </w:r>
      <w:r w:rsidRPr="00C97055">
        <w:t>ande att svensk lagstiftning i allt högre grad EU-anpassas. Det diskuteras i motionen två huvudalternativ: antingen att göra en ny lag utifrån vad som regleras i EU-direktivet eller att placera de bestämmelser som krävs för g</w:t>
      </w:r>
      <w:r w:rsidRPr="00C97055">
        <w:t>e</w:t>
      </w:r>
      <w:r w:rsidRPr="00C97055">
        <w:t>nomförandet av det nya direktivet i nuvarande LÖHS. Sverigedemokraterna är av uppfattningen att direktivet inte borde genomföras över huvud taget utan rivas upp. Är de</w:t>
      </w:r>
      <w:r w:rsidRPr="00C97055">
        <w:t>t så att det ändå genomförs bör det placeras i LÖHS i stället för i en egen lag.</w:t>
      </w:r>
    </w:p>
    <w:p w:rsidR="00AF500D" w:rsidRPr="00C97055" w:rsidRDefault="00AF500D">
      <w:pPr>
        <w:pStyle w:val="Normaltindrag"/>
      </w:pPr>
      <w:r w:rsidRPr="00C97055">
        <w:t>Direktivet är omfattande och kommer att på ett markant sätt påverka svensk skattepolitik. Det konstateras bl.a. att ”enbart en ändring av det befin</w:t>
      </w:r>
      <w:r w:rsidRPr="00C97055">
        <w:t>t</w:t>
      </w:r>
      <w:r w:rsidRPr="00C97055">
        <w:t>liga direktivet 2008/55/EG är inte tillräckligt”, och att tillämpningsområdet bör utvidgas. Med ”person” i propositionen avses juridiska och fysiska pers</w:t>
      </w:r>
      <w:r w:rsidRPr="00C97055">
        <w:t>o</w:t>
      </w:r>
      <w:r w:rsidRPr="00C97055">
        <w:t>ner, samt de flesta andra juridiska konstruktioner och sammanslutningar av personer som inte är juridiska personer (5 §, prop. 2011/12:15). Indrivning ska inte längre gälla bara tullar och jordbruksavgifter, utan fordringar som avser alla skatter (dvs. även direkt skatt) och avgifter ”som tas ut av en me</w:t>
      </w:r>
      <w:r w:rsidRPr="00C97055">
        <w:t>d</w:t>
      </w:r>
      <w:r w:rsidRPr="00C97055">
        <w:t>lemsstat eller på en medlemsstats vägnar eller av d</w:t>
      </w:r>
      <w:r w:rsidRPr="00C97055">
        <w:t>ess territoriella eller adm</w:t>
      </w:r>
      <w:r w:rsidRPr="00C97055">
        <w:t>i</w:t>
      </w:r>
      <w:r w:rsidRPr="00C97055">
        <w:t>nistrativa enheter, inbegripet de lokala myndigheterna, eller på deras vägnar eller på unionens vägnar”. Det är värt att påpeka att direktivet redan finns, men det reglerar främst fordringar på tullar och jordbruksavgifter. Eftersom dessa fordringar utgör en liten och minskande del av fordringarna på den inre mar</w:t>
      </w:r>
      <w:r w:rsidRPr="00C97055">
        <w:t>k</w:t>
      </w:r>
      <w:r w:rsidRPr="00C97055">
        <w:t>naden vill EU utöka direktivet.</w:t>
      </w:r>
    </w:p>
    <w:p w:rsidR="00AF500D" w:rsidRPr="00C97055" w:rsidRDefault="00AF500D">
      <w:pPr>
        <w:pStyle w:val="Normaltindrag"/>
      </w:pPr>
      <w:r w:rsidRPr="00C97055">
        <w:t>I klartext omfattar alltså direktivet juridiska och fysiska personer och sam</w:t>
      </w:r>
      <w:r w:rsidRPr="00C97055">
        <w:t>t</w:t>
      </w:r>
      <w:r w:rsidRPr="00C97055">
        <w:t>liga avgifter och tullar. Det innebär långtgående EU-reglering av Sveriges politik för skattehandräckning och bistånd med indrivning. Begreppet utvid</w:t>
      </w:r>
      <w:r w:rsidRPr="00C97055">
        <w:t>g</w:t>
      </w:r>
      <w:r w:rsidRPr="00C97055">
        <w:t>ning definieras otydligt: det konstateras bl.a. att möjligheterna att begära indrivning eller ”säkerhetsåtgärder” i en annan medlemsstat bör utvidgas. Säkerhetsåtgärder är ett begrepp som inte närmare definieras, varför dess innebörd blir otydligt.</w:t>
      </w:r>
    </w:p>
    <w:p w:rsidR="00AF500D" w:rsidRPr="00C97055" w:rsidRDefault="00AF500D">
      <w:pPr>
        <w:pStyle w:val="Normaltindrag"/>
      </w:pPr>
      <w:r w:rsidRPr="00C97055">
        <w:t>I direktivet, som finns bifogat som bilaga till propositionen, slås fast att målen för direktivet inte i tillräc</w:t>
      </w:r>
      <w:r w:rsidRPr="00C97055">
        <w:t>klig utsträckning kan uppnås av unionens medlemsländer och att unionen därmed får vidta åtgärder enligt subsidiar</w:t>
      </w:r>
      <w:r w:rsidRPr="00C97055">
        <w:t>i</w:t>
      </w:r>
      <w:r w:rsidRPr="00C97055">
        <w:t>tetsprincipen. Detta gäller dock endast givet direktivets mål, nämligen att föreskriva ett enhetligt system för bistånd för indrivning. Sverigedemokrate</w:t>
      </w:r>
      <w:r w:rsidRPr="00C97055">
        <w:t>r</w:t>
      </w:r>
      <w:r w:rsidRPr="00C97055">
        <w:t>na menar dock att ett enhetligt system för bistånd för indrivning är en dålig idé och att verklig effektivitet och ändamålsenlighet för ett lands skattehan</w:t>
      </w:r>
      <w:r w:rsidRPr="00C97055">
        <w:t>d</w:t>
      </w:r>
      <w:r w:rsidRPr="00C97055">
        <w:t>räckningspolitik bäst uppnås genom landets specifika avtal med andra länder. De europeisk</w:t>
      </w:r>
      <w:r w:rsidRPr="00C97055">
        <w:t>a länderna vill inte ha enhetliga system för skattepolitiska ang</w:t>
      </w:r>
      <w:r w:rsidRPr="00C97055">
        <w:t>e</w:t>
      </w:r>
      <w:r w:rsidRPr="00C97055">
        <w:t>lägenheter.</w:t>
      </w:r>
    </w:p>
    <w:p w:rsidR="00AF500D" w:rsidRPr="00C97055" w:rsidRDefault="00AF500D">
      <w:pPr>
        <w:pStyle w:val="Normaltindrag"/>
      </w:pPr>
      <w:r w:rsidRPr="00C97055">
        <w:t>Förslaget är också tveksamt med hänsyn till proportionalitetsprincipen, där de föreslagna åtgärderna över huvud taget inte står i proportion till ändamålet. Det råder obalans mellan mål och medel. Direktivet slår dock fast att försl</w:t>
      </w:r>
      <w:r w:rsidRPr="00C97055">
        <w:t>a</w:t>
      </w:r>
      <w:r w:rsidRPr="00C97055">
        <w:t>gen enligt proportionalitetsprincipen inte går utöver vad som är nödvändigt för att uppnå målen.</w:t>
      </w:r>
    </w:p>
    <w:p w:rsidR="00AF500D" w:rsidRPr="00C97055" w:rsidRDefault="00AF500D">
      <w:pPr>
        <w:pStyle w:val="Normaltindrag"/>
      </w:pPr>
      <w:r w:rsidRPr="00C97055">
        <w:t>Dessutom är förslaget i sig väldigt svårt att harmonisera över unionens medlemsstater. Medlemsstaternas olika befogenheter för indrivning är mycket olika, varför direktivet blir felriktat. Det står i direktivet att indrivningsmet</w:t>
      </w:r>
      <w:r w:rsidRPr="00C97055">
        <w:t>o</w:t>
      </w:r>
      <w:r w:rsidRPr="00C97055">
        <w:t>derna inte ska påverkas av direktivet, men att det är nödvändigt att ”säkerstä</w:t>
      </w:r>
      <w:r w:rsidRPr="00C97055">
        <w:t>l</w:t>
      </w:r>
      <w:r w:rsidRPr="00C97055">
        <w:t>la att varken skillnaderna mellan nationella lagstiftningar eller bristen på samordning mellan behöriga myndigheter förhindrar ett väl fungerande s</w:t>
      </w:r>
      <w:r w:rsidRPr="00C97055">
        <w:t>y</w:t>
      </w:r>
      <w:r w:rsidRPr="00C97055">
        <w:t>stem för ömsesidigt bistånd enligt detta direktiv.” Det är dock sannolikt så att ett effektivt enhetligt system förutsätter enhetliga befogenheter för indrivning.</w:t>
      </w:r>
    </w:p>
    <w:p w:rsidR="00AF500D" w:rsidRPr="00C97055" w:rsidRDefault="00AF500D">
      <w:pPr>
        <w:pStyle w:val="Normaltindrag"/>
      </w:pPr>
      <w:r w:rsidRPr="00C97055">
        <w:t>Direktivet slår fast att Sverige, när vi ingår bilaterala eller multilaterala överenskommelser i frågor som omfattas av d</w:t>
      </w:r>
      <w:r w:rsidRPr="00C97055">
        <w:t>etta direktiv, är tvunget att u</w:t>
      </w:r>
      <w:r w:rsidRPr="00C97055">
        <w:t>n</w:t>
      </w:r>
      <w:r w:rsidRPr="00C97055">
        <w:t>derrätta kommissionen om detta. Kommissionen underrättar i sin tur de övr</w:t>
      </w:r>
      <w:r w:rsidRPr="00C97055">
        <w:t>i</w:t>
      </w:r>
      <w:r w:rsidRPr="00C97055">
        <w:t>ga medlemsstaterna. Sverige har inte någon skyldighet att bedriva underrätte</w:t>
      </w:r>
      <w:r w:rsidRPr="00C97055">
        <w:t>l</w:t>
      </w:r>
      <w:r w:rsidRPr="00C97055">
        <w:t>severksamhet till kommissionen och därför kan syftet med detta ifrågasättas. Sverige äger rätten att ingå egna skattepolitiska avtal utan att underrätta EU om detta.</w:t>
      </w:r>
    </w:p>
    <w:p w:rsidR="00AF500D" w:rsidRPr="00C97055" w:rsidRDefault="00AF500D">
      <w:pPr>
        <w:pStyle w:val="Normaltindrag"/>
      </w:pPr>
      <w:r w:rsidRPr="00C97055">
        <w:t>Mot bakgrund av detta förordar Sverigedemokraterna att propositionen avslås i sin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7055">
        <w:trPr>
          <w:cantSplit/>
        </w:trPr>
        <w:tc>
          <w:tcPr>
            <w:tcW w:w="3046" w:type="dxa"/>
          </w:tcPr>
          <w:p w:rsidR="00AF500D" w:rsidRPr="00C97055" w:rsidRDefault="00AF500D">
            <w:pPr>
              <w:pStyle w:val="UnderskriftDatum"/>
              <w:spacing w:before="240"/>
            </w:pPr>
            <w:r w:rsidRPr="00C97055">
              <w:t>Stockholm den 4 november 2011</w:t>
            </w:r>
          </w:p>
        </w:tc>
        <w:tc>
          <w:tcPr>
            <w:tcW w:w="3047" w:type="dxa"/>
          </w:tcPr>
          <w:p w:rsidR="00AF500D" w:rsidRPr="00C97055" w:rsidRDefault="00AF500D">
            <w:pPr>
              <w:pStyle w:val="Underskrifter"/>
              <w:spacing w:before="240"/>
            </w:pPr>
          </w:p>
        </w:tc>
      </w:tr>
      <w:tr w:rsidR="00000000" w:rsidRPr="00C97055">
        <w:trPr>
          <w:cantSplit/>
        </w:trPr>
        <w:tc>
          <w:tcPr>
            <w:tcW w:w="3046" w:type="dxa"/>
          </w:tcPr>
          <w:p w:rsidR="00AF500D" w:rsidRPr="00C97055" w:rsidRDefault="00AF500D">
            <w:pPr>
              <w:pStyle w:val="Underskrifter"/>
            </w:pPr>
            <w:r w:rsidRPr="00C97055">
              <w:t>David Lång (SD)</w:t>
            </w:r>
          </w:p>
        </w:tc>
        <w:tc>
          <w:tcPr>
            <w:tcW w:w="3046" w:type="dxa"/>
          </w:tcPr>
          <w:p w:rsidR="00AF500D" w:rsidRPr="00C97055" w:rsidRDefault="00AF500D">
            <w:pPr>
              <w:pStyle w:val="Underskrifter"/>
            </w:pPr>
          </w:p>
        </w:tc>
      </w:tr>
    </w:tbl>
    <w:p w:rsidR="00AF500D" w:rsidRPr="00C97055" w:rsidRDefault="00AF500D">
      <w:pPr>
        <w:pStyle w:val="Normaltindrag"/>
      </w:pPr>
    </w:p>
    <w:sectPr w:rsidR="00AF500D" w:rsidRPr="00C970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500D" w:rsidRPr="00C97055" w:rsidRDefault="00AF500D">
      <w:r w:rsidRPr="00C97055">
        <w:separator/>
      </w:r>
    </w:p>
  </w:endnote>
  <w:endnote w:type="continuationSeparator" w:id="0">
    <w:p w:rsidR="00AF500D" w:rsidRPr="00C97055" w:rsidRDefault="00AF500D">
      <w:r w:rsidRPr="00C970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00D" w:rsidRPr="00C97055" w:rsidRDefault="00C97055">
    <w:pPr>
      <w:pStyle w:val="Sidfot"/>
    </w:pPr>
    <w:r w:rsidRPr="00C970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5727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0D" w:rsidRDefault="00AF50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500D" w:rsidRDefault="00AF50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00D" w:rsidRPr="00C97055" w:rsidRDefault="00C97055">
    <w:pPr>
      <w:pStyle w:val="Sidfot"/>
    </w:pPr>
    <w:r w:rsidRPr="00C970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6230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0D" w:rsidRDefault="00AF50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500D" w:rsidRDefault="00AF50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00D" w:rsidRPr="00C97055" w:rsidRDefault="00C97055">
    <w:pPr>
      <w:pStyle w:val="Sidfot"/>
    </w:pPr>
    <w:r w:rsidRPr="00C970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439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0D" w:rsidRDefault="00AF50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500D" w:rsidRDefault="00AF50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500D" w:rsidRPr="00C97055" w:rsidRDefault="00AF500D">
      <w:r w:rsidRPr="00C97055">
        <w:separator/>
      </w:r>
    </w:p>
  </w:footnote>
  <w:footnote w:type="continuationSeparator" w:id="0">
    <w:p w:rsidR="00AF500D" w:rsidRPr="00C97055" w:rsidRDefault="00AF500D">
      <w:r w:rsidRPr="00C970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00D" w:rsidRPr="00C97055" w:rsidRDefault="00C97055">
    <w:pPr>
      <w:pStyle w:val="Sidhuvud"/>
    </w:pPr>
    <w:r w:rsidRPr="00C970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9797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0D" w:rsidRDefault="00AF50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500D" w:rsidRDefault="00AF50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00D" w:rsidRPr="00C97055" w:rsidRDefault="00C97055">
    <w:pPr>
      <w:pStyle w:val="Sidhuvud"/>
    </w:pPr>
    <w:r w:rsidRPr="00C970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194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500D" w:rsidRDefault="00AF50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500D" w:rsidRDefault="00AF50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00D" w:rsidRPr="00C97055" w:rsidRDefault="00AF500D">
    <w:pPr>
      <w:pStyle w:val="FSHNormal"/>
      <w:tabs>
        <w:tab w:val="right" w:pos="5840"/>
      </w:tabs>
    </w:pPr>
    <w:r w:rsidRPr="00C97055">
      <w:br/>
    </w:r>
    <w:r w:rsidRPr="00C97055">
      <w:fldChar w:fldCharType="begin" w:fldLock="1"/>
    </w:r>
    <w:r w:rsidRPr="00C97055">
      <w:instrText xml:space="preserve"> DOCPROPERTY</w:instrText>
    </w:r>
    <w:r w:rsidRPr="00C97055">
      <w:rPr>
        <w:sz w:val="18"/>
      </w:rPr>
      <w:instrText xml:space="preserve"> "YearUser" *\charformat </w:instrText>
    </w:r>
    <w:r w:rsidRPr="00C97055">
      <w:fldChar w:fldCharType="separate"/>
    </w:r>
    <w:r w:rsidRPr="00C97055">
      <w:t>2011/12</w:t>
    </w:r>
    <w:r w:rsidRPr="00C97055">
      <w:fldChar w:fldCharType="end"/>
    </w:r>
    <w:r w:rsidRPr="00C97055">
      <w:t xml:space="preserve"> </w:t>
    </w:r>
    <w:r w:rsidRPr="00C97055">
      <w:tab/>
      <w:t xml:space="preserve">mnr: </w:t>
    </w:r>
    <w:r w:rsidRPr="00C97055">
      <w:fldChar w:fldCharType="begin" w:fldLock="1"/>
    </w:r>
    <w:r w:rsidRPr="00C97055">
      <w:instrText xml:space="preserve"> DOCPROPERTY</w:instrText>
    </w:r>
    <w:r w:rsidRPr="00C97055">
      <w:rPr>
        <w:sz w:val="18"/>
      </w:rPr>
      <w:instrText xml:space="preserve"> "Motionsnummer" *\charformat </w:instrText>
    </w:r>
    <w:r w:rsidRPr="00C97055">
      <w:fldChar w:fldCharType="separate"/>
    </w:r>
    <w:r w:rsidRPr="00C97055">
      <w:t>Sk3</w:t>
    </w:r>
    <w:r w:rsidRPr="00C97055">
      <w:fldChar w:fldCharType="end"/>
    </w:r>
    <w:r w:rsidRPr="00C97055">
      <w:br/>
    </w:r>
    <w:r w:rsidRPr="00C97055">
      <w:fldChar w:fldCharType="begin" w:fldLock="1"/>
    </w:r>
    <w:r w:rsidRPr="00C97055">
      <w:instrText xml:space="preserve"> DOCPROPERTY</w:instrText>
    </w:r>
    <w:r w:rsidRPr="00C97055">
      <w:rPr>
        <w:sz w:val="18"/>
      </w:rPr>
      <w:instrText xml:space="preserve"> "Samling" *\charformat </w:instrText>
    </w:r>
    <w:r w:rsidRPr="00C97055">
      <w:fldChar w:fldCharType="end"/>
    </w:r>
    <w:r w:rsidRPr="00C97055">
      <w:tab/>
      <w:t xml:space="preserve">pnr: </w:t>
    </w:r>
    <w:r w:rsidRPr="00C97055">
      <w:fldChar w:fldCharType="begin" w:fldLock="1"/>
    </w:r>
    <w:r w:rsidRPr="00C97055">
      <w:instrText xml:space="preserve"> DOCPROPERTY</w:instrText>
    </w:r>
    <w:r w:rsidRPr="00C97055">
      <w:rPr>
        <w:sz w:val="18"/>
      </w:rPr>
      <w:instrText xml:space="preserve"> "Partinummer" *\charformat </w:instrText>
    </w:r>
    <w:r w:rsidRPr="00C97055">
      <w:fldChar w:fldCharType="separate"/>
    </w:r>
    <w:r w:rsidRPr="00C97055">
      <w:t>SD227</w:t>
    </w:r>
    <w:r w:rsidRPr="00C97055">
      <w:fldChar w:fldCharType="end"/>
    </w:r>
  </w:p>
  <w:p w:rsidR="00AF500D" w:rsidRPr="00C97055" w:rsidRDefault="00AF500D">
    <w:pPr>
      <w:pStyle w:val="FSHRub1"/>
    </w:pPr>
    <w:r w:rsidRPr="00C97055">
      <w:t>Motion till riksdagen</w:t>
    </w:r>
    <w:r w:rsidRPr="00C97055">
      <w:br/>
    </w:r>
    <w:r w:rsidRPr="00C97055">
      <w:fldChar w:fldCharType="begin" w:fldLock="1"/>
    </w:r>
    <w:r w:rsidRPr="00C97055">
      <w:instrText xml:space="preserve"> DOCPROPERTY "YearUser" *\charformat </w:instrText>
    </w:r>
    <w:r w:rsidRPr="00C97055">
      <w:fldChar w:fldCharType="separate"/>
    </w:r>
    <w:r w:rsidRPr="00C97055">
      <w:t>2011/12</w:t>
    </w:r>
    <w:r w:rsidRPr="00C97055">
      <w:fldChar w:fldCharType="end"/>
    </w:r>
    <w:r w:rsidRPr="00C97055">
      <w:t>:</w:t>
    </w:r>
    <w:r w:rsidRPr="00C97055">
      <w:fldChar w:fldCharType="begin" w:fldLock="1"/>
    </w:r>
    <w:r w:rsidRPr="00C97055">
      <w:instrText xml:space="preserve"> DOCPROPERTY "Motionsnummer" *\charformat </w:instrText>
    </w:r>
    <w:r w:rsidRPr="00C97055">
      <w:fldChar w:fldCharType="separate"/>
    </w:r>
    <w:r w:rsidRPr="00C97055">
      <w:t>Sk3</w:t>
    </w:r>
    <w:r w:rsidRPr="00C97055">
      <w:fldChar w:fldCharType="end"/>
    </w:r>
  </w:p>
  <w:p w:rsidR="00AF500D" w:rsidRPr="00C97055" w:rsidRDefault="00AF500D">
    <w:pPr>
      <w:pStyle w:val="FSHNormalS5"/>
    </w:pPr>
    <w:r w:rsidRPr="00C97055">
      <w:fldChar w:fldCharType="begin" w:fldLock="1"/>
    </w:r>
    <w:r w:rsidRPr="00C97055">
      <w:instrText xml:space="preserve"> DOCPROPERTY "MotionarText" *\charformat </w:instrText>
    </w:r>
    <w:r w:rsidRPr="00C97055">
      <w:fldChar w:fldCharType="separate"/>
    </w:r>
    <w:r w:rsidRPr="00C97055">
      <w:t>av David Lång (SD)</w:t>
    </w:r>
    <w:r w:rsidRPr="00C97055">
      <w:fldChar w:fldCharType="end"/>
    </w:r>
    <w:r w:rsidRPr="00C97055">
      <w:br/>
    </w:r>
    <w:r w:rsidRPr="00C97055">
      <w:fldChar w:fldCharType="begin" w:fldLock="1"/>
    </w:r>
    <w:r w:rsidRPr="00C97055">
      <w:instrText xml:space="preserve"> DOCPROPERTY "SvarFrasKort" *\charformat </w:instrText>
    </w:r>
    <w:r w:rsidRPr="00C97055">
      <w:fldChar w:fldCharType="separate"/>
    </w:r>
    <w:r w:rsidRPr="00C97055">
      <w:t>med anledning av prop. 2011/12:15</w:t>
    </w:r>
    <w:r w:rsidRPr="00C97055">
      <w:fldChar w:fldCharType="end"/>
    </w:r>
  </w:p>
  <w:p w:rsidR="00AF500D" w:rsidRPr="00C97055" w:rsidRDefault="00AF500D">
    <w:pPr>
      <w:pStyle w:val="FSHTitel"/>
    </w:pPr>
    <w:r w:rsidRPr="00C97055">
      <w:fldChar w:fldCharType="begin" w:fldLock="1"/>
    </w:r>
    <w:r w:rsidRPr="00C97055">
      <w:instrText xml:space="preserve"> DOCPROPERTY</w:instrText>
    </w:r>
    <w:r w:rsidRPr="00C97055">
      <w:rPr>
        <w:sz w:val="18"/>
      </w:rPr>
      <w:instrText xml:space="preserve"> "RubrikSvar" *\charformat </w:instrText>
    </w:r>
    <w:r w:rsidRPr="00C97055">
      <w:fldChar w:fldCharType="separate"/>
    </w:r>
    <w:r w:rsidRPr="00C97055">
      <w:t>Genomförande av det nya EU-direktivet om bistånd med indrivning</w:t>
    </w:r>
    <w:r w:rsidRPr="00C97055">
      <w:fldChar w:fldCharType="end"/>
    </w:r>
  </w:p>
  <w:p w:rsidR="00AF500D" w:rsidRPr="00C97055" w:rsidRDefault="00AF500D">
    <w:pPr>
      <w:pStyle w:val="Normal00"/>
    </w:pPr>
  </w:p>
  <w:p w:rsidR="00AF500D" w:rsidRPr="00C97055" w:rsidRDefault="00AF50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82482525">
    <w:abstractNumId w:val="3"/>
  </w:num>
  <w:num w:numId="2" w16cid:durableId="28840929">
    <w:abstractNumId w:val="2"/>
  </w:num>
  <w:num w:numId="3" w16cid:durableId="1284648766">
    <w:abstractNumId w:val="1"/>
  </w:num>
  <w:num w:numId="4" w16cid:durableId="406726086">
    <w:abstractNumId w:val="0"/>
  </w:num>
  <w:num w:numId="5" w16cid:durableId="1727413130">
    <w:abstractNumId w:val="7"/>
  </w:num>
  <w:num w:numId="6" w16cid:durableId="1619681847">
    <w:abstractNumId w:val="6"/>
  </w:num>
  <w:num w:numId="7" w16cid:durableId="370809700">
    <w:abstractNumId w:val="5"/>
  </w:num>
  <w:num w:numId="8" w16cid:durableId="343628597">
    <w:abstractNumId w:val="4"/>
  </w:num>
  <w:num w:numId="9" w16cid:durableId="1381513380">
    <w:abstractNumId w:val="8"/>
  </w:num>
  <w:num w:numId="10" w16cid:durableId="826285996">
    <w:abstractNumId w:val="9"/>
  </w:num>
  <w:num w:numId="11" w16cid:durableId="1222057451">
    <w:abstractNumId w:val="10"/>
  </w:num>
  <w:num w:numId="12" w16cid:durableId="1870602115">
    <w:abstractNumId w:val="13"/>
  </w:num>
  <w:num w:numId="13" w16cid:durableId="308478790">
    <w:abstractNumId w:val="15"/>
  </w:num>
  <w:num w:numId="14" w16cid:durableId="1079596742">
    <w:abstractNumId w:val="16"/>
  </w:num>
  <w:num w:numId="15" w16cid:durableId="780345829">
    <w:abstractNumId w:val="11"/>
  </w:num>
  <w:num w:numId="16" w16cid:durableId="312954276">
    <w:abstractNumId w:val="18"/>
  </w:num>
  <w:num w:numId="17" w16cid:durableId="1266764281">
    <w:abstractNumId w:val="17"/>
  </w:num>
  <w:num w:numId="18" w16cid:durableId="209535284">
    <w:abstractNumId w:val="14"/>
  </w:num>
  <w:num w:numId="19" w16cid:durableId="866680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1-01"/>
    <w:docVar w:name="PersonGUIDs" w:val="{91552D3C-C99E-461F-B71B-0E113B8C02CC}"/>
  </w:docVars>
  <w:rsids>
    <w:rsidRoot w:val="00782DBB"/>
    <w:rsid w:val="00782DBB"/>
    <w:rsid w:val="00AF500D"/>
    <w:rsid w:val="00C970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54BB22-D91B-4CB6-96BC-8EF7DD1E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5263</Characters>
  <Application>Microsoft Office Word</Application>
  <DocSecurity>4</DocSecurity>
  <Lines>92</Lines>
  <Paragraphs>16</Paragraphs>
  <ScaleCrop>false</ScaleCrop>
  <HeadingPairs>
    <vt:vector size="2" baseType="variant">
      <vt:variant>
        <vt:lpstr>Rubrik</vt:lpstr>
      </vt:variant>
      <vt:variant>
        <vt:i4>1</vt:i4>
      </vt:variant>
    </vt:vector>
  </HeadingPairs>
  <TitlesOfParts>
    <vt:vector size="1" baseType="lpstr">
      <vt:lpstr>SD227</vt:lpstr>
    </vt:vector>
  </TitlesOfParts>
  <Company>Riksdagen</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SD227</dc:title>
  <dc:subject>SD227</dc:subject>
  <dc:creator>Riksdagen</dc:creator>
  <cp:keywords>Riksdagen</cp:keywords>
  <dc:description/>
  <cp:lastModifiedBy>Lars Brink</cp:lastModifiedBy>
  <cp:revision>2</cp:revision>
  <cp:lastPrinted>2011-11-08T15:14:00Z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mot2000_533_2011-11-01</vt:lpwstr>
  </property>
  <property fmtid="{D5CDD505-2E9C-101B-9397-08002B2CF9AE}" pid="3" name="version">
    <vt:lpwstr>mot2000_533_2011-11-01</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2011/12:15 Genomförande av det nya EU-direktivet om bistånd med indrivning</vt:lpwstr>
  </property>
  <property fmtid="{D5CDD505-2E9C-101B-9397-08002B2CF9AE}" pid="11" name="SvarFrasKort">
    <vt:lpwstr>med anledning av prop. 2011/12:15</vt:lpwstr>
  </property>
  <property fmtid="{D5CDD505-2E9C-101B-9397-08002B2CF9AE}" pid="12" name="Svar">
    <vt:lpwstr>Proposition</vt:lpwstr>
  </property>
  <property fmtid="{D5CDD505-2E9C-101B-9397-08002B2CF9AE}" pid="13" name="SvarNr">
    <vt:lpwstr>2011/12:15</vt:lpwstr>
  </property>
  <property fmtid="{D5CDD505-2E9C-101B-9397-08002B2CF9AE}" pid="14" name="RubrikSvar">
    <vt:lpwstr>Genomförande av det nya EU-direktivet om bistånd med indrivning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SD227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David Lång (SD)</vt:lpwstr>
  </property>
  <property fmtid="{D5CDD505-2E9C-101B-9397-08002B2CF9AE}" pid="26" name="MotionarLista">
    <vt:lpwstr>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november 2011</vt:lpwstr>
  </property>
  <property fmtid="{D5CDD505-2E9C-101B-9397-08002B2CF9AE}" pid="44" name="NotesUID">
    <vt:lpwstr>gustav.kasselstrand@riksdagen.se</vt:lpwstr>
  </property>
  <property fmtid="{D5CDD505-2E9C-101B-9397-08002B2CF9AE}" pid="45" name="ReservUID">
    <vt:lpwstr>gv0627aa</vt:lpwstr>
  </property>
  <property fmtid="{D5CDD505-2E9C-101B-9397-08002B2CF9AE}" pid="46" name="MotionID">
    <vt:lpwstr>20112012000000830068000002270069</vt:lpwstr>
  </property>
  <property fmtid="{D5CDD505-2E9C-101B-9397-08002B2CF9AE}" pid="47" name="datum">
    <vt:lpwstr>111104</vt:lpwstr>
  </property>
  <property fmtid="{D5CDD505-2E9C-101B-9397-08002B2CF9AE}" pid="48" name="avsändar-e-post">
    <vt:lpwstr>gustav.kasselstrand@riksdagen.se</vt:lpwstr>
  </property>
  <property fmtid="{D5CDD505-2E9C-101B-9397-08002B2CF9AE}" pid="49" name="id">
    <vt:lpwstr>20112012000000830068000002270069</vt:lpwstr>
  </property>
  <property fmtid="{D5CDD505-2E9C-101B-9397-08002B2CF9AE}" pid="50" name="nummer">
    <vt:lpwstr>3</vt:lpwstr>
  </property>
  <property fmtid="{D5CDD505-2E9C-101B-9397-08002B2CF9AE}" pid="51" name="utskottsbeteckning">
    <vt:lpwstr>Sk</vt:lpwstr>
  </property>
  <property fmtid="{D5CDD505-2E9C-101B-9397-08002B2CF9AE}" pid="52" name="GlobalUID">
    <vt:lpwstr>{8A0CAED4-8488-4BD4-917D-3EDB33179EF6}</vt:lpwstr>
  </property>
  <property fmtid="{D5CDD505-2E9C-101B-9397-08002B2CF9AE}" pid="53" name="Överföringar">
    <vt:i4>0</vt:i4>
  </property>
  <property fmtid="{D5CDD505-2E9C-101B-9397-08002B2CF9AE}" pid="54" name="Checksum">
    <vt:lpwstr>*1013497896819*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111109 07:43:38.914</vt:lpwstr>
  </property>
  <property fmtid="{D5CDD505-2E9C-101B-9397-08002B2CF9AE}" pid="58" name="urixGuid">
    <vt:lpwstr>{68A3B652-5A7B-4D17-BD52-5225F24FA0CB}</vt:lpwstr>
  </property>
</Properties>
</file>