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22D7" w:rsidRPr="0097533D" w:rsidRDefault="007422D7">
      <w:pPr>
        <w:pStyle w:val="Hemstlrubrik"/>
        <w:shd w:val="clear" w:color="000000" w:fill="auto"/>
      </w:pPr>
      <w:r w:rsidRPr="0097533D">
        <w:t>Förslag till riksdagsbeslut</w:t>
      </w:r>
    </w:p>
    <w:p w:rsidR="007422D7" w:rsidRPr="0097533D" w:rsidRDefault="007422D7">
      <w:pPr>
        <w:pStyle w:val="Hemstlatt"/>
        <w:numPr>
          <w:ilvl w:val="0"/>
          <w:numId w:val="1"/>
        </w:numPr>
        <w:shd w:val="clear" w:color="000000" w:fill="auto"/>
      </w:pPr>
      <w:r w:rsidRPr="0097533D">
        <w:t>Riksdagen tillkännager för regeringen som sin mening vad som anförs i motionen om nytt mål för politikområdet B</w:t>
      </w:r>
      <w:r w:rsidRPr="0097533D">
        <w:t>o</w:t>
      </w:r>
      <w:r w:rsidRPr="0097533D">
        <w:t>stadspolitik.</w:t>
      </w:r>
    </w:p>
    <w:p w:rsidR="007422D7" w:rsidRPr="0097533D" w:rsidRDefault="007422D7">
      <w:pPr>
        <w:pStyle w:val="Hemstlatt"/>
        <w:numPr>
          <w:ilvl w:val="0"/>
          <w:numId w:val="1"/>
        </w:numPr>
        <w:shd w:val="clear" w:color="000000" w:fill="auto"/>
      </w:pPr>
      <w:r w:rsidRPr="0097533D">
        <w:t>Riksdagen tillkännager för regeringen som sin mening vad som anförs i motionen om nödvändigheten av att genomföra det</w:t>
      </w:r>
      <w:r w:rsidRPr="0097533D">
        <w:rPr>
          <w:color w:val="000000"/>
        </w:rPr>
        <w:t xml:space="preserve"> milj</w:t>
      </w:r>
      <w:r w:rsidRPr="0097533D">
        <w:rPr>
          <w:color w:val="000000"/>
        </w:rPr>
        <w:t>ö</w:t>
      </w:r>
      <w:r w:rsidRPr="0097533D">
        <w:rPr>
          <w:color w:val="000000"/>
        </w:rPr>
        <w:t>målsanknutna kunskapsutvecklings</w:t>
      </w:r>
      <w:r w:rsidRPr="0097533D">
        <w:rPr>
          <w:color w:val="000000"/>
        </w:rPr>
        <w:softHyphen/>
        <w:t>programmet för fysisk plan</w:t>
      </w:r>
      <w:r w:rsidRPr="0097533D">
        <w:rPr>
          <w:color w:val="000000"/>
        </w:rPr>
        <w:t>e</w:t>
      </w:r>
      <w:r w:rsidRPr="0097533D">
        <w:rPr>
          <w:color w:val="000000"/>
        </w:rPr>
        <w:t>ring.</w:t>
      </w:r>
    </w:p>
    <w:p w:rsidR="007422D7" w:rsidRPr="0097533D" w:rsidRDefault="007422D7">
      <w:pPr>
        <w:pStyle w:val="Hemstlatt"/>
        <w:numPr>
          <w:ilvl w:val="0"/>
          <w:numId w:val="1"/>
        </w:numPr>
        <w:shd w:val="clear" w:color="000000" w:fill="auto"/>
      </w:pPr>
      <w:r w:rsidRPr="0097533D">
        <w:t>Riksdagen tillkännager för regeringen som sin mening vad som anförs i motionen om behovet av en förstärkning av Boverkets r</w:t>
      </w:r>
      <w:r w:rsidRPr="0097533D">
        <w:t>e</w:t>
      </w:r>
      <w:r w:rsidRPr="0097533D">
        <w:t>surser för arbete med bullerfrågor.</w:t>
      </w:r>
    </w:p>
    <w:p w:rsidR="007422D7" w:rsidRPr="0097533D" w:rsidRDefault="007422D7">
      <w:pPr>
        <w:pStyle w:val="Hemstlatt"/>
        <w:numPr>
          <w:ilvl w:val="0"/>
          <w:numId w:val="1"/>
        </w:numPr>
        <w:shd w:val="clear" w:color="000000" w:fill="auto"/>
      </w:pPr>
      <w:r w:rsidRPr="0097533D">
        <w:t>Riksdagen tillkännager för regeringen som sin mening vad som anförs i motionen om förslaget att utveckla stödet till åtgärder mot radon i bostäder.</w:t>
      </w:r>
    </w:p>
    <w:p w:rsidR="007422D7" w:rsidRPr="0097533D" w:rsidRDefault="007422D7">
      <w:pPr>
        <w:pStyle w:val="Hemstlatt"/>
        <w:numPr>
          <w:ilvl w:val="0"/>
          <w:numId w:val="1"/>
        </w:numPr>
        <w:shd w:val="clear" w:color="000000" w:fill="auto"/>
      </w:pPr>
      <w:r w:rsidRPr="0097533D">
        <w:t>Riksdagen tillkännager för regeringen som sin mening vad som anförs i motionen om behovet av att fortsätta verksamheten med fonden för fukt- och mögelskador även efter den 31 december 2008.</w:t>
      </w:r>
    </w:p>
    <w:p w:rsidR="007422D7" w:rsidRPr="0097533D" w:rsidRDefault="007422D7">
      <w:pPr>
        <w:pStyle w:val="Hemstlatt"/>
        <w:numPr>
          <w:ilvl w:val="0"/>
          <w:numId w:val="1"/>
        </w:numPr>
        <w:shd w:val="clear" w:color="000000" w:fill="auto"/>
      </w:pPr>
      <w:r w:rsidRPr="0097533D">
        <w:t>Riksdagen tillkännager för regeringen som sin mening vad som anförs i motionen om nya mål för politikområdet Konsumentpol</w:t>
      </w:r>
      <w:r w:rsidRPr="0097533D">
        <w:t>i</w:t>
      </w:r>
      <w:r w:rsidRPr="0097533D">
        <w:t>tik.</w:t>
      </w:r>
    </w:p>
    <w:p w:rsidR="007422D7" w:rsidRPr="0097533D" w:rsidRDefault="007422D7">
      <w:pPr>
        <w:pStyle w:val="Hemstlatt"/>
        <w:numPr>
          <w:ilvl w:val="0"/>
          <w:numId w:val="1"/>
        </w:numPr>
        <w:shd w:val="clear" w:color="000000" w:fill="auto"/>
      </w:pPr>
      <w:r w:rsidRPr="0097533D">
        <w:t>Riksdagen tillkännager för regeringen som sin mening vad som anförs i motionen om behoven av förstärkning av resurser på ko</w:t>
      </w:r>
      <w:r w:rsidRPr="0097533D">
        <w:t>n</w:t>
      </w:r>
      <w:r w:rsidRPr="0097533D">
        <w:t>sumentpolitikens område.</w:t>
      </w:r>
    </w:p>
    <w:p w:rsidR="007422D7" w:rsidRPr="0097533D" w:rsidRDefault="007422D7">
      <w:pPr>
        <w:pStyle w:val="Hemstlatt"/>
        <w:numPr>
          <w:ilvl w:val="0"/>
          <w:numId w:val="1"/>
        </w:numPr>
        <w:shd w:val="clear" w:color="000000" w:fill="auto"/>
      </w:pPr>
      <w:r w:rsidRPr="0097533D">
        <w:t>Riksdagen anvisar med följande ändringar i förhållande till regeringens förslag anslagen under utgiftsområde 18 Samhällsplanering, bostadsförsörjning och byggande samt konsumentpolitik enligt uppstäl</w:t>
      </w:r>
      <w:r w:rsidRPr="0097533D">
        <w:t>l</w:t>
      </w:r>
      <w:r w:rsidRPr="0097533D">
        <w:t>ning:</w:t>
      </w:r>
    </w:p>
    <w:p w:rsidR="007422D7" w:rsidRPr="0097533D" w:rsidRDefault="007422D7">
      <w:pPr>
        <w:shd w:val="clear" w:color="000000" w:fill="auto"/>
      </w:pP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70"/>
        <w:gridCol w:w="3521"/>
        <w:gridCol w:w="621"/>
        <w:gridCol w:w="621"/>
        <w:gridCol w:w="621"/>
      </w:tblGrid>
      <w:tr w:rsidR="00000000" w:rsidRPr="0097533D">
        <w:trPr>
          <w:trHeight w:val="255"/>
        </w:trPr>
        <w:tc>
          <w:tcPr>
            <w:tcW w:w="570" w:type="dxa"/>
            <w:noWrap/>
            <w:vAlign w:val="bottom"/>
          </w:tcPr>
          <w:p w:rsidR="007422D7" w:rsidRPr="0097533D" w:rsidRDefault="007422D7">
            <w:pPr>
              <w:keepNext/>
              <w:keepLines/>
              <w:shd w:val="clear" w:color="000000" w:fill="auto"/>
              <w:spacing w:before="60" w:line="200" w:lineRule="exact"/>
              <w:rPr>
                <w:sz w:val="16"/>
              </w:rPr>
            </w:pPr>
          </w:p>
        </w:tc>
        <w:tc>
          <w:tcPr>
            <w:tcW w:w="3521" w:type="dxa"/>
            <w:noWrap/>
            <w:vAlign w:val="bottom"/>
          </w:tcPr>
          <w:p w:rsidR="007422D7" w:rsidRPr="0097533D" w:rsidRDefault="007422D7">
            <w:pPr>
              <w:keepNext/>
              <w:keepLines/>
              <w:shd w:val="clear" w:color="000000" w:fill="auto"/>
              <w:spacing w:before="60" w:line="200" w:lineRule="exact"/>
              <w:jc w:val="right"/>
              <w:rPr>
                <w:rFonts w:cs="Arial"/>
                <w:b/>
                <w:bCs/>
                <w:sz w:val="16"/>
                <w:szCs w:val="16"/>
              </w:rPr>
            </w:pPr>
          </w:p>
        </w:tc>
        <w:tc>
          <w:tcPr>
            <w:tcW w:w="1863" w:type="dxa"/>
            <w:gridSpan w:val="3"/>
            <w:noWrap/>
            <w:vAlign w:val="bottom"/>
          </w:tcPr>
          <w:p w:rsidR="007422D7" w:rsidRPr="0097533D" w:rsidRDefault="007422D7">
            <w:pPr>
              <w:keepNext/>
              <w:keepLines/>
              <w:shd w:val="clear" w:color="000000" w:fill="auto"/>
              <w:spacing w:before="60" w:line="200" w:lineRule="exact"/>
              <w:jc w:val="center"/>
              <w:rPr>
                <w:rFonts w:cs="Arial"/>
                <w:b/>
                <w:bCs/>
                <w:sz w:val="16"/>
                <w:szCs w:val="16"/>
              </w:rPr>
            </w:pPr>
            <w:r w:rsidRPr="0097533D">
              <w:rPr>
                <w:rFonts w:cs="Arial"/>
                <w:b/>
                <w:bCs/>
                <w:sz w:val="16"/>
                <w:szCs w:val="16"/>
              </w:rPr>
              <w:t>Anslagsförändring</w:t>
            </w:r>
            <w:r w:rsidRPr="0097533D">
              <w:rPr>
                <w:rFonts w:cs="Arial"/>
                <w:b/>
                <w:bCs/>
                <w:sz w:val="16"/>
                <w:szCs w:val="16"/>
              </w:rPr>
              <w:br/>
              <w:t>(miljoner kronor)</w:t>
            </w:r>
          </w:p>
        </w:tc>
      </w:tr>
      <w:tr w:rsidR="00000000" w:rsidRPr="0097533D">
        <w:trPr>
          <w:trHeight w:val="255"/>
        </w:trPr>
        <w:tc>
          <w:tcPr>
            <w:tcW w:w="570" w:type="dxa"/>
            <w:tcBorders>
              <w:bottom w:val="nil"/>
            </w:tcBorders>
            <w:noWrap/>
            <w:vAlign w:val="bottom"/>
          </w:tcPr>
          <w:p w:rsidR="007422D7" w:rsidRPr="0097533D" w:rsidRDefault="007422D7">
            <w:pPr>
              <w:keepNext/>
              <w:keepLines/>
              <w:shd w:val="clear" w:color="000000" w:fill="auto"/>
              <w:spacing w:before="60" w:line="200" w:lineRule="exact"/>
              <w:rPr>
                <w:sz w:val="16"/>
              </w:rPr>
            </w:pPr>
          </w:p>
        </w:tc>
        <w:tc>
          <w:tcPr>
            <w:tcW w:w="3521" w:type="dxa"/>
            <w:tcBorders>
              <w:bottom w:val="nil"/>
            </w:tcBorders>
            <w:noWrap/>
            <w:vAlign w:val="bottom"/>
          </w:tcPr>
          <w:p w:rsidR="007422D7" w:rsidRPr="0097533D" w:rsidRDefault="007422D7">
            <w:pPr>
              <w:keepNext/>
              <w:keepLines/>
              <w:shd w:val="clear" w:color="000000" w:fill="auto"/>
              <w:spacing w:before="60" w:line="200" w:lineRule="exact"/>
              <w:jc w:val="right"/>
              <w:rPr>
                <w:rFonts w:cs="Arial"/>
                <w:b/>
                <w:bCs/>
                <w:sz w:val="16"/>
                <w:szCs w:val="16"/>
              </w:rPr>
            </w:pPr>
          </w:p>
        </w:tc>
        <w:tc>
          <w:tcPr>
            <w:tcW w:w="621" w:type="dxa"/>
            <w:tcBorders>
              <w:bottom w:val="nil"/>
            </w:tcBorders>
            <w:noWrap/>
            <w:vAlign w:val="bottom"/>
          </w:tcPr>
          <w:p w:rsidR="007422D7" w:rsidRPr="0097533D" w:rsidRDefault="007422D7">
            <w:pPr>
              <w:keepNext/>
              <w:keepLines/>
              <w:shd w:val="clear" w:color="000000" w:fill="auto"/>
              <w:spacing w:before="60" w:line="200" w:lineRule="exact"/>
              <w:jc w:val="right"/>
              <w:rPr>
                <w:rFonts w:cs="Arial"/>
                <w:b/>
                <w:sz w:val="16"/>
                <w:szCs w:val="16"/>
              </w:rPr>
            </w:pPr>
            <w:r w:rsidRPr="0097533D">
              <w:rPr>
                <w:rFonts w:cs="Arial"/>
                <w:b/>
                <w:sz w:val="16"/>
                <w:szCs w:val="16"/>
              </w:rPr>
              <w:t>2009</w:t>
            </w:r>
          </w:p>
        </w:tc>
        <w:tc>
          <w:tcPr>
            <w:tcW w:w="621" w:type="dxa"/>
            <w:tcBorders>
              <w:bottom w:val="nil"/>
            </w:tcBorders>
            <w:noWrap/>
            <w:vAlign w:val="bottom"/>
          </w:tcPr>
          <w:p w:rsidR="007422D7" w:rsidRPr="0097533D" w:rsidRDefault="007422D7">
            <w:pPr>
              <w:keepNext/>
              <w:keepLines/>
              <w:shd w:val="clear" w:color="000000" w:fill="auto"/>
              <w:spacing w:before="60" w:line="200" w:lineRule="exact"/>
              <w:jc w:val="right"/>
              <w:rPr>
                <w:rFonts w:cs="Arial"/>
                <w:b/>
                <w:sz w:val="16"/>
                <w:szCs w:val="16"/>
              </w:rPr>
            </w:pPr>
            <w:r w:rsidRPr="0097533D">
              <w:rPr>
                <w:rFonts w:cs="Arial"/>
                <w:b/>
                <w:sz w:val="16"/>
                <w:szCs w:val="16"/>
              </w:rPr>
              <w:t>2010</w:t>
            </w:r>
          </w:p>
        </w:tc>
        <w:tc>
          <w:tcPr>
            <w:tcW w:w="621" w:type="dxa"/>
            <w:tcBorders>
              <w:bottom w:val="nil"/>
            </w:tcBorders>
            <w:noWrap/>
            <w:vAlign w:val="bottom"/>
          </w:tcPr>
          <w:p w:rsidR="007422D7" w:rsidRPr="0097533D" w:rsidRDefault="007422D7">
            <w:pPr>
              <w:keepNext/>
              <w:keepLines/>
              <w:shd w:val="clear" w:color="000000" w:fill="auto"/>
              <w:spacing w:before="60" w:line="200" w:lineRule="exact"/>
              <w:jc w:val="right"/>
              <w:rPr>
                <w:rFonts w:cs="Arial"/>
                <w:b/>
                <w:sz w:val="16"/>
                <w:szCs w:val="16"/>
              </w:rPr>
            </w:pPr>
            <w:r w:rsidRPr="0097533D">
              <w:rPr>
                <w:rFonts w:cs="Arial"/>
                <w:b/>
                <w:sz w:val="16"/>
                <w:szCs w:val="16"/>
              </w:rPr>
              <w:t>2011</w:t>
            </w:r>
          </w:p>
        </w:tc>
      </w:tr>
      <w:tr w:rsidR="00000000" w:rsidRPr="0097533D">
        <w:tc>
          <w:tcPr>
            <w:tcW w:w="570" w:type="dxa"/>
            <w:tcBorders>
              <w:top w:val="nil"/>
              <w:bottom w:val="single" w:sz="4" w:space="0" w:color="auto"/>
            </w:tcBorders>
            <w:vAlign w:val="bottom"/>
          </w:tcPr>
          <w:p w:rsidR="007422D7" w:rsidRPr="0097533D" w:rsidRDefault="007422D7">
            <w:pPr>
              <w:keepNext/>
              <w:keepLines/>
              <w:shd w:val="clear" w:color="000000" w:fill="auto"/>
              <w:spacing w:before="60" w:line="200" w:lineRule="exact"/>
              <w:ind w:left="-57"/>
              <w:rPr>
                <w:rFonts w:cs="Arial"/>
                <w:b/>
                <w:bCs/>
                <w:sz w:val="16"/>
                <w:szCs w:val="16"/>
              </w:rPr>
            </w:pPr>
            <w:r w:rsidRPr="0097533D">
              <w:rPr>
                <w:rFonts w:cs="Arial"/>
                <w:b/>
                <w:bCs/>
                <w:sz w:val="16"/>
                <w:szCs w:val="16"/>
              </w:rPr>
              <w:t>Anslag</w:t>
            </w:r>
          </w:p>
        </w:tc>
        <w:tc>
          <w:tcPr>
            <w:tcW w:w="3521" w:type="dxa"/>
            <w:tcBorders>
              <w:top w:val="nil"/>
              <w:bottom w:val="single" w:sz="4" w:space="0" w:color="auto"/>
            </w:tcBorders>
            <w:vAlign w:val="bottom"/>
          </w:tcPr>
          <w:p w:rsidR="007422D7" w:rsidRPr="0097533D" w:rsidRDefault="007422D7">
            <w:pPr>
              <w:keepNext/>
              <w:keepLines/>
              <w:shd w:val="clear" w:color="000000" w:fill="auto"/>
              <w:spacing w:before="60" w:line="200" w:lineRule="exact"/>
              <w:rPr>
                <w:rFonts w:cs="Arial"/>
                <w:b/>
                <w:bCs/>
                <w:sz w:val="16"/>
                <w:szCs w:val="16"/>
              </w:rPr>
            </w:pPr>
          </w:p>
        </w:tc>
        <w:tc>
          <w:tcPr>
            <w:tcW w:w="621" w:type="dxa"/>
            <w:tcBorders>
              <w:top w:val="nil"/>
              <w:bottom w:val="single" w:sz="4" w:space="0" w:color="auto"/>
            </w:tcBorders>
            <w:noWrap/>
            <w:vAlign w:val="bottom"/>
          </w:tcPr>
          <w:p w:rsidR="007422D7" w:rsidRPr="0097533D" w:rsidRDefault="007422D7">
            <w:pPr>
              <w:keepNext/>
              <w:keepLines/>
              <w:shd w:val="clear" w:color="000000" w:fill="auto"/>
              <w:spacing w:before="60" w:line="200" w:lineRule="exact"/>
              <w:rPr>
                <w:sz w:val="16"/>
              </w:rPr>
            </w:pPr>
            <w:r w:rsidRPr="0097533D">
              <w:rPr>
                <w:sz w:val="16"/>
              </w:rPr>
              <w:t> </w:t>
            </w:r>
          </w:p>
        </w:tc>
        <w:tc>
          <w:tcPr>
            <w:tcW w:w="621" w:type="dxa"/>
            <w:tcBorders>
              <w:top w:val="nil"/>
              <w:bottom w:val="single" w:sz="4" w:space="0" w:color="auto"/>
            </w:tcBorders>
            <w:noWrap/>
            <w:vAlign w:val="bottom"/>
          </w:tcPr>
          <w:p w:rsidR="007422D7" w:rsidRPr="0097533D" w:rsidRDefault="007422D7">
            <w:pPr>
              <w:keepNext/>
              <w:keepLines/>
              <w:shd w:val="clear" w:color="000000" w:fill="auto"/>
              <w:spacing w:before="60" w:line="200" w:lineRule="exact"/>
              <w:rPr>
                <w:sz w:val="16"/>
              </w:rPr>
            </w:pPr>
            <w:r w:rsidRPr="0097533D">
              <w:rPr>
                <w:sz w:val="16"/>
              </w:rPr>
              <w:t> </w:t>
            </w:r>
          </w:p>
        </w:tc>
        <w:tc>
          <w:tcPr>
            <w:tcW w:w="621" w:type="dxa"/>
            <w:tcBorders>
              <w:top w:val="nil"/>
              <w:bottom w:val="single" w:sz="4" w:space="0" w:color="auto"/>
            </w:tcBorders>
            <w:noWrap/>
            <w:vAlign w:val="bottom"/>
          </w:tcPr>
          <w:p w:rsidR="007422D7" w:rsidRPr="0097533D" w:rsidRDefault="007422D7">
            <w:pPr>
              <w:keepNext/>
              <w:keepLines/>
              <w:shd w:val="clear" w:color="000000" w:fill="auto"/>
              <w:spacing w:before="60" w:line="200" w:lineRule="exact"/>
              <w:rPr>
                <w:sz w:val="16"/>
              </w:rPr>
            </w:pPr>
            <w:r w:rsidRPr="0097533D">
              <w:rPr>
                <w:sz w:val="16"/>
              </w:rPr>
              <w:t> </w:t>
            </w:r>
          </w:p>
        </w:tc>
      </w:tr>
      <w:tr w:rsidR="00000000" w:rsidRPr="0097533D">
        <w:trPr>
          <w:trHeight w:val="255"/>
        </w:trPr>
        <w:tc>
          <w:tcPr>
            <w:tcW w:w="570" w:type="dxa"/>
            <w:tcBorders>
              <w:top w:val="single" w:sz="4" w:space="0" w:color="auto"/>
            </w:tcBorders>
            <w:noWrap/>
            <w:vAlign w:val="bottom"/>
          </w:tcPr>
          <w:p w:rsidR="007422D7" w:rsidRPr="0097533D" w:rsidRDefault="007422D7">
            <w:pPr>
              <w:keepNext/>
              <w:keepLines/>
              <w:shd w:val="clear" w:color="000000" w:fill="auto"/>
              <w:spacing w:before="60" w:line="200" w:lineRule="exact"/>
              <w:rPr>
                <w:rFonts w:cs="Arial"/>
                <w:sz w:val="16"/>
                <w:szCs w:val="16"/>
              </w:rPr>
            </w:pPr>
            <w:r w:rsidRPr="0097533D">
              <w:rPr>
                <w:rFonts w:cs="Arial"/>
                <w:sz w:val="16"/>
                <w:szCs w:val="16"/>
              </w:rPr>
              <w:t>2:01</w:t>
            </w:r>
          </w:p>
        </w:tc>
        <w:tc>
          <w:tcPr>
            <w:tcW w:w="3521" w:type="dxa"/>
            <w:tcBorders>
              <w:top w:val="single" w:sz="4" w:space="0" w:color="auto"/>
            </w:tcBorders>
            <w:noWrap/>
            <w:vAlign w:val="bottom"/>
          </w:tcPr>
          <w:p w:rsidR="007422D7" w:rsidRPr="0097533D" w:rsidRDefault="007422D7">
            <w:pPr>
              <w:keepNext/>
              <w:keepLines/>
              <w:shd w:val="clear" w:color="000000" w:fill="auto"/>
              <w:spacing w:before="60" w:line="200" w:lineRule="exact"/>
              <w:rPr>
                <w:rFonts w:cs="Arial"/>
                <w:sz w:val="16"/>
                <w:szCs w:val="16"/>
              </w:rPr>
            </w:pPr>
            <w:r w:rsidRPr="0097533D">
              <w:rPr>
                <w:rFonts w:cs="Arial"/>
                <w:sz w:val="16"/>
                <w:szCs w:val="16"/>
              </w:rPr>
              <w:t>Boverket</w:t>
            </w:r>
          </w:p>
        </w:tc>
        <w:tc>
          <w:tcPr>
            <w:tcW w:w="621" w:type="dxa"/>
            <w:tcBorders>
              <w:top w:val="single" w:sz="4" w:space="0" w:color="auto"/>
            </w:tcBorders>
            <w:noWrap/>
            <w:vAlign w:val="bottom"/>
          </w:tcPr>
          <w:p w:rsidR="007422D7" w:rsidRPr="0097533D" w:rsidRDefault="007422D7">
            <w:pPr>
              <w:keepNext/>
              <w:keepLines/>
              <w:shd w:val="clear" w:color="000000" w:fill="auto"/>
              <w:spacing w:before="60" w:line="200" w:lineRule="exact"/>
              <w:jc w:val="right"/>
              <w:rPr>
                <w:rFonts w:cs="Arial"/>
                <w:sz w:val="16"/>
                <w:szCs w:val="16"/>
              </w:rPr>
            </w:pPr>
            <w:r w:rsidRPr="0097533D">
              <w:rPr>
                <w:rFonts w:cs="Arial"/>
                <w:sz w:val="16"/>
                <w:szCs w:val="16"/>
              </w:rPr>
              <w:t>210</w:t>
            </w:r>
          </w:p>
        </w:tc>
        <w:tc>
          <w:tcPr>
            <w:tcW w:w="621" w:type="dxa"/>
            <w:tcBorders>
              <w:top w:val="single" w:sz="4" w:space="0" w:color="auto"/>
            </w:tcBorders>
            <w:noWrap/>
            <w:vAlign w:val="bottom"/>
          </w:tcPr>
          <w:p w:rsidR="007422D7" w:rsidRPr="0097533D" w:rsidRDefault="007422D7">
            <w:pPr>
              <w:keepNext/>
              <w:keepLines/>
              <w:shd w:val="clear" w:color="000000" w:fill="auto"/>
              <w:spacing w:before="60" w:line="200" w:lineRule="exact"/>
              <w:jc w:val="right"/>
              <w:rPr>
                <w:rFonts w:cs="Arial"/>
                <w:sz w:val="16"/>
                <w:szCs w:val="16"/>
              </w:rPr>
            </w:pPr>
            <w:r w:rsidRPr="0097533D">
              <w:rPr>
                <w:rFonts w:cs="Arial"/>
                <w:sz w:val="16"/>
                <w:szCs w:val="16"/>
              </w:rPr>
              <w:t>210</w:t>
            </w:r>
          </w:p>
        </w:tc>
        <w:tc>
          <w:tcPr>
            <w:tcW w:w="621" w:type="dxa"/>
            <w:tcBorders>
              <w:top w:val="single" w:sz="4" w:space="0" w:color="auto"/>
            </w:tcBorders>
            <w:noWrap/>
            <w:vAlign w:val="bottom"/>
          </w:tcPr>
          <w:p w:rsidR="007422D7" w:rsidRPr="0097533D" w:rsidRDefault="007422D7">
            <w:pPr>
              <w:keepNext/>
              <w:keepLines/>
              <w:shd w:val="clear" w:color="000000" w:fill="auto"/>
              <w:spacing w:before="60" w:line="200" w:lineRule="exact"/>
              <w:jc w:val="right"/>
              <w:rPr>
                <w:rFonts w:cs="Arial"/>
                <w:sz w:val="16"/>
                <w:szCs w:val="16"/>
              </w:rPr>
            </w:pPr>
            <w:r w:rsidRPr="0097533D">
              <w:rPr>
                <w:rFonts w:cs="Arial"/>
                <w:sz w:val="16"/>
                <w:szCs w:val="16"/>
              </w:rPr>
              <w:t>210</w:t>
            </w:r>
          </w:p>
        </w:tc>
      </w:tr>
      <w:tr w:rsidR="00000000" w:rsidRPr="0097533D">
        <w:trPr>
          <w:trHeight w:val="255"/>
        </w:trPr>
        <w:tc>
          <w:tcPr>
            <w:tcW w:w="570" w:type="dxa"/>
            <w:noWrap/>
            <w:vAlign w:val="bottom"/>
          </w:tcPr>
          <w:p w:rsidR="007422D7" w:rsidRPr="0097533D" w:rsidRDefault="007422D7">
            <w:pPr>
              <w:keepNext/>
              <w:keepLines/>
              <w:shd w:val="clear" w:color="000000" w:fill="auto"/>
              <w:spacing w:before="60" w:line="200" w:lineRule="exact"/>
              <w:rPr>
                <w:rFonts w:cs="Arial"/>
                <w:sz w:val="16"/>
                <w:szCs w:val="16"/>
              </w:rPr>
            </w:pPr>
            <w:r w:rsidRPr="0097533D">
              <w:rPr>
                <w:rFonts w:cs="Arial"/>
                <w:sz w:val="16"/>
                <w:szCs w:val="16"/>
              </w:rPr>
              <w:t>2:02</w:t>
            </w:r>
          </w:p>
        </w:tc>
        <w:tc>
          <w:tcPr>
            <w:tcW w:w="3521" w:type="dxa"/>
            <w:noWrap/>
            <w:vAlign w:val="bottom"/>
          </w:tcPr>
          <w:p w:rsidR="007422D7" w:rsidRPr="0097533D" w:rsidRDefault="007422D7">
            <w:pPr>
              <w:keepNext/>
              <w:keepLines/>
              <w:shd w:val="clear" w:color="000000" w:fill="auto"/>
              <w:spacing w:before="60" w:line="200" w:lineRule="exact"/>
              <w:rPr>
                <w:rFonts w:cs="Arial"/>
                <w:sz w:val="16"/>
                <w:szCs w:val="16"/>
              </w:rPr>
            </w:pPr>
            <w:r w:rsidRPr="0097533D">
              <w:rPr>
                <w:rFonts w:cs="Arial"/>
                <w:sz w:val="16"/>
                <w:szCs w:val="16"/>
              </w:rPr>
              <w:t>Radonsanering</w:t>
            </w:r>
          </w:p>
        </w:tc>
        <w:tc>
          <w:tcPr>
            <w:tcW w:w="621" w:type="dxa"/>
            <w:noWrap/>
            <w:vAlign w:val="bottom"/>
          </w:tcPr>
          <w:p w:rsidR="007422D7" w:rsidRPr="0097533D" w:rsidRDefault="007422D7">
            <w:pPr>
              <w:keepNext/>
              <w:keepLines/>
              <w:shd w:val="clear" w:color="000000" w:fill="auto"/>
              <w:spacing w:before="60" w:line="200" w:lineRule="exact"/>
              <w:jc w:val="right"/>
              <w:rPr>
                <w:rFonts w:cs="Arial"/>
                <w:sz w:val="16"/>
                <w:szCs w:val="16"/>
              </w:rPr>
            </w:pPr>
            <w:r w:rsidRPr="0097533D">
              <w:rPr>
                <w:rFonts w:cs="Arial"/>
                <w:sz w:val="16"/>
                <w:szCs w:val="16"/>
              </w:rPr>
              <w:t>5</w:t>
            </w:r>
          </w:p>
        </w:tc>
        <w:tc>
          <w:tcPr>
            <w:tcW w:w="621" w:type="dxa"/>
            <w:noWrap/>
            <w:vAlign w:val="bottom"/>
          </w:tcPr>
          <w:p w:rsidR="007422D7" w:rsidRPr="0097533D" w:rsidRDefault="007422D7">
            <w:pPr>
              <w:keepNext/>
              <w:keepLines/>
              <w:shd w:val="clear" w:color="000000" w:fill="auto"/>
              <w:spacing w:before="60" w:line="200" w:lineRule="exact"/>
              <w:jc w:val="right"/>
              <w:rPr>
                <w:rFonts w:cs="Arial"/>
                <w:sz w:val="16"/>
                <w:szCs w:val="16"/>
              </w:rPr>
            </w:pPr>
            <w:r w:rsidRPr="0097533D">
              <w:rPr>
                <w:rFonts w:cs="Arial"/>
                <w:sz w:val="16"/>
                <w:szCs w:val="16"/>
              </w:rPr>
              <w:t>5</w:t>
            </w:r>
          </w:p>
        </w:tc>
        <w:tc>
          <w:tcPr>
            <w:tcW w:w="621" w:type="dxa"/>
            <w:noWrap/>
            <w:vAlign w:val="bottom"/>
          </w:tcPr>
          <w:p w:rsidR="007422D7" w:rsidRPr="0097533D" w:rsidRDefault="007422D7">
            <w:pPr>
              <w:keepNext/>
              <w:keepLines/>
              <w:shd w:val="clear" w:color="000000" w:fill="auto"/>
              <w:spacing w:before="60" w:line="200" w:lineRule="exact"/>
              <w:jc w:val="right"/>
              <w:rPr>
                <w:rFonts w:cs="Arial"/>
                <w:sz w:val="16"/>
                <w:szCs w:val="16"/>
              </w:rPr>
            </w:pPr>
            <w:r w:rsidRPr="0097533D">
              <w:rPr>
                <w:rFonts w:cs="Arial"/>
                <w:sz w:val="16"/>
                <w:szCs w:val="16"/>
              </w:rPr>
              <w:t>5</w:t>
            </w:r>
          </w:p>
        </w:tc>
      </w:tr>
      <w:tr w:rsidR="00000000" w:rsidRPr="0097533D">
        <w:trPr>
          <w:trHeight w:val="255"/>
        </w:trPr>
        <w:tc>
          <w:tcPr>
            <w:tcW w:w="570" w:type="dxa"/>
            <w:noWrap/>
            <w:vAlign w:val="bottom"/>
          </w:tcPr>
          <w:p w:rsidR="007422D7" w:rsidRPr="0097533D" w:rsidRDefault="007422D7">
            <w:pPr>
              <w:keepNext/>
              <w:keepLines/>
              <w:shd w:val="clear" w:color="000000" w:fill="auto"/>
              <w:spacing w:before="60" w:line="200" w:lineRule="exact"/>
              <w:rPr>
                <w:rFonts w:cs="Arial"/>
                <w:sz w:val="16"/>
                <w:szCs w:val="16"/>
              </w:rPr>
            </w:pPr>
          </w:p>
        </w:tc>
        <w:tc>
          <w:tcPr>
            <w:tcW w:w="3521" w:type="dxa"/>
            <w:noWrap/>
            <w:vAlign w:val="bottom"/>
          </w:tcPr>
          <w:p w:rsidR="007422D7" w:rsidRPr="0097533D" w:rsidRDefault="007422D7">
            <w:pPr>
              <w:keepNext/>
              <w:keepLines/>
              <w:shd w:val="clear" w:color="000000" w:fill="auto"/>
              <w:spacing w:before="60" w:line="200" w:lineRule="exact"/>
              <w:rPr>
                <w:rFonts w:cs="Arial"/>
                <w:sz w:val="16"/>
                <w:szCs w:val="16"/>
              </w:rPr>
            </w:pPr>
            <w:r w:rsidRPr="0097533D">
              <w:rPr>
                <w:rFonts w:cs="Arial"/>
                <w:sz w:val="16"/>
                <w:szCs w:val="16"/>
              </w:rPr>
              <w:t>Konsumentverket</w:t>
            </w:r>
          </w:p>
        </w:tc>
        <w:tc>
          <w:tcPr>
            <w:tcW w:w="621" w:type="dxa"/>
            <w:noWrap/>
            <w:vAlign w:val="bottom"/>
          </w:tcPr>
          <w:p w:rsidR="007422D7" w:rsidRPr="0097533D" w:rsidRDefault="007422D7">
            <w:pPr>
              <w:keepNext/>
              <w:keepLines/>
              <w:shd w:val="clear" w:color="000000" w:fill="auto"/>
              <w:spacing w:before="60" w:line="200" w:lineRule="exact"/>
              <w:jc w:val="right"/>
              <w:rPr>
                <w:rFonts w:cs="Arial"/>
                <w:sz w:val="16"/>
                <w:szCs w:val="16"/>
              </w:rPr>
            </w:pPr>
            <w:r w:rsidRPr="0097533D">
              <w:rPr>
                <w:rFonts w:cs="Arial"/>
                <w:sz w:val="16"/>
                <w:szCs w:val="16"/>
              </w:rPr>
              <w:t>75</w:t>
            </w:r>
          </w:p>
        </w:tc>
        <w:tc>
          <w:tcPr>
            <w:tcW w:w="621" w:type="dxa"/>
            <w:noWrap/>
            <w:vAlign w:val="bottom"/>
          </w:tcPr>
          <w:p w:rsidR="007422D7" w:rsidRPr="0097533D" w:rsidRDefault="007422D7">
            <w:pPr>
              <w:keepNext/>
              <w:keepLines/>
              <w:shd w:val="clear" w:color="000000" w:fill="auto"/>
              <w:spacing w:before="60" w:line="200" w:lineRule="exact"/>
              <w:jc w:val="right"/>
              <w:rPr>
                <w:rFonts w:cs="Arial"/>
                <w:sz w:val="16"/>
                <w:szCs w:val="16"/>
              </w:rPr>
            </w:pPr>
            <w:r w:rsidRPr="0097533D">
              <w:rPr>
                <w:rFonts w:cs="Arial"/>
                <w:sz w:val="16"/>
                <w:szCs w:val="16"/>
              </w:rPr>
              <w:t>75</w:t>
            </w:r>
          </w:p>
        </w:tc>
        <w:tc>
          <w:tcPr>
            <w:tcW w:w="621" w:type="dxa"/>
            <w:noWrap/>
            <w:vAlign w:val="bottom"/>
          </w:tcPr>
          <w:p w:rsidR="007422D7" w:rsidRPr="0097533D" w:rsidRDefault="007422D7">
            <w:pPr>
              <w:keepNext/>
              <w:keepLines/>
              <w:shd w:val="clear" w:color="000000" w:fill="auto"/>
              <w:spacing w:before="60" w:line="200" w:lineRule="exact"/>
              <w:jc w:val="right"/>
              <w:rPr>
                <w:rFonts w:cs="Arial"/>
                <w:sz w:val="16"/>
                <w:szCs w:val="16"/>
              </w:rPr>
            </w:pPr>
            <w:r w:rsidRPr="0097533D">
              <w:rPr>
                <w:rFonts w:cs="Arial"/>
                <w:sz w:val="16"/>
                <w:szCs w:val="16"/>
              </w:rPr>
              <w:t>75</w:t>
            </w:r>
          </w:p>
        </w:tc>
      </w:tr>
      <w:tr w:rsidR="00000000" w:rsidRPr="0097533D">
        <w:trPr>
          <w:trHeight w:val="255"/>
        </w:trPr>
        <w:tc>
          <w:tcPr>
            <w:tcW w:w="570" w:type="dxa"/>
            <w:noWrap/>
            <w:vAlign w:val="bottom"/>
          </w:tcPr>
          <w:p w:rsidR="007422D7" w:rsidRPr="0097533D" w:rsidRDefault="007422D7">
            <w:pPr>
              <w:keepNext/>
              <w:keepLines/>
              <w:shd w:val="clear" w:color="000000" w:fill="auto"/>
              <w:spacing w:before="60" w:line="200" w:lineRule="exact"/>
              <w:rPr>
                <w:rFonts w:cs="Arial"/>
                <w:sz w:val="16"/>
                <w:szCs w:val="16"/>
              </w:rPr>
            </w:pPr>
          </w:p>
        </w:tc>
        <w:tc>
          <w:tcPr>
            <w:tcW w:w="3521" w:type="dxa"/>
            <w:noWrap/>
            <w:vAlign w:val="bottom"/>
          </w:tcPr>
          <w:p w:rsidR="007422D7" w:rsidRPr="0097533D" w:rsidRDefault="007422D7">
            <w:pPr>
              <w:keepNext/>
              <w:keepLines/>
              <w:shd w:val="clear" w:color="000000" w:fill="auto"/>
              <w:spacing w:before="60" w:line="200" w:lineRule="exact"/>
              <w:rPr>
                <w:rFonts w:cs="Arial"/>
                <w:sz w:val="16"/>
                <w:szCs w:val="16"/>
              </w:rPr>
            </w:pPr>
            <w:r w:rsidRPr="0097533D">
              <w:rPr>
                <w:rFonts w:cs="Arial"/>
                <w:sz w:val="16"/>
                <w:szCs w:val="16"/>
              </w:rPr>
              <w:t>Fonden för fukt- och mögelskador</w:t>
            </w:r>
          </w:p>
        </w:tc>
        <w:tc>
          <w:tcPr>
            <w:tcW w:w="621" w:type="dxa"/>
            <w:noWrap/>
            <w:vAlign w:val="bottom"/>
          </w:tcPr>
          <w:p w:rsidR="007422D7" w:rsidRPr="0097533D" w:rsidRDefault="007422D7">
            <w:pPr>
              <w:keepNext/>
              <w:keepLines/>
              <w:shd w:val="clear" w:color="000000" w:fill="auto"/>
              <w:spacing w:before="60" w:line="200" w:lineRule="exact"/>
              <w:jc w:val="right"/>
              <w:rPr>
                <w:rFonts w:cs="Arial"/>
                <w:sz w:val="16"/>
                <w:szCs w:val="16"/>
              </w:rPr>
            </w:pPr>
            <w:r w:rsidRPr="0097533D">
              <w:rPr>
                <w:rFonts w:cs="Arial"/>
                <w:sz w:val="16"/>
                <w:szCs w:val="16"/>
              </w:rPr>
              <w:t>10</w:t>
            </w:r>
          </w:p>
        </w:tc>
        <w:tc>
          <w:tcPr>
            <w:tcW w:w="621" w:type="dxa"/>
            <w:noWrap/>
            <w:vAlign w:val="bottom"/>
          </w:tcPr>
          <w:p w:rsidR="007422D7" w:rsidRPr="0097533D" w:rsidRDefault="007422D7">
            <w:pPr>
              <w:keepNext/>
              <w:keepLines/>
              <w:shd w:val="clear" w:color="000000" w:fill="auto"/>
              <w:spacing w:before="60" w:line="200" w:lineRule="exact"/>
              <w:jc w:val="right"/>
              <w:rPr>
                <w:rFonts w:cs="Arial"/>
                <w:sz w:val="16"/>
                <w:szCs w:val="16"/>
              </w:rPr>
            </w:pPr>
            <w:r w:rsidRPr="0097533D">
              <w:rPr>
                <w:rFonts w:cs="Arial"/>
                <w:sz w:val="16"/>
                <w:szCs w:val="16"/>
              </w:rPr>
              <w:t>10</w:t>
            </w:r>
          </w:p>
        </w:tc>
        <w:tc>
          <w:tcPr>
            <w:tcW w:w="621" w:type="dxa"/>
            <w:noWrap/>
            <w:vAlign w:val="bottom"/>
          </w:tcPr>
          <w:p w:rsidR="007422D7" w:rsidRPr="0097533D" w:rsidRDefault="007422D7">
            <w:pPr>
              <w:keepNext/>
              <w:keepLines/>
              <w:shd w:val="clear" w:color="000000" w:fill="auto"/>
              <w:spacing w:before="60" w:line="200" w:lineRule="exact"/>
              <w:jc w:val="right"/>
              <w:rPr>
                <w:rFonts w:cs="Arial"/>
                <w:sz w:val="16"/>
                <w:szCs w:val="16"/>
              </w:rPr>
            </w:pPr>
            <w:r w:rsidRPr="0097533D">
              <w:rPr>
                <w:rFonts w:cs="Arial"/>
                <w:sz w:val="16"/>
                <w:szCs w:val="16"/>
              </w:rPr>
              <w:t>10</w:t>
            </w:r>
          </w:p>
        </w:tc>
      </w:tr>
      <w:tr w:rsidR="00000000" w:rsidRPr="0097533D">
        <w:trPr>
          <w:trHeight w:val="255"/>
        </w:trPr>
        <w:tc>
          <w:tcPr>
            <w:tcW w:w="570" w:type="dxa"/>
            <w:tcBorders>
              <w:bottom w:val="single" w:sz="4" w:space="0" w:color="auto"/>
            </w:tcBorders>
            <w:noWrap/>
            <w:vAlign w:val="bottom"/>
          </w:tcPr>
          <w:p w:rsidR="007422D7" w:rsidRPr="0097533D" w:rsidRDefault="007422D7">
            <w:pPr>
              <w:keepNext/>
              <w:keepLines/>
              <w:shd w:val="clear" w:color="000000" w:fill="auto"/>
              <w:spacing w:before="60" w:line="200" w:lineRule="exact"/>
              <w:rPr>
                <w:rFonts w:cs="Arial"/>
                <w:sz w:val="16"/>
                <w:szCs w:val="16"/>
              </w:rPr>
            </w:pPr>
          </w:p>
        </w:tc>
        <w:tc>
          <w:tcPr>
            <w:tcW w:w="3521" w:type="dxa"/>
            <w:tcBorders>
              <w:bottom w:val="single" w:sz="4" w:space="0" w:color="auto"/>
            </w:tcBorders>
            <w:noWrap/>
            <w:vAlign w:val="bottom"/>
          </w:tcPr>
          <w:p w:rsidR="007422D7" w:rsidRPr="0097533D" w:rsidRDefault="007422D7">
            <w:pPr>
              <w:keepNext/>
              <w:keepLines/>
              <w:shd w:val="clear" w:color="000000" w:fill="auto"/>
              <w:spacing w:before="60" w:line="200" w:lineRule="exact"/>
              <w:rPr>
                <w:rFonts w:cs="Arial"/>
                <w:b/>
                <w:sz w:val="16"/>
                <w:szCs w:val="16"/>
              </w:rPr>
            </w:pPr>
            <w:r w:rsidRPr="0097533D">
              <w:rPr>
                <w:rFonts w:cs="Arial"/>
                <w:b/>
                <w:sz w:val="16"/>
                <w:szCs w:val="16"/>
              </w:rPr>
              <w:t>Summa för utgiftsområdet</w:t>
            </w:r>
          </w:p>
        </w:tc>
        <w:tc>
          <w:tcPr>
            <w:tcW w:w="621" w:type="dxa"/>
            <w:tcBorders>
              <w:bottom w:val="single" w:sz="4" w:space="0" w:color="auto"/>
            </w:tcBorders>
            <w:noWrap/>
            <w:vAlign w:val="bottom"/>
          </w:tcPr>
          <w:p w:rsidR="007422D7" w:rsidRPr="0097533D" w:rsidRDefault="007422D7">
            <w:pPr>
              <w:keepNext/>
              <w:keepLines/>
              <w:shd w:val="clear" w:color="000000" w:fill="auto"/>
              <w:spacing w:before="60" w:line="200" w:lineRule="exact"/>
              <w:jc w:val="right"/>
              <w:rPr>
                <w:rFonts w:cs="Arial"/>
                <w:b/>
                <w:sz w:val="16"/>
                <w:szCs w:val="16"/>
              </w:rPr>
            </w:pPr>
            <w:r w:rsidRPr="0097533D">
              <w:rPr>
                <w:rFonts w:cs="Arial"/>
                <w:b/>
                <w:sz w:val="16"/>
                <w:szCs w:val="16"/>
              </w:rPr>
              <w:t>300</w:t>
            </w:r>
          </w:p>
        </w:tc>
        <w:tc>
          <w:tcPr>
            <w:tcW w:w="621" w:type="dxa"/>
            <w:tcBorders>
              <w:bottom w:val="single" w:sz="4" w:space="0" w:color="auto"/>
            </w:tcBorders>
            <w:noWrap/>
            <w:vAlign w:val="bottom"/>
          </w:tcPr>
          <w:p w:rsidR="007422D7" w:rsidRPr="0097533D" w:rsidRDefault="007422D7">
            <w:pPr>
              <w:keepNext/>
              <w:keepLines/>
              <w:shd w:val="clear" w:color="000000" w:fill="auto"/>
              <w:spacing w:before="60" w:line="200" w:lineRule="exact"/>
              <w:jc w:val="right"/>
              <w:rPr>
                <w:rFonts w:cs="Arial"/>
                <w:b/>
                <w:sz w:val="16"/>
                <w:szCs w:val="16"/>
              </w:rPr>
            </w:pPr>
            <w:r w:rsidRPr="0097533D">
              <w:rPr>
                <w:rFonts w:cs="Arial"/>
                <w:b/>
                <w:sz w:val="16"/>
                <w:szCs w:val="16"/>
              </w:rPr>
              <w:t>300</w:t>
            </w:r>
          </w:p>
        </w:tc>
        <w:tc>
          <w:tcPr>
            <w:tcW w:w="621" w:type="dxa"/>
            <w:tcBorders>
              <w:bottom w:val="single" w:sz="4" w:space="0" w:color="auto"/>
            </w:tcBorders>
            <w:noWrap/>
            <w:vAlign w:val="bottom"/>
          </w:tcPr>
          <w:p w:rsidR="007422D7" w:rsidRPr="0097533D" w:rsidRDefault="007422D7">
            <w:pPr>
              <w:keepNext/>
              <w:keepLines/>
              <w:shd w:val="clear" w:color="000000" w:fill="auto"/>
              <w:spacing w:before="60" w:line="200" w:lineRule="exact"/>
              <w:jc w:val="right"/>
              <w:rPr>
                <w:rFonts w:cs="Arial"/>
                <w:b/>
                <w:sz w:val="16"/>
                <w:szCs w:val="16"/>
              </w:rPr>
            </w:pPr>
            <w:r w:rsidRPr="0097533D">
              <w:rPr>
                <w:rFonts w:cs="Arial"/>
                <w:b/>
                <w:sz w:val="16"/>
                <w:szCs w:val="16"/>
              </w:rPr>
              <w:t>300</w:t>
            </w:r>
          </w:p>
        </w:tc>
      </w:tr>
    </w:tbl>
    <w:p w:rsidR="007422D7" w:rsidRPr="0097533D" w:rsidRDefault="007422D7">
      <w:pPr>
        <w:shd w:val="clear" w:color="000000" w:fill="auto"/>
      </w:pPr>
    </w:p>
    <w:p w:rsidR="007422D7" w:rsidRPr="0097533D" w:rsidRDefault="007422D7">
      <w:pPr>
        <w:pStyle w:val="Rubrik1"/>
        <w:shd w:val="clear" w:color="000000" w:fill="auto"/>
        <w:spacing w:before="480"/>
      </w:pPr>
      <w:r w:rsidRPr="0097533D">
        <w:t>Inledning</w:t>
      </w:r>
    </w:p>
    <w:p w:rsidR="007422D7" w:rsidRPr="0097533D" w:rsidRDefault="007422D7">
      <w:pPr>
        <w:shd w:val="clear" w:color="000000" w:fill="auto"/>
      </w:pPr>
      <w:r w:rsidRPr="0097533D">
        <w:t>Regeringen renodlar sin brist på politik på det bostadspolitiska området g</w:t>
      </w:r>
      <w:r w:rsidRPr="0097533D">
        <w:t>e</w:t>
      </w:r>
      <w:r w:rsidRPr="0097533D">
        <w:t>nom att helt enkelt avskaffa politikområdet bostadspolitik. I stället inför man ett nytt område som man benämner Bostadsmarknad. Denna rubrik klingar bättre ihop med det bostads</w:t>
      </w:r>
      <w:r w:rsidRPr="0097533D">
        <w:softHyphen/>
        <w:t xml:space="preserve">politiska mål regeringen genomförde i föregående budget. </w:t>
      </w:r>
    </w:p>
    <w:p w:rsidR="007422D7" w:rsidRPr="0097533D" w:rsidRDefault="007422D7">
      <w:pPr>
        <w:pStyle w:val="Normaltindrag"/>
        <w:shd w:val="clear" w:color="000000" w:fill="auto"/>
      </w:pPr>
      <w:r w:rsidRPr="0097533D">
        <w:t>Det cyniska målet att upprätthålla bostadsmarknader där konsumentens e</w:t>
      </w:r>
      <w:r w:rsidRPr="0097533D">
        <w:t>f</w:t>
      </w:r>
      <w:r w:rsidRPr="0097533D">
        <w:t>terfrågan möter ett utbud av bostäder som svarar mot behoven är oförändrat trots svidande kritik. Regerin</w:t>
      </w:r>
      <w:r w:rsidRPr="0097533D">
        <w:rPr>
          <w:spacing w:val="-2"/>
        </w:rPr>
        <w:t>gen vägrar hårdnackat inse att en av de viktigas</w:t>
      </w:r>
      <w:r w:rsidRPr="0097533D">
        <w:t xml:space="preserve">te bostadspolitiska funktionerna, som har drivit den välfärdsutveckling vi haft i landet, har varit att se till att de som inte klarar att efterfråga bostäder enligt sina behov får den möjligheten. Det har i första hand handlat om barnfamiljer som oftast inte har tillräcklig ekonomi för att kunna efterfråga bostäder som fyller de behov barnen har. </w:t>
      </w:r>
    </w:p>
    <w:p w:rsidR="007422D7" w:rsidRPr="0097533D" w:rsidRDefault="007422D7">
      <w:pPr>
        <w:pStyle w:val="Normaltindrag"/>
        <w:shd w:val="clear" w:color="000000" w:fill="auto"/>
      </w:pPr>
      <w:r w:rsidRPr="0097533D">
        <w:t>Miljömå</w:t>
      </w:r>
      <w:r w:rsidRPr="0097533D">
        <w:t>lsrådet har identifierat behovet av ett utvecklingsprogram för f</w:t>
      </w:r>
      <w:r w:rsidRPr="0097533D">
        <w:t>y</w:t>
      </w:r>
      <w:r w:rsidRPr="0097533D">
        <w:t xml:space="preserve">sisk planering som ett viktigt verktyg för att nå miljömålen för bland annat god byggd miljö. Programmet beräknas kosta ungefär 800 miljoner kronor över fyra år. I det ingår resurser till kommuner, länsstyrelser m.fl. Miljöpartiet föreslår att ett sådant program genomförs, samt att Boverket ansvarar för genomförandet. </w:t>
      </w:r>
    </w:p>
    <w:p w:rsidR="007422D7" w:rsidRPr="0097533D" w:rsidRDefault="007422D7">
      <w:pPr>
        <w:pStyle w:val="Normaltindrag"/>
        <w:shd w:val="clear" w:color="000000" w:fill="auto"/>
      </w:pPr>
      <w:r w:rsidRPr="0097533D">
        <w:t xml:space="preserve">Miljöpartiet föreslår också en särskild ökning av anslaget till Boverket med 10 miljoner kronor per år för att stärka arbetet </w:t>
      </w:r>
      <w:r w:rsidRPr="0097533D">
        <w:t xml:space="preserve">med bullerfrågor. </w:t>
      </w:r>
    </w:p>
    <w:p w:rsidR="007422D7" w:rsidRPr="0097533D" w:rsidRDefault="007422D7">
      <w:pPr>
        <w:pStyle w:val="Normaltindrag"/>
        <w:shd w:val="clear" w:color="000000" w:fill="auto"/>
      </w:pPr>
      <w:r w:rsidRPr="0097533D">
        <w:t>Konsumenternas roll för att klara klimatutmaningarna underskattas av r</w:t>
      </w:r>
      <w:r w:rsidRPr="0097533D">
        <w:t>e</w:t>
      </w:r>
      <w:r w:rsidRPr="0097533D">
        <w:t>geringen. Vi menar att ett starkt konsumentverk är en förutsättning för att vi alla ska klara av att göra de klimatsmarta valen i vardagen. Miljöpartiet an</w:t>
      </w:r>
      <w:r w:rsidRPr="0097533D">
        <w:softHyphen/>
        <w:t xml:space="preserve">visar mot bakgrund av detta 75 miljoner kronor per år de närmaste tre åren till Konsumentverket för verksamhet. </w:t>
      </w:r>
    </w:p>
    <w:p w:rsidR="007422D7" w:rsidRPr="0097533D" w:rsidRDefault="007422D7">
      <w:pPr>
        <w:pStyle w:val="Rubrik1"/>
        <w:shd w:val="clear" w:color="000000" w:fill="auto"/>
      </w:pPr>
      <w:r w:rsidRPr="0097533D">
        <w:t>Motivering till föreslagna beslut</w:t>
      </w:r>
    </w:p>
    <w:p w:rsidR="007422D7" w:rsidRPr="0097533D" w:rsidRDefault="007422D7">
      <w:pPr>
        <w:pStyle w:val="Rubrik2"/>
        <w:shd w:val="clear" w:color="000000" w:fill="auto"/>
        <w:spacing w:before="120"/>
      </w:pPr>
      <w:r w:rsidRPr="0097533D">
        <w:t>Bostadspolitikens område</w:t>
      </w:r>
    </w:p>
    <w:p w:rsidR="007422D7" w:rsidRPr="0097533D" w:rsidRDefault="007422D7">
      <w:pPr>
        <w:pStyle w:val="Rubrik3"/>
        <w:shd w:val="clear" w:color="000000" w:fill="auto"/>
        <w:spacing w:before="120"/>
      </w:pPr>
      <w:r w:rsidRPr="0097533D">
        <w:t>Bostadspolitiskt mål</w:t>
      </w:r>
    </w:p>
    <w:p w:rsidR="007422D7" w:rsidRPr="0097533D" w:rsidRDefault="007422D7">
      <w:pPr>
        <w:shd w:val="clear" w:color="000000" w:fill="auto"/>
      </w:pPr>
      <w:r w:rsidRPr="0097533D">
        <w:t>Bostadspolitiken är inte i första hand till för dem som klarar sig utan den, vilket regeringen tycks anse. Regeringen föreslår att bostadspolitikens mål ska reduceras till ren efterfrågebalans. I budgetförslaget för 2009 från rege</w:t>
      </w:r>
      <w:r w:rsidRPr="0097533D">
        <w:t>r</w:t>
      </w:r>
      <w:r w:rsidRPr="0097533D">
        <w:t>ingen manifesterar man bostadspolitikens avskaffande genom att lägga ner det bostadspolitiska mål man haft och i stället ersätta det med samma mål under rubriken Bostadsmarknad. Det visar att regeringen, trots den massiva kritik man fått, vägrar inse att det finns bostads</w:t>
      </w:r>
      <w:r w:rsidRPr="0097533D">
        <w:softHyphen/>
        <w:t>konsumenter som inte har ekonomisk förmåga att efterfråga en rimlig bostad. Regeringens förslag är en återgång i fråga om välfärdsambitioner på minst 100 år. Att det är det politi</w:t>
      </w:r>
      <w:r w:rsidRPr="0097533D">
        <w:t>s</w:t>
      </w:r>
      <w:r w:rsidRPr="0097533D">
        <w:t xml:space="preserve">ka arbetet som gett förutsättningar för folkflertalet att </w:t>
      </w:r>
      <w:r w:rsidRPr="0097533D">
        <w:t>bo drägligt och som lett till god hälsa, ekonomi och välfärd tycks inte regeringen förstå.</w:t>
      </w:r>
    </w:p>
    <w:p w:rsidR="007422D7" w:rsidRPr="0097533D" w:rsidRDefault="007422D7">
      <w:pPr>
        <w:pStyle w:val="Normaltindrag"/>
        <w:shd w:val="clear" w:color="000000" w:fill="auto"/>
      </w:pPr>
      <w:r w:rsidRPr="0097533D">
        <w:t>Miljöpartiet menar att det tidigare målet för Bostadspolitiken fortfarande är aktuellt:</w:t>
      </w:r>
    </w:p>
    <w:p w:rsidR="007422D7" w:rsidRPr="0097533D" w:rsidRDefault="007422D7">
      <w:pPr>
        <w:pStyle w:val="Citat"/>
        <w:shd w:val="clear" w:color="000000" w:fill="auto"/>
      </w:pPr>
      <w:r w:rsidRPr="0097533D">
        <w:t>Alla skall ges förutsättningar att leva i goda bostäder till rimliga kostn</w:t>
      </w:r>
      <w:r w:rsidRPr="0097533D">
        <w:t>a</w:t>
      </w:r>
      <w:r w:rsidRPr="0097533D">
        <w:t>der och i en stimulerande och trygg miljö inom långsiktigt hållbara r</w:t>
      </w:r>
      <w:r w:rsidRPr="0097533D">
        <w:t>a</w:t>
      </w:r>
      <w:r w:rsidRPr="0097533D">
        <w:t xml:space="preserve">mar. Boende- och bebyggelsemiljön skall bidra till jämlika och värdiga levnadsförhållanden och särskilt främja en god uppväxt för barn och ungdomar. Vid planering, byggande och förvaltning skall en ekologiskt </w:t>
      </w:r>
      <w:r w:rsidRPr="0097533D">
        <w:rPr>
          <w:spacing w:val="-2"/>
        </w:rPr>
        <w:t>ekonomiskt och socialt hållbar utveckling vara grunden för verksamheten.</w:t>
      </w:r>
    </w:p>
    <w:p w:rsidR="007422D7" w:rsidRPr="0097533D" w:rsidRDefault="007422D7">
      <w:pPr>
        <w:shd w:val="clear" w:color="000000" w:fill="auto"/>
      </w:pPr>
      <w:r w:rsidRPr="0097533D">
        <w:t>Att helt överlämna bostadspolitiken i marknadens händer visar på en inhum</w:t>
      </w:r>
      <w:r w:rsidRPr="0097533D">
        <w:t>a</w:t>
      </w:r>
      <w:r w:rsidRPr="0097533D">
        <w:t>nitet som borde vara främmande på 2000-talet. Tyvärr är det en stor del av bostads</w:t>
      </w:r>
      <w:r w:rsidRPr="0097533D">
        <w:softHyphen/>
        <w:t>konsumenterna, främst barnfamiljer, som inte har möjlighet att efte</w:t>
      </w:r>
      <w:r w:rsidRPr="0097533D">
        <w:t>r</w:t>
      </w:r>
      <w:r w:rsidRPr="0097533D">
        <w:t>fråga bostäder som svarar mot deras behov. En politik som är inriktad på att konsumenten ska mötas av den produkt konsumenten har möjlighet att efte</w:t>
      </w:r>
      <w:r w:rsidRPr="0097533D">
        <w:t>r</w:t>
      </w:r>
      <w:r w:rsidRPr="0097533D">
        <w:t>fråga blir ett hån mot dem med låg köpkraft. Miljöpartiet har avvisat denna inhumana bostadspolitik, eller avsaknad på bostadspolitisk vilja, redan tidig</w:t>
      </w:r>
      <w:r w:rsidRPr="0097533D">
        <w:t>a</w:t>
      </w:r>
      <w:r w:rsidRPr="0097533D">
        <w:t xml:space="preserve">re. Att denna avsaknad på bostadspolitiska ambitioner nu </w:t>
      </w:r>
      <w:r w:rsidRPr="0097533D">
        <w:t>kläs i en ny skrud under begreppet Bostadsmarknad gör den inte mindre motbjudande. Riksd</w:t>
      </w:r>
      <w:r w:rsidRPr="0097533D">
        <w:t>a</w:t>
      </w:r>
      <w:r w:rsidRPr="0097533D">
        <w:t>gen bör därför avvisa förslaget och ersätta målet för bostads</w:t>
      </w:r>
      <w:r w:rsidRPr="0097533D">
        <w:softHyphen/>
        <w:t>politiken med det ovan citerade från 2005.</w:t>
      </w:r>
    </w:p>
    <w:p w:rsidR="007422D7" w:rsidRPr="0097533D" w:rsidRDefault="007422D7">
      <w:pPr>
        <w:pStyle w:val="Rubrik3"/>
        <w:shd w:val="clear" w:color="000000" w:fill="auto"/>
      </w:pPr>
      <w:r w:rsidRPr="0097533D">
        <w:t>Ett miljömålsanknutet kunskapsutvecklingsprogram</w:t>
      </w:r>
    </w:p>
    <w:p w:rsidR="007422D7" w:rsidRPr="0097533D" w:rsidRDefault="007422D7">
      <w:pPr>
        <w:shd w:val="clear" w:color="000000" w:fill="auto"/>
      </w:pPr>
      <w:r w:rsidRPr="0097533D">
        <w:rPr>
          <w:spacing w:val="-2"/>
        </w:rPr>
        <w:t>Miljömålsrådet har utvecklat tre strategier för att nå de 16 miljökvalitets</w:t>
      </w:r>
      <w:r w:rsidRPr="0097533D">
        <w:rPr>
          <w:spacing w:val="-2"/>
        </w:rPr>
        <w:softHyphen/>
        <w:t>målen.</w:t>
      </w:r>
      <w:r w:rsidRPr="0097533D">
        <w:t xml:space="preserve"> Det finns kopplingar mellan flera av miljömålen, och åtgärder för att nå ett mål kan få konsekvenser för andra. Det är viktigt att ta vara på synergier för att nå målen på ett effektivt sätt. Hushållningsstrategin påverkar framför allt miljömålen Levande sjöar och vattendrag, Hav i balans samt levande kust och skärgård, Myllrande våtmarker, Levande skogar, Ett rikt odlingslandskap, Storslagen fjällmiljö, God bebyggd miljö samt Ett rikt växt- och djurliv, men berör flera andra mål. I den senaste förd</w:t>
      </w:r>
      <w:r w:rsidRPr="0097533D">
        <w:t>jupade utvärderingen, Nu är det brå</w:t>
      </w:r>
      <w:r w:rsidRPr="0097533D">
        <w:t>t</w:t>
      </w:r>
      <w:r w:rsidRPr="0097533D">
        <w:t>tom, framhåller rådet inom hushållningsstrategin åtgärder som rör planering, hänsyn, skydd och restaurering. Det finns vidare kopplingar mellan dessa. Rådet skriver att med förbättrad hänsyn till miljön och långsiktighet i plan</w:t>
      </w:r>
      <w:r w:rsidRPr="0097533D">
        <w:t>e</w:t>
      </w:r>
      <w:r w:rsidRPr="0097533D">
        <w:t>ringen kan kraven på skydd av natur- och kulturmiljöer i framtiden minska, liksom behoven av restaurerings</w:t>
      </w:r>
      <w:r w:rsidRPr="0097533D">
        <w:softHyphen/>
        <w:t xml:space="preserve">insatser. </w:t>
      </w:r>
    </w:p>
    <w:p w:rsidR="007422D7" w:rsidRPr="0097533D" w:rsidRDefault="007422D7">
      <w:pPr>
        <w:pStyle w:val="Normaltindrag"/>
        <w:shd w:val="clear" w:color="000000" w:fill="auto"/>
      </w:pPr>
      <w:r w:rsidRPr="0097533D">
        <w:t>Rådet konstaterar att många kommuner och länsstyrelser anses ha begrä</w:t>
      </w:r>
      <w:r w:rsidRPr="0097533D">
        <w:t>n</w:t>
      </w:r>
      <w:r w:rsidRPr="0097533D">
        <w:t>sade resurser och kompetens för att med kraft ägna sig åt att utveckla milj</w:t>
      </w:r>
      <w:r w:rsidRPr="0097533D">
        <w:t>ö</w:t>
      </w:r>
      <w:r w:rsidRPr="0097533D">
        <w:t>hänsynen i planeringen. Rådet har därför lagt ett förslag om ett särskilt ku</w:t>
      </w:r>
      <w:r w:rsidRPr="0097533D">
        <w:t>n</w:t>
      </w:r>
      <w:r w:rsidRPr="0097533D">
        <w:t>skapsutvecklingsprogram för att öka kompetensen om kopplingen mellan miljö- och planeringsfrågor hos politiker och hand</w:t>
      </w:r>
      <w:r w:rsidRPr="0097533D">
        <w:softHyphen/>
        <w:t>läggare i kommuner och på länsstyrelser. Programmet syftar även till att utveckla de ideella krafternas resurser i den kommunala planeringen och uppnå ökat medborgar</w:t>
      </w:r>
      <w:r w:rsidRPr="0097533D">
        <w:softHyphen/>
        <w:t xml:space="preserve">engagemang i de lokala miljöfrågorna. </w:t>
      </w:r>
    </w:p>
    <w:p w:rsidR="007422D7" w:rsidRPr="0097533D" w:rsidRDefault="007422D7">
      <w:pPr>
        <w:pStyle w:val="Normaltindrag"/>
        <w:shd w:val="clear" w:color="000000" w:fill="auto"/>
      </w:pPr>
      <w:r w:rsidRPr="0097533D">
        <w:t xml:space="preserve">De mål som regeringen anger inom </w:t>
      </w:r>
      <w:r w:rsidRPr="0097533D">
        <w:t>området hållbart samhällsbyggande saknar helt detta perspektiv. Regeringens mål blir inte heller trovärdiga efte</w:t>
      </w:r>
      <w:r w:rsidRPr="0097533D">
        <w:t>r</w:t>
      </w:r>
      <w:r w:rsidRPr="0097533D">
        <w:t>som det saknas andra verktyg för att arbeta mot målen. Exempelvis blir målet om en hållbar utveckling av städer, tätorter och landsbygden verkningslöst när man tvärtom beskurit möjligheterna att med planinstrument förhindra, ur ett klimatperspektiv, ogenomtänkta lösningar. När regeringen valde att göra tillväxt till ett överordnat mål i PBL (plan- och bygglagen) så försvann alla möjligheter att f</w:t>
      </w:r>
      <w:r w:rsidRPr="0097533D">
        <w:t>örhindra kortsiktigt tänkande vilket i praktiken innebär att samhällets sårbarhet ökar.</w:t>
      </w:r>
    </w:p>
    <w:p w:rsidR="007422D7" w:rsidRPr="0097533D" w:rsidRDefault="007422D7">
      <w:pPr>
        <w:pStyle w:val="Normaltindrag"/>
        <w:shd w:val="clear" w:color="000000" w:fill="auto"/>
        <w:rPr>
          <w:spacing w:val="-2"/>
        </w:rPr>
      </w:pPr>
      <w:r w:rsidRPr="0097533D">
        <w:t>Det förslag till ett miljömålsanknutet kunskapsutvecklingsprogram för f</w:t>
      </w:r>
      <w:r w:rsidRPr="0097533D">
        <w:t>y</w:t>
      </w:r>
      <w:r w:rsidRPr="0097533D">
        <w:rPr>
          <w:spacing w:val="-2"/>
        </w:rPr>
        <w:t>sisk planering som Miljöpartiet föreslår beräknas kosta ungefär 800 miljoner kronor över fyra år. I det ingår resurser till kommuner, länsstyrelser, m.fl. Vi menar att det är ett nödvändigt styrinstrument för att nå målen för en god byggd miljö. Miljöpartiet föreslår att ett sådant program genomförs, samt att Boverket ansvarar för genomförandet. Därför föreslår vi att ytterligare 200 miljoner kr</w:t>
      </w:r>
      <w:r w:rsidRPr="0097533D">
        <w:rPr>
          <w:spacing w:val="-2"/>
        </w:rPr>
        <w:t>o</w:t>
      </w:r>
      <w:r w:rsidRPr="0097533D">
        <w:rPr>
          <w:spacing w:val="-2"/>
        </w:rPr>
        <w:t>nor tillförs anslag 2:1.</w:t>
      </w:r>
    </w:p>
    <w:p w:rsidR="007422D7" w:rsidRPr="0097533D" w:rsidRDefault="007422D7">
      <w:pPr>
        <w:pStyle w:val="Rubrik3"/>
        <w:shd w:val="clear" w:color="000000" w:fill="auto"/>
      </w:pPr>
      <w:r w:rsidRPr="0097533D">
        <w:t>Bulleråtgärder</w:t>
      </w:r>
    </w:p>
    <w:p w:rsidR="007422D7" w:rsidRPr="0097533D" w:rsidRDefault="007422D7">
      <w:pPr>
        <w:shd w:val="clear" w:color="000000" w:fill="auto"/>
      </w:pPr>
      <w:r w:rsidRPr="0097533D">
        <w:t>Miljöpartiet föreslår också en särskild ökning av anslaget till Boverket med 10 miljoner kronor per år för att stärka arbetet med bullerfrågor. Målet är en minskning av bullret med 5 dBA utomhus vid bostadsmiljöer till 2020 i fö</w:t>
      </w:r>
      <w:r w:rsidRPr="0097533D">
        <w:t>r</w:t>
      </w:r>
      <w:r w:rsidRPr="0097533D">
        <w:t>hållande till 1998. Vägverket anser att det är svårt att nå målet vilket Milj</w:t>
      </w:r>
      <w:r w:rsidRPr="0097533D">
        <w:t>ö</w:t>
      </w:r>
      <w:r w:rsidRPr="0097533D">
        <w:t>partiet länge ansett. Åtgärder i den byggda miljön som minskar inslaget av bilism är nödvändigt. Trafiklösningar som gör kollektiva transporter till det självklara valet är en bra strategi inte bara ur bullersynpunkt utan det hjälper även till att klara andra mål som exempelvis klimatmålet. Bland de förslag som Miljömålsrådet föreslår är ett kompetenscentrum för bullerfrågor den enskilda åtgärd som vi menar kan ge största effekte</w:t>
      </w:r>
      <w:r w:rsidRPr="0097533D">
        <w:t>n. Boverket bör emellertid i sin verksamhet ges möjlighet att avgöra hur dessa medel bäst tjänar syftet att minska buller i den byggda miljön.</w:t>
      </w:r>
    </w:p>
    <w:p w:rsidR="007422D7" w:rsidRPr="0097533D" w:rsidRDefault="007422D7">
      <w:pPr>
        <w:pStyle w:val="Rubrik3"/>
        <w:shd w:val="clear" w:color="000000" w:fill="auto"/>
      </w:pPr>
      <w:r w:rsidRPr="0097533D">
        <w:t>Radonåtgärder</w:t>
      </w:r>
    </w:p>
    <w:p w:rsidR="007422D7" w:rsidRPr="0097533D" w:rsidRDefault="007422D7">
      <w:pPr>
        <w:shd w:val="clear" w:color="000000" w:fill="auto"/>
      </w:pPr>
      <w:r w:rsidRPr="0097533D">
        <w:t>Antalet småhus med en radonhalt överstigande 200 Bq/m</w:t>
      </w:r>
      <w:r w:rsidRPr="0097533D">
        <w:rPr>
          <w:vertAlign w:val="superscript"/>
        </w:rPr>
        <w:t>3</w:t>
      </w:r>
      <w:r w:rsidRPr="0097533D">
        <w:t xml:space="preserve"> har uppskattats till ca 280 000 stycken och antalet bostäder i flerbostadshus som har radonhalter över 200 Bq/m</w:t>
      </w:r>
      <w:r w:rsidRPr="0097533D">
        <w:rPr>
          <w:vertAlign w:val="superscript"/>
        </w:rPr>
        <w:t>3</w:t>
      </w:r>
      <w:r w:rsidRPr="0097533D">
        <w:t xml:space="preserve"> till 150 000. Beräkningar från SSI (nuvarande SSM, Strål</w:t>
      </w:r>
      <w:r w:rsidRPr="0097533D">
        <w:softHyphen/>
        <w:t>säkerhetsmyndigheten) har visat att 200 lungcancerfall per år förhindras om samtliga bostäder över det riktvärdet åtgärdas. Miljöpartiet menar att det finns all anledning att skynda på åtgärdsprogrammet. Vi föreslår en informations</w:t>
      </w:r>
      <w:r w:rsidRPr="0097533D">
        <w:softHyphen/>
        <w:t>kampanj för att öka kunskapen om riskerna och möjligheten till bidrag för åtgärder. Tidigare erfarenheter av</w:t>
      </w:r>
      <w:r w:rsidRPr="0097533D">
        <w:t xml:space="preserve"> liknande kampanjer har varit god. En fra</w:t>
      </w:r>
      <w:r w:rsidRPr="0097533D">
        <w:t>m</w:t>
      </w:r>
      <w:r w:rsidRPr="0097533D">
        <w:t>gångsrik kampanj leder till en ökad efterfrågan på bidrag varför anslaget till detta även bör ökas. Vårt förslag är att anslag 4.8.2 Bidrag till åtgärder mot radon i bostäder ökas med 5 miljoner kronor per år i tre år, 2009, 2010 och 2011.</w:t>
      </w:r>
    </w:p>
    <w:p w:rsidR="007422D7" w:rsidRPr="0097533D" w:rsidRDefault="007422D7">
      <w:pPr>
        <w:pStyle w:val="Normaltindrag"/>
        <w:shd w:val="clear" w:color="000000" w:fill="auto"/>
      </w:pPr>
      <w:r w:rsidRPr="0097533D">
        <w:t>Syftet är att 5 miljoner kronor ska användas till information och resterande anslag till att täcka den ökning av efterfrågat stöd som vi menar bör bli en konsekvens av informationskampanjen. Informationskampanjen bör läggas upp så</w:t>
      </w:r>
      <w:r w:rsidRPr="0097533D">
        <w:t xml:space="preserve"> att den har viss effekt även efter det att treårsperioden går ut. Troligen är det så att allteftersom åtgärder vidtas blir det de minst motiverade fasti</w:t>
      </w:r>
      <w:r w:rsidRPr="0097533D">
        <w:t>g</w:t>
      </w:r>
      <w:r w:rsidRPr="0097533D">
        <w:t>hetsägarna som återstår. Troligen måste man därför återkomma med en fö</w:t>
      </w:r>
      <w:r w:rsidRPr="0097533D">
        <w:t>r</w:t>
      </w:r>
      <w:r w:rsidRPr="0097533D">
        <w:t>nyad insatts längre fram om målet ska kunna nås. Miljöpartiet föreslår en ökad satsning på radonsanering som här har beskrivits.</w:t>
      </w:r>
    </w:p>
    <w:p w:rsidR="007422D7" w:rsidRPr="0097533D" w:rsidRDefault="007422D7">
      <w:pPr>
        <w:pStyle w:val="Rubrik3"/>
        <w:shd w:val="clear" w:color="000000" w:fill="auto"/>
      </w:pPr>
      <w:r w:rsidRPr="0097533D">
        <w:t>Fonden för fukt- och mögelskador</w:t>
      </w:r>
    </w:p>
    <w:p w:rsidR="007422D7" w:rsidRPr="0097533D" w:rsidRDefault="007422D7">
      <w:pPr>
        <w:shd w:val="clear" w:color="000000" w:fill="auto"/>
      </w:pPr>
      <w:r w:rsidRPr="0097533D">
        <w:t>Den borgerliga regeringen bestämde sig tidigt för att det inte längre fanns några problem med fukt- och mögelskador i vårt land. De gångna två åren har dock skandalerna med felkonstruerade hus och allvarliga fukt- och mögelsk</w:t>
      </w:r>
      <w:r w:rsidRPr="0097533D">
        <w:t>a</w:t>
      </w:r>
      <w:r w:rsidRPr="0097533D">
        <w:t>dor nästan stått på kö i medierna. Det ena området efter det andra runtom i landet har blivit känt. Människor som tidigare valt att inte prata om sina pr</w:t>
      </w:r>
      <w:r w:rsidRPr="0097533D">
        <w:t>o</w:t>
      </w:r>
      <w:r w:rsidRPr="0097533D">
        <w:t>blemhus av rädsla för att sparkapitalet ska bli värdelöst har nu allt oftare v</w:t>
      </w:r>
      <w:r w:rsidRPr="0097533D">
        <w:t>å</w:t>
      </w:r>
      <w:r w:rsidRPr="0097533D">
        <w:t>gat berätta om hur verkligheten ser ut. Att i det läget stå fast vid att avveckla fonden för fukt- och mögelskador är svårt att förstå. Miljöpartiet delar inte regeringens uppfattning när det gäller behovet. Regeringen bör ta upp en diskussion med byggnadsindustrin om en ny med</w:t>
      </w:r>
      <w:r w:rsidRPr="0097533D">
        <w:t>finansiering till fonden. För att ha utrymme för en sådan strategi krävs ett mindre statligt kapital och en organisation. Miljöpartiet anvisar i sitt budgetförslag 10 miljoner kronor år</w:t>
      </w:r>
      <w:r w:rsidRPr="0097533D">
        <w:softHyphen/>
        <w:t>ligen för detta ändamål.</w:t>
      </w:r>
    </w:p>
    <w:p w:rsidR="007422D7" w:rsidRPr="0097533D" w:rsidRDefault="007422D7">
      <w:pPr>
        <w:pStyle w:val="Rubrik2"/>
        <w:shd w:val="clear" w:color="000000" w:fill="auto"/>
      </w:pPr>
      <w:r w:rsidRPr="0097533D">
        <w:t>Konsumentpolitikens område</w:t>
      </w:r>
    </w:p>
    <w:p w:rsidR="007422D7" w:rsidRPr="0097533D" w:rsidRDefault="007422D7">
      <w:pPr>
        <w:pStyle w:val="Rubrik3"/>
        <w:shd w:val="clear" w:color="000000" w:fill="auto"/>
        <w:spacing w:before="120"/>
      </w:pPr>
      <w:r w:rsidRPr="0097533D">
        <w:t>Konsumentpolitiskt mål</w:t>
      </w:r>
    </w:p>
    <w:p w:rsidR="007422D7" w:rsidRPr="0097533D" w:rsidRDefault="007422D7">
      <w:pPr>
        <w:shd w:val="clear" w:color="000000" w:fill="auto"/>
      </w:pPr>
      <w:r w:rsidRPr="0097533D">
        <w:t>Trots den skarpa kritik regeringen fått för avsaknad av konsumentpolitiska ambitioner så utvecklar man inget mål för konsumentområdet. Den formul</w:t>
      </w:r>
      <w:r w:rsidRPr="0097533D">
        <w:t>e</w:t>
      </w:r>
      <w:r w:rsidRPr="0097533D">
        <w:t>ring man använder i budgeten som så kallat mål är enbart ett falskt konstat</w:t>
      </w:r>
      <w:r w:rsidRPr="0097533D">
        <w:t>e</w:t>
      </w:r>
      <w:r w:rsidRPr="0097533D">
        <w:t>rande. Man har som mål: Konsumenterna har makt och möjlighet att göra aktiva val. Vilket många konsumenter kan konstatera att de inte har. Vilken värld lever regeringen i kan man fråga sig. Mest anmärkningsvärt är kanske ändå att regeringen vidhåller att målen på konsument</w:t>
      </w:r>
      <w:r w:rsidRPr="0097533D">
        <w:softHyphen/>
        <w:t>området inte på något vis ska stödja hållbara konsumtionsmönster. Regeringens tal om en aktiv klimat- och miljöpolitik blir i ljuset av detta beklämmande urvattn</w:t>
      </w:r>
      <w:r w:rsidRPr="0097533D">
        <w:t>ad.</w:t>
      </w:r>
    </w:p>
    <w:p w:rsidR="007422D7" w:rsidRPr="0097533D" w:rsidRDefault="007422D7">
      <w:pPr>
        <w:pStyle w:val="Normaltindrag"/>
        <w:shd w:val="clear" w:color="000000" w:fill="auto"/>
      </w:pPr>
      <w:r w:rsidRPr="0097533D">
        <w:t>Målet för en ambitiös konsumentpolitik måste självfallet vara att ge ko</w:t>
      </w:r>
      <w:r w:rsidRPr="0097533D">
        <w:t>n</w:t>
      </w:r>
      <w:r w:rsidRPr="0097533D">
        <w:t>sumenterna ökat inflytande över hur konsumentrollen utvecklas, ett starkt skydd och inte minst en verklig möjlighet att göra de egna medvetna och självständiga valen. Att stödja hållbara konsumtionsmönster måste självklart även det ingå i en modern konsumentpolitik. Miljöpartiet avslår därför rege</w:t>
      </w:r>
      <w:r w:rsidRPr="0097533D">
        <w:t>r</w:t>
      </w:r>
      <w:r w:rsidRPr="0097533D">
        <w:t>ingens förslag till mål för konsumentpolitiken.</w:t>
      </w:r>
    </w:p>
    <w:p w:rsidR="007422D7" w:rsidRPr="0097533D" w:rsidRDefault="007422D7">
      <w:pPr>
        <w:pStyle w:val="Rubrik2"/>
        <w:shd w:val="clear" w:color="000000" w:fill="auto"/>
      </w:pPr>
      <w:r w:rsidRPr="0097533D">
        <w:t>Förstärkningar på konsumentområdet</w:t>
      </w:r>
    </w:p>
    <w:p w:rsidR="007422D7" w:rsidRPr="0097533D" w:rsidRDefault="007422D7">
      <w:pPr>
        <w:pStyle w:val="Rubrik3"/>
        <w:shd w:val="clear" w:color="000000" w:fill="auto"/>
        <w:spacing w:before="120"/>
      </w:pPr>
      <w:r w:rsidRPr="0097533D">
        <w:t>Produktkontrollverksamhet</w:t>
      </w:r>
    </w:p>
    <w:p w:rsidR="007422D7" w:rsidRPr="0097533D" w:rsidRDefault="007422D7">
      <w:pPr>
        <w:shd w:val="clear" w:color="000000" w:fill="auto"/>
      </w:pPr>
      <w:r w:rsidRPr="0097533D">
        <w:t>Sverige ligger långt efter de länder i EU som vi vill jämföra oss med när det gäller kontroll av säkerhet hos varor. I Sverige har Konsumentverket 10 pe</w:t>
      </w:r>
      <w:r w:rsidRPr="0097533D">
        <w:t>r</w:t>
      </w:r>
      <w:r w:rsidRPr="0097533D">
        <w:t>soner anställda för sådan verksamhet. Om vi skulle ha samma ambitionsnivå som man exempelvis har i Frankrike så skulle det vara ungefär 600 personer spridda över landet som arbetade med den saken. Den satsning Miljöpartiet vill göra på detta område skulle innebära att vi hamnar ungefär på en nivå av en sjättedel av den franska ambitionen. Vi menar att svenska kons</w:t>
      </w:r>
      <w:r w:rsidRPr="0097533D">
        <w:t>u</w:t>
      </w:r>
      <w:r w:rsidRPr="0097533D">
        <w:t>menter måste kunna ha samma säkerhet som andra konsumenter inom EU.</w:t>
      </w:r>
    </w:p>
    <w:p w:rsidR="007422D7" w:rsidRPr="0097533D" w:rsidRDefault="007422D7">
      <w:pPr>
        <w:pStyle w:val="Normaltindrag"/>
        <w:shd w:val="clear" w:color="000000" w:fill="auto"/>
        <w:rPr>
          <w:color w:val="000000"/>
        </w:rPr>
      </w:pPr>
      <w:r w:rsidRPr="0097533D">
        <w:t>Med den ökande handeln med varor och tjänster i världen idag, där antalet va</w:t>
      </w:r>
      <w:r w:rsidRPr="0097533D">
        <w:t>ror som står till buds blir fler och fler, så ställs högre krav på produktko</w:t>
      </w:r>
      <w:r w:rsidRPr="0097533D">
        <w:t>n</w:t>
      </w:r>
      <w:r w:rsidRPr="0097533D">
        <w:t>troller. Det är viktigt för att inte förbjudna och farliga varor ska nå konsume</w:t>
      </w:r>
      <w:r w:rsidRPr="0097533D">
        <w:t>n</w:t>
      </w:r>
      <w:r w:rsidRPr="0097533D">
        <w:t xml:space="preserve">terna. Men Konsumentverket har idag inga möjligheter att kontrollera hela marknaden som man gör i andra länder. Det gör Sveriges konsumenter mer sårbara än andra. </w:t>
      </w:r>
      <w:r w:rsidRPr="0097533D">
        <w:rPr>
          <w:color w:val="000000"/>
        </w:rPr>
        <w:t>En kontroll</w:t>
      </w:r>
      <w:r w:rsidRPr="0097533D">
        <w:rPr>
          <w:color w:val="000000"/>
        </w:rPr>
        <w:softHyphen/>
        <w:t>inspektion inom Konsumentverket med tillräc</w:t>
      </w:r>
      <w:r w:rsidRPr="0097533D">
        <w:rPr>
          <w:color w:val="000000"/>
        </w:rPr>
        <w:t>k</w:t>
      </w:r>
      <w:r w:rsidRPr="0097533D">
        <w:rPr>
          <w:color w:val="000000"/>
        </w:rPr>
        <w:t>liga resurser skulle kunna ändra på detta. För det ändamålet anvisar Miljöpa</w:t>
      </w:r>
      <w:r w:rsidRPr="0097533D">
        <w:rPr>
          <w:color w:val="000000"/>
        </w:rPr>
        <w:t>r</w:t>
      </w:r>
      <w:r w:rsidRPr="0097533D">
        <w:rPr>
          <w:color w:val="000000"/>
        </w:rPr>
        <w:t>tiet ett ökat anslag till Konsumentverket på 55 miljoner kr</w:t>
      </w:r>
      <w:r w:rsidRPr="0097533D">
        <w:rPr>
          <w:color w:val="000000"/>
        </w:rPr>
        <w:t>onor per år.</w:t>
      </w:r>
    </w:p>
    <w:p w:rsidR="007422D7" w:rsidRPr="0097533D" w:rsidRDefault="007422D7">
      <w:pPr>
        <w:pStyle w:val="Rubrik3"/>
        <w:shd w:val="clear" w:color="000000" w:fill="auto"/>
      </w:pPr>
      <w:r w:rsidRPr="0097533D">
        <w:t>Ökning av fria resurser</w:t>
      </w:r>
    </w:p>
    <w:p w:rsidR="007422D7" w:rsidRPr="0097533D" w:rsidRDefault="007422D7">
      <w:pPr>
        <w:shd w:val="clear" w:color="000000" w:fill="auto"/>
      </w:pPr>
      <w:r w:rsidRPr="0097533D">
        <w:t>Det blir allt mer komplicerat att vara konsument vilket gör att Konsumentve</w:t>
      </w:r>
      <w:r w:rsidRPr="0097533D">
        <w:t>r</w:t>
      </w:r>
      <w:r w:rsidRPr="0097533D">
        <w:t>ket är en allt viktigare stödresurs för konsumenterna. Behovet av att granska utbudssidan och att utveckla pedagogiska material för att stödja kunden ökar ständigt. Verkets anslag bör därför ökas med minst 10 miljoner kronor. Detta kan motiveras bland annat mot bakgrund av att regeringen föreslår förändrade mål inom såväl bostadspolitiken som konsumentpolitiken där det görs tydligt att konsumenterna i allt större utsträckning lämnas utan skyddsnät på en allt mindre styrd marknad. Likaså är det snabbt ökand</w:t>
      </w:r>
      <w:r w:rsidRPr="0097533D">
        <w:t>e samarbetet på kons</w:t>
      </w:r>
      <w:r w:rsidRPr="0097533D">
        <w:t>u</w:t>
      </w:r>
      <w:r w:rsidRPr="0097533D">
        <w:t>mentområdet inom EU en verksamhet som kräver allt mer resurser från Ko</w:t>
      </w:r>
      <w:r w:rsidRPr="0097533D">
        <w:t>n</w:t>
      </w:r>
      <w:r w:rsidRPr="0097533D">
        <w:t>sumentverket.</w:t>
      </w:r>
    </w:p>
    <w:p w:rsidR="007422D7" w:rsidRPr="0097533D" w:rsidRDefault="007422D7">
      <w:pPr>
        <w:pStyle w:val="Rubrik3"/>
        <w:shd w:val="clear" w:color="000000" w:fill="auto"/>
      </w:pPr>
      <w:r w:rsidRPr="0097533D">
        <w:t>Material och utbildning till kommunala konsumentrådgivare</w:t>
      </w:r>
    </w:p>
    <w:p w:rsidR="007422D7" w:rsidRPr="0097533D" w:rsidRDefault="007422D7">
      <w:pPr>
        <w:shd w:val="clear" w:color="000000" w:fill="auto"/>
      </w:pPr>
      <w:r w:rsidRPr="0097533D">
        <w:t>Riksdagen bör även lämna ett riktat anslag till Konsumentverket på 2 milj</w:t>
      </w:r>
      <w:r w:rsidRPr="0097533D">
        <w:t>o</w:t>
      </w:r>
      <w:r w:rsidRPr="0097533D">
        <w:t>ner kronor per år de kommande tre åren för att verket ska kunna öka stödet till och utbildningen av de kommunala konsumentrådgivarna i samma omfat</w:t>
      </w:r>
      <w:r w:rsidRPr="0097533D">
        <w:t>t</w:t>
      </w:r>
      <w:r w:rsidRPr="0097533D">
        <w:t xml:space="preserve">ning. </w:t>
      </w:r>
    </w:p>
    <w:p w:rsidR="007422D7" w:rsidRPr="0097533D" w:rsidRDefault="007422D7">
      <w:pPr>
        <w:pStyle w:val="Rubrik3"/>
        <w:shd w:val="clear" w:color="000000" w:fill="auto"/>
      </w:pPr>
      <w:r w:rsidRPr="0097533D">
        <w:t>Informationsspridning m.m.</w:t>
      </w:r>
    </w:p>
    <w:p w:rsidR="007422D7" w:rsidRPr="0097533D" w:rsidRDefault="007422D7">
      <w:pPr>
        <w:shd w:val="clear" w:color="000000" w:fill="auto"/>
      </w:pPr>
      <w:r w:rsidRPr="0097533D">
        <w:t>Anslaget för information bör även utökas med 5 miljoner kronor för att i någon mån kunna möta bland annat den snabbt växande marknadsföringen från utländska spelbolag i Sverige och ökningen av marknadsföring till fö</w:t>
      </w:r>
      <w:r w:rsidRPr="0097533D">
        <w:t>r</w:t>
      </w:r>
      <w:r w:rsidRPr="0097533D">
        <w:t>mån för nätförsäljning av alkohol. Snabba lån för impulskonsumtion är även det ett område som vuxit och motiverar att verket får ökade möjligheter att informera om riskerna.</w:t>
      </w:r>
    </w:p>
    <w:p w:rsidR="007422D7" w:rsidRPr="0097533D" w:rsidRDefault="007422D7">
      <w:pPr>
        <w:pStyle w:val="Rubrik3"/>
        <w:shd w:val="clear" w:color="000000" w:fill="auto"/>
      </w:pPr>
      <w:r w:rsidRPr="0097533D">
        <w:t>Bidrag till organisationer för konsumentprojekt</w:t>
      </w:r>
    </w:p>
    <w:p w:rsidR="007422D7" w:rsidRPr="0097533D" w:rsidRDefault="007422D7">
      <w:pPr>
        <w:shd w:val="clear" w:color="000000" w:fill="auto"/>
      </w:pPr>
      <w:r w:rsidRPr="0097533D">
        <w:t>Regeringen föreslår ingen fortsättning på riktade medel för stöd åt organis</w:t>
      </w:r>
      <w:r w:rsidRPr="0097533D">
        <w:t>a</w:t>
      </w:r>
      <w:r w:rsidRPr="0097533D">
        <w:t>tioner för kampanjarbeten och projektverksamhet vilket är allvarligt. Vi m</w:t>
      </w:r>
      <w:r w:rsidRPr="0097533D">
        <w:t>e</w:t>
      </w:r>
      <w:r w:rsidRPr="0097533D">
        <w:t>nar att 3 miljoner kronor riktat till detta ändamål varje år är ett minimum för att stödja konsumenter i den alltmer svåröverskådliga djungeln av regler och villkor som växer fram.</w:t>
      </w:r>
    </w:p>
    <w:p w:rsidR="007422D7" w:rsidRPr="0097533D" w:rsidRDefault="007422D7">
      <w:pPr>
        <w:pStyle w:val="Normaltindrag"/>
        <w:shd w:val="clear" w:color="000000" w:fill="auto"/>
      </w:pPr>
      <w:r w:rsidRPr="0097533D">
        <w:t>Detta innebär sammantaget 75 miljoner kronor per år i förstärkning av a</w:t>
      </w:r>
      <w:r w:rsidRPr="0097533D">
        <w:t>n</w:t>
      </w:r>
      <w:r w:rsidRPr="0097533D">
        <w:t xml:space="preserve">slag 40:2 för ökade satsningar på att stödja konsumenterna.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533D">
        <w:trPr>
          <w:cantSplit/>
        </w:trPr>
        <w:tc>
          <w:tcPr>
            <w:tcW w:w="3046" w:type="dxa"/>
          </w:tcPr>
          <w:p w:rsidR="007422D7" w:rsidRPr="0097533D" w:rsidRDefault="007422D7">
            <w:pPr>
              <w:pStyle w:val="UnderskriftDatum"/>
              <w:shd w:val="clear" w:color="000000" w:fill="auto"/>
              <w:spacing w:before="240"/>
            </w:pPr>
            <w:r w:rsidRPr="0097533D">
              <w:t>Stockholm den 7 oktober 2008</w:t>
            </w:r>
          </w:p>
        </w:tc>
        <w:tc>
          <w:tcPr>
            <w:tcW w:w="3047" w:type="dxa"/>
          </w:tcPr>
          <w:p w:rsidR="007422D7" w:rsidRPr="0097533D" w:rsidRDefault="007422D7">
            <w:pPr>
              <w:pStyle w:val="Underskrifter"/>
              <w:shd w:val="clear" w:color="000000" w:fill="auto"/>
              <w:spacing w:before="240"/>
            </w:pPr>
          </w:p>
        </w:tc>
      </w:tr>
      <w:tr w:rsidR="00000000" w:rsidRPr="0097533D">
        <w:trPr>
          <w:cantSplit/>
        </w:trPr>
        <w:tc>
          <w:tcPr>
            <w:tcW w:w="3046" w:type="dxa"/>
          </w:tcPr>
          <w:p w:rsidR="007422D7" w:rsidRPr="0097533D" w:rsidRDefault="007422D7">
            <w:pPr>
              <w:pStyle w:val="Underskrifter"/>
              <w:shd w:val="clear" w:color="000000" w:fill="auto"/>
            </w:pPr>
            <w:r w:rsidRPr="0097533D">
              <w:t>Jan Lindholm (mp)</w:t>
            </w:r>
          </w:p>
        </w:tc>
        <w:tc>
          <w:tcPr>
            <w:tcW w:w="3046" w:type="dxa"/>
          </w:tcPr>
          <w:p w:rsidR="007422D7" w:rsidRPr="0097533D" w:rsidRDefault="007422D7">
            <w:pPr>
              <w:pStyle w:val="Underskrifter"/>
              <w:shd w:val="clear" w:color="000000" w:fill="auto"/>
            </w:pPr>
          </w:p>
        </w:tc>
      </w:tr>
      <w:tr w:rsidR="00000000" w:rsidRPr="0097533D">
        <w:trPr>
          <w:cantSplit/>
        </w:trPr>
        <w:tc>
          <w:tcPr>
            <w:tcW w:w="3046" w:type="dxa"/>
          </w:tcPr>
          <w:p w:rsidR="007422D7" w:rsidRPr="0097533D" w:rsidRDefault="007422D7">
            <w:pPr>
              <w:pStyle w:val="Underskrifter"/>
              <w:shd w:val="clear" w:color="000000" w:fill="auto"/>
            </w:pPr>
            <w:r w:rsidRPr="0097533D">
              <w:t>Ulf Holm (mp)</w:t>
            </w:r>
          </w:p>
        </w:tc>
        <w:tc>
          <w:tcPr>
            <w:tcW w:w="3046" w:type="dxa"/>
          </w:tcPr>
          <w:p w:rsidR="007422D7" w:rsidRPr="0097533D" w:rsidRDefault="007422D7">
            <w:pPr>
              <w:pStyle w:val="Underskrifter"/>
              <w:shd w:val="clear" w:color="000000" w:fill="auto"/>
            </w:pPr>
            <w:r w:rsidRPr="0097533D">
              <w:t>Christopher Ödmann (mp)</w:t>
            </w:r>
          </w:p>
        </w:tc>
      </w:tr>
    </w:tbl>
    <w:p w:rsidR="007422D7" w:rsidRPr="0097533D" w:rsidRDefault="007422D7">
      <w:pPr>
        <w:pStyle w:val="Normaltindrag"/>
        <w:shd w:val="clear" w:color="000000" w:fill="auto"/>
      </w:pPr>
    </w:p>
    <w:sectPr w:rsidR="007422D7" w:rsidRPr="009753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2D7" w:rsidRPr="0097533D" w:rsidRDefault="007422D7">
      <w:r w:rsidRPr="0097533D">
        <w:separator/>
      </w:r>
    </w:p>
  </w:endnote>
  <w:endnote w:type="continuationSeparator" w:id="0">
    <w:p w:rsidR="007422D7" w:rsidRPr="0097533D" w:rsidRDefault="007422D7">
      <w:r w:rsidRPr="009753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2D7" w:rsidRPr="0097533D" w:rsidRDefault="0097533D">
    <w:pPr>
      <w:pStyle w:val="Sidfot"/>
    </w:pPr>
    <w:r w:rsidRPr="009753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80678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D7" w:rsidRDefault="007422D7">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22D7" w:rsidRDefault="007422D7">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2D7" w:rsidRPr="0097533D" w:rsidRDefault="0097533D">
    <w:pPr>
      <w:pStyle w:val="Sidfot"/>
    </w:pPr>
    <w:r w:rsidRPr="009753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940530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D7" w:rsidRDefault="007422D7">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22D7" w:rsidRDefault="007422D7">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2D7" w:rsidRPr="0097533D" w:rsidRDefault="0097533D">
    <w:pPr>
      <w:pStyle w:val="Sidfot"/>
    </w:pPr>
    <w:r w:rsidRPr="009753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693648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D7" w:rsidRDefault="007422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22D7" w:rsidRDefault="007422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2D7" w:rsidRPr="0097533D" w:rsidRDefault="007422D7">
      <w:r w:rsidRPr="0097533D">
        <w:separator/>
      </w:r>
    </w:p>
  </w:footnote>
  <w:footnote w:type="continuationSeparator" w:id="0">
    <w:p w:rsidR="007422D7" w:rsidRPr="0097533D" w:rsidRDefault="007422D7">
      <w:r w:rsidRPr="009753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2D7" w:rsidRPr="0097533D" w:rsidRDefault="0097533D">
    <w:pPr>
      <w:pStyle w:val="Sidhuvud"/>
    </w:pPr>
    <w:r w:rsidRPr="009753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390624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D7" w:rsidRDefault="007422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22D7" w:rsidRDefault="007422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2D7" w:rsidRPr="0097533D" w:rsidRDefault="0097533D">
    <w:pPr>
      <w:pStyle w:val="Sidhuvud"/>
    </w:pPr>
    <w:r w:rsidRPr="009753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898325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2D7" w:rsidRDefault="007422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22D7" w:rsidRDefault="007422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2D7" w:rsidRPr="0097533D" w:rsidRDefault="007422D7">
    <w:pPr>
      <w:pStyle w:val="FSHNormal"/>
      <w:tabs>
        <w:tab w:val="right" w:pos="5840"/>
      </w:tabs>
    </w:pPr>
    <w:r w:rsidRPr="0097533D">
      <w:br/>
    </w:r>
    <w:r w:rsidRPr="0097533D">
      <w:fldChar w:fldCharType="begin" w:fldLock="1"/>
    </w:r>
    <w:r w:rsidRPr="0097533D">
      <w:instrText xml:space="preserve"> DOCPROPERTY</w:instrText>
    </w:r>
    <w:r w:rsidRPr="0097533D">
      <w:rPr>
        <w:sz w:val="18"/>
      </w:rPr>
      <w:instrText xml:space="preserve"> "YearUser" *\charformat </w:instrText>
    </w:r>
    <w:r w:rsidRPr="0097533D">
      <w:fldChar w:fldCharType="separate"/>
    </w:r>
    <w:r w:rsidRPr="0097533D">
      <w:t>2008/09</w:t>
    </w:r>
    <w:r w:rsidRPr="0097533D">
      <w:fldChar w:fldCharType="end"/>
    </w:r>
    <w:r w:rsidRPr="0097533D">
      <w:t xml:space="preserve"> </w:t>
    </w:r>
    <w:r w:rsidRPr="0097533D">
      <w:tab/>
      <w:t xml:space="preserve">mnr: </w:t>
    </w:r>
    <w:r w:rsidRPr="0097533D">
      <w:fldChar w:fldCharType="begin" w:fldLock="1"/>
    </w:r>
    <w:r w:rsidRPr="0097533D">
      <w:instrText xml:space="preserve"> DOCPROPERTY</w:instrText>
    </w:r>
    <w:r w:rsidRPr="0097533D">
      <w:rPr>
        <w:sz w:val="18"/>
      </w:rPr>
      <w:instrText xml:space="preserve"> "Motionsnummer" *\charformat </w:instrText>
    </w:r>
    <w:r w:rsidRPr="0097533D">
      <w:fldChar w:fldCharType="separate"/>
    </w:r>
    <w:r w:rsidRPr="0097533D">
      <w:t>C453</w:t>
    </w:r>
    <w:r w:rsidRPr="0097533D">
      <w:fldChar w:fldCharType="end"/>
    </w:r>
    <w:r w:rsidRPr="0097533D">
      <w:br/>
    </w:r>
    <w:r w:rsidRPr="0097533D">
      <w:fldChar w:fldCharType="begin" w:fldLock="1"/>
    </w:r>
    <w:r w:rsidRPr="0097533D">
      <w:instrText xml:space="preserve"> DOCPROPERTY</w:instrText>
    </w:r>
    <w:r w:rsidRPr="0097533D">
      <w:rPr>
        <w:sz w:val="18"/>
      </w:rPr>
      <w:instrText xml:space="preserve"> "Samling" *\charformat </w:instrText>
    </w:r>
    <w:r w:rsidRPr="0097533D">
      <w:fldChar w:fldCharType="end"/>
    </w:r>
    <w:r w:rsidRPr="0097533D">
      <w:tab/>
      <w:t xml:space="preserve">pnr: </w:t>
    </w:r>
    <w:r w:rsidRPr="0097533D">
      <w:fldChar w:fldCharType="begin" w:fldLock="1"/>
    </w:r>
    <w:r w:rsidRPr="0097533D">
      <w:instrText xml:space="preserve"> DOCPROPERTY</w:instrText>
    </w:r>
    <w:r w:rsidRPr="0097533D">
      <w:rPr>
        <w:sz w:val="18"/>
      </w:rPr>
      <w:instrText xml:space="preserve"> "Partinummer" *\charformat </w:instrText>
    </w:r>
    <w:r w:rsidRPr="0097533D">
      <w:fldChar w:fldCharType="separate"/>
    </w:r>
    <w:r w:rsidRPr="0097533D">
      <w:t>mp703</w:t>
    </w:r>
    <w:r w:rsidRPr="0097533D">
      <w:fldChar w:fldCharType="end"/>
    </w:r>
  </w:p>
  <w:p w:rsidR="007422D7" w:rsidRPr="0097533D" w:rsidRDefault="007422D7">
    <w:pPr>
      <w:pStyle w:val="FSHRub1"/>
    </w:pPr>
    <w:r w:rsidRPr="0097533D">
      <w:t>Motion till riksdagen</w:t>
    </w:r>
    <w:r w:rsidRPr="0097533D">
      <w:br/>
    </w:r>
    <w:r w:rsidRPr="0097533D">
      <w:fldChar w:fldCharType="begin" w:fldLock="1"/>
    </w:r>
    <w:r w:rsidRPr="0097533D">
      <w:instrText xml:space="preserve"> DOCPROPERTY "YearUser" *\charformat </w:instrText>
    </w:r>
    <w:r w:rsidRPr="0097533D">
      <w:fldChar w:fldCharType="separate"/>
    </w:r>
    <w:r w:rsidRPr="0097533D">
      <w:t>2008/09</w:t>
    </w:r>
    <w:r w:rsidRPr="0097533D">
      <w:fldChar w:fldCharType="end"/>
    </w:r>
    <w:r w:rsidRPr="0097533D">
      <w:t>:</w:t>
    </w:r>
    <w:r w:rsidRPr="0097533D">
      <w:fldChar w:fldCharType="begin" w:fldLock="1"/>
    </w:r>
    <w:r w:rsidRPr="0097533D">
      <w:instrText xml:space="preserve"> DOCPROPERTY "Motionsnummer" *\charformat </w:instrText>
    </w:r>
    <w:r w:rsidRPr="0097533D">
      <w:fldChar w:fldCharType="separate"/>
    </w:r>
    <w:r w:rsidRPr="0097533D">
      <w:t>C453</w:t>
    </w:r>
    <w:r w:rsidRPr="0097533D">
      <w:fldChar w:fldCharType="end"/>
    </w:r>
  </w:p>
  <w:p w:rsidR="007422D7" w:rsidRPr="0097533D" w:rsidRDefault="007422D7">
    <w:pPr>
      <w:pStyle w:val="FSHNormalS5"/>
    </w:pPr>
    <w:r w:rsidRPr="0097533D">
      <w:fldChar w:fldCharType="begin" w:fldLock="1"/>
    </w:r>
    <w:r w:rsidRPr="0097533D">
      <w:instrText xml:space="preserve"> DOCPROPERTY "MotionarText" *\charformat </w:instrText>
    </w:r>
    <w:r w:rsidRPr="0097533D">
      <w:fldChar w:fldCharType="separate"/>
    </w:r>
    <w:r w:rsidRPr="0097533D">
      <w:t>av Jan Lindholm m.fl. (mp)</w:t>
    </w:r>
    <w:r w:rsidRPr="0097533D">
      <w:fldChar w:fldCharType="end"/>
    </w:r>
    <w:r w:rsidRPr="0097533D">
      <w:br/>
    </w:r>
    <w:r w:rsidRPr="0097533D">
      <w:fldChar w:fldCharType="begin" w:fldLock="1"/>
    </w:r>
    <w:r w:rsidRPr="0097533D">
      <w:instrText xml:space="preserve"> DOCPROPERTY "SvarFrasKort" *\charformat </w:instrText>
    </w:r>
    <w:r w:rsidRPr="0097533D">
      <w:fldChar w:fldCharType="end"/>
    </w:r>
  </w:p>
  <w:p w:rsidR="007422D7" w:rsidRPr="0097533D" w:rsidRDefault="007422D7">
    <w:pPr>
      <w:pStyle w:val="FSHTitel"/>
    </w:pPr>
    <w:r w:rsidRPr="0097533D">
      <w:fldChar w:fldCharType="begin" w:fldLock="1"/>
    </w:r>
    <w:r w:rsidRPr="0097533D">
      <w:instrText xml:space="preserve"> DOCPROPERTY</w:instrText>
    </w:r>
    <w:r w:rsidRPr="0097533D">
      <w:rPr>
        <w:sz w:val="18"/>
      </w:rPr>
      <w:instrText xml:space="preserve"> "RubrikSvar" *\charformat </w:instrText>
    </w:r>
    <w:r w:rsidRPr="0097533D">
      <w:fldChar w:fldCharType="separate"/>
    </w:r>
    <w:r w:rsidRPr="0097533D">
      <w:t>Utgiftsområde 18 Samhällsplanering, bostadsförsörjning och byggande samt konsumentpolitik</w:t>
    </w:r>
    <w:r w:rsidRPr="0097533D">
      <w:fldChar w:fldCharType="end"/>
    </w:r>
  </w:p>
  <w:p w:rsidR="007422D7" w:rsidRPr="0097533D" w:rsidRDefault="007422D7">
    <w:pPr>
      <w:pStyle w:val="Normal00"/>
    </w:pPr>
  </w:p>
  <w:p w:rsidR="007422D7" w:rsidRPr="0097533D" w:rsidRDefault="007422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45D3"/>
    <w:multiLevelType w:val="hybridMultilevel"/>
    <w:tmpl w:val="051666D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A594A0C"/>
    <w:multiLevelType w:val="multilevel"/>
    <w:tmpl w:val="59FC6E6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B617413"/>
    <w:multiLevelType w:val="hybridMultilevel"/>
    <w:tmpl w:val="8320C7B6"/>
    <w:lvl w:ilvl="0" w:tplc="64E63E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BFE4F93"/>
    <w:multiLevelType w:val="hybridMultilevel"/>
    <w:tmpl w:val="CB423342"/>
    <w:lvl w:ilvl="0" w:tplc="D6040A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9456893">
    <w:abstractNumId w:val="8"/>
  </w:num>
  <w:num w:numId="2" w16cid:durableId="2057001815">
    <w:abstractNumId w:val="9"/>
  </w:num>
  <w:num w:numId="3" w16cid:durableId="1738043895">
    <w:abstractNumId w:val="8"/>
  </w:num>
  <w:num w:numId="4" w16cid:durableId="1460492875">
    <w:abstractNumId w:val="9"/>
  </w:num>
  <w:num w:numId="5" w16cid:durableId="999699116">
    <w:abstractNumId w:val="16"/>
  </w:num>
  <w:num w:numId="6" w16cid:durableId="710616180">
    <w:abstractNumId w:val="11"/>
  </w:num>
  <w:num w:numId="7" w16cid:durableId="609972821">
    <w:abstractNumId w:val="12"/>
  </w:num>
  <w:num w:numId="8" w16cid:durableId="120267196">
    <w:abstractNumId w:val="15"/>
  </w:num>
  <w:num w:numId="9" w16cid:durableId="1802191817">
    <w:abstractNumId w:val="8"/>
  </w:num>
  <w:num w:numId="10" w16cid:durableId="874848964">
    <w:abstractNumId w:val="3"/>
  </w:num>
  <w:num w:numId="11" w16cid:durableId="2094889008">
    <w:abstractNumId w:val="2"/>
  </w:num>
  <w:num w:numId="12" w16cid:durableId="746731595">
    <w:abstractNumId w:val="1"/>
  </w:num>
  <w:num w:numId="13" w16cid:durableId="1599944798">
    <w:abstractNumId w:val="0"/>
  </w:num>
  <w:num w:numId="14" w16cid:durableId="673528649">
    <w:abstractNumId w:val="9"/>
  </w:num>
  <w:num w:numId="15" w16cid:durableId="602225403">
    <w:abstractNumId w:val="7"/>
  </w:num>
  <w:num w:numId="16" w16cid:durableId="2124034980">
    <w:abstractNumId w:val="6"/>
  </w:num>
  <w:num w:numId="17" w16cid:durableId="1527908450">
    <w:abstractNumId w:val="5"/>
  </w:num>
  <w:num w:numId="18" w16cid:durableId="1157066935">
    <w:abstractNumId w:val="4"/>
  </w:num>
  <w:num w:numId="19" w16cid:durableId="1607348628">
    <w:abstractNumId w:val="10"/>
  </w:num>
  <w:num w:numId="20" w16cid:durableId="1158035980">
    <w:abstractNumId w:val="14"/>
  </w:num>
  <w:num w:numId="21" w16cid:durableId="721558605">
    <w:abstractNumId w:val="13"/>
  </w:num>
  <w:num w:numId="22" w16cid:durableId="17177024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C87839E7-C05D-47B9-AB7F-246B82B1F61B},{DA08321F-F0BC-4060-A586-E39C9BA97177},{5A165EE7-E029-4B68-908C-9B423A53C354}"/>
  </w:docVars>
  <w:rsids>
    <w:rsidRoot w:val="00D51B31"/>
    <w:rsid w:val="007422D7"/>
    <w:rsid w:val="0097533D"/>
    <w:rsid w:val="00D51B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6BE34D-3F68-49A2-BC08-5C8EF0A9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2347</Words>
  <Characters>13617</Characters>
  <Application>Microsoft Office Word</Application>
  <DocSecurity>4</DocSecurity>
  <Lines>283</Lines>
  <Paragraphs>96</Paragraphs>
  <ScaleCrop>false</ScaleCrop>
  <HeadingPairs>
    <vt:vector size="2" baseType="variant">
      <vt:variant>
        <vt:lpstr>Rubrik</vt:lpstr>
      </vt:variant>
      <vt:variant>
        <vt:i4>1</vt:i4>
      </vt:variant>
    </vt:vector>
  </HeadingPairs>
  <TitlesOfParts>
    <vt:vector size="1" baseType="lpstr">
      <vt:lpstr>mp703</vt:lpstr>
    </vt:vector>
  </TitlesOfParts>
  <Company>Riksdagen</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mp703</dc:title>
  <dc:subject>mp703</dc:subject>
  <dc:creator>Riksdagen</dc:creator>
  <cp:keywords>Riksdagen</cp:keywords>
  <dc:description>TKG-ktrl, MSMQ4mb, PersReg-Distribution mm b-&gt;ny fplogga c-&gt;nygamla s-rosen</dc:description>
  <cp:lastModifiedBy>Lars Brink</cp:lastModifiedBy>
  <cp:revision>2</cp:revision>
  <cp:lastPrinted>2008-11-07T10:11:00Z</cp:lastPrinted>
  <dcterms:created xsi:type="dcterms:W3CDTF">2025-12-17T14:46:00Z</dcterms:created>
  <dcterms:modified xsi:type="dcterms:W3CDTF">2025-12-17T14:46:00Z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18 Samhällsplanering, bostadsförsörjning och byggande samt konsumentpolitik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18 Samhällsplanering, bostadsförsörjning och byggande samt konsumentpolitik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mp703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Lindholm m.fl. (mp)</vt:lpwstr>
  </property>
  <property fmtid="{D5CDD505-2E9C-101B-9397-08002B2CF9AE}" pid="26" name="MotionarLista">
    <vt:lpwstr>Lindholm, Jan (mp)\Holm, Ulf (mp)\Ödmann, Christopher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Ulf Holm (mp), Christopher Ödmann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C453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20082009000001090112000007030075</vt:lpwstr>
  </property>
  <property fmtid="{D5CDD505-2E9C-101B-9397-08002B2CF9AE}" pid="47" name="datum">
    <vt:lpwstr>081007</vt:lpwstr>
  </property>
  <property fmtid="{D5CDD505-2E9C-101B-9397-08002B2CF9AE}" pid="48" name="avsändar-e-post">
    <vt:lpwstr>magnus.lindgren@riksdagen.se</vt:lpwstr>
  </property>
  <property fmtid="{D5CDD505-2E9C-101B-9397-08002B2CF9AE}" pid="49" name="id">
    <vt:lpwstr>20082009000001090112000007030075</vt:lpwstr>
  </property>
  <property fmtid="{D5CDD505-2E9C-101B-9397-08002B2CF9AE}" pid="50" name="nummer">
    <vt:lpwstr>453</vt:lpwstr>
  </property>
  <property fmtid="{D5CDD505-2E9C-101B-9397-08002B2CF9AE}" pid="51" name="utskottsbeteckning">
    <vt:lpwstr>C</vt:lpwstr>
  </property>
  <property fmtid="{D5CDD505-2E9C-101B-9397-08002B2CF9AE}" pid="52" name="GlobalUID">
    <vt:lpwstr>{D222EE18-10C1-4383-801B-E59A25B7696E}</vt:lpwstr>
  </property>
  <property fmtid="{D5CDD505-2E9C-101B-9397-08002B2CF9AE}" pid="53" name="Överföringar">
    <vt:i4>0</vt:i4>
  </property>
  <property fmtid="{D5CDD505-2E9C-101B-9397-08002B2CF9AE}" pid="54" name="Checksum">
    <vt:lpwstr>*1015140162661*</vt:lpwstr>
  </property>
  <property fmtid="{D5CDD505-2E9C-101B-9397-08002B2CF9AE}" pid="55" name="skuggnummer">
    <vt:lpwstr>3460</vt:lpwstr>
  </property>
  <property fmtid="{D5CDD505-2E9C-101B-9397-08002B2CF9AE}" pid="56" name="urixVersion">
    <vt:lpwstr>3.2.0.8</vt:lpwstr>
  </property>
  <property fmtid="{D5CDD505-2E9C-101B-9397-08002B2CF9AE}" pid="57" name="urixOrigin">
    <vt:lpwstr>090402 11:09:43.066</vt:lpwstr>
  </property>
  <property fmtid="{D5CDD505-2E9C-101B-9397-08002B2CF9AE}" pid="58" name="urixGuid">
    <vt:lpwstr>{777C583F-35AC-4E62-B69B-90CF3AEDF6D8}</vt:lpwstr>
  </property>
</Properties>
</file>