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7D71AC">
        <w:tblPrEx>
          <w:tblCellMar>
            <w:top w:w="0" w:type="dxa"/>
            <w:bottom w:w="0" w:type="dxa"/>
          </w:tblCellMar>
        </w:tblPrEx>
        <w:trPr>
          <w:cantSplit/>
          <w:trHeight w:hRule="exact" w:val="1260"/>
        </w:trPr>
        <w:tc>
          <w:tcPr>
            <w:tcW w:w="6024" w:type="dxa"/>
            <w:gridSpan w:val="2"/>
            <w:vMerge w:val="restart"/>
          </w:tcPr>
          <w:p w:rsidR="00336886" w:rsidRPr="007D71AC" w:rsidRDefault="00336886">
            <w:pPr>
              <w:pStyle w:val="HuvudRubrik"/>
            </w:pPr>
            <w:bookmarkStart w:id="0" w:name="BetänkandeRubrik"/>
            <w:bookmarkEnd w:id="0"/>
            <w:r w:rsidRPr="007D71AC">
              <w:t>Finansutskottets betänkande</w:t>
            </w:r>
            <w:r w:rsidR="007D71AC" w:rsidRPr="007D71AC">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813069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336886" w:rsidRDefault="00336886">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42025"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336886" w:rsidRDefault="00336886">
                            <w:pPr>
                              <w:pStyle w:val="Logo"/>
                            </w:pPr>
                            <w:r>
                              <w:object w:dxaOrig="840" w:dyaOrig="1545">
                                <v:shape id="_x0000_i1025" type="#_x0000_t75" style="width:90.45pt;height:77.15pt" fillcolor="window">
                                  <v:imagedata r:id="rId7" o:title="" cropright="-75835f"/>
                                </v:shape>
                                <o:OLEObject Type="Embed" ProgID="Word.Picture.8" ShapeID="_x0000_i1025" DrawAspect="Content" ObjectID="_1827342025" r:id="rId9"/>
                              </w:object>
                            </w:r>
                          </w:p>
                        </w:txbxContent>
                      </v:textbox>
                      <w10:wrap anchorx="page" anchory="page"/>
                    </v:shape>
                  </w:pict>
                </mc:Fallback>
              </mc:AlternateContent>
            </w:r>
          </w:p>
          <w:p w:rsidR="00336886" w:rsidRPr="007D71AC" w:rsidRDefault="00336886">
            <w:pPr>
              <w:pStyle w:val="HuvudRubrikRad2"/>
            </w:pPr>
            <w:bookmarkStart w:id="17" w:name="BetänkandeNr"/>
            <w:bookmarkEnd w:id="17"/>
            <w:r w:rsidRPr="007D71AC">
              <w:t>1999/2000:FiU30</w:t>
            </w:r>
          </w:p>
          <w:p w:rsidR="00336886" w:rsidRPr="007D71AC" w:rsidRDefault="00336886">
            <w:pPr>
              <w:pStyle w:val="BetnkandeRubrik"/>
            </w:pPr>
            <w:bookmarkStart w:id="18" w:name="Huvudrubrik"/>
            <w:bookmarkEnd w:id="18"/>
            <w:r w:rsidRPr="007D71AC">
              <w:t>Utvärdering av statsskuldens upplåning och          förval</w:t>
            </w:r>
            <w:r w:rsidRPr="007D71AC">
              <w:t>t</w:t>
            </w:r>
            <w:r w:rsidRPr="007D71AC">
              <w:t>ning 1994/95–1999 (skr. 1999/2000:104)</w:t>
            </w:r>
          </w:p>
        </w:tc>
        <w:tc>
          <w:tcPr>
            <w:tcW w:w="1559" w:type="dxa"/>
            <w:tcBorders>
              <w:bottom w:val="nil"/>
            </w:tcBorders>
          </w:tcPr>
          <w:p w:rsidR="00336886" w:rsidRPr="007D71AC" w:rsidRDefault="00336886">
            <w:pPr>
              <w:spacing w:before="0" w:line="230" w:lineRule="auto"/>
              <w:rPr>
                <w:sz w:val="24"/>
              </w:rPr>
            </w:pPr>
          </w:p>
        </w:tc>
      </w:tr>
      <w:tr w:rsidR="00000000" w:rsidRPr="007D71AC">
        <w:tblPrEx>
          <w:tblCellMar>
            <w:top w:w="0" w:type="dxa"/>
            <w:bottom w:w="0" w:type="dxa"/>
          </w:tblCellMar>
        </w:tblPrEx>
        <w:trPr>
          <w:cantSplit/>
          <w:trHeight w:hRule="exact" w:val="240"/>
        </w:trPr>
        <w:tc>
          <w:tcPr>
            <w:tcW w:w="6024" w:type="dxa"/>
            <w:gridSpan w:val="2"/>
            <w:vMerge/>
            <w:tcBorders>
              <w:top w:val="nil"/>
              <w:bottom w:val="nil"/>
            </w:tcBorders>
          </w:tcPr>
          <w:p w:rsidR="00336886" w:rsidRPr="007D71AC" w:rsidRDefault="00336886">
            <w:pPr>
              <w:spacing w:before="40" w:after="900" w:line="280" w:lineRule="exact"/>
              <w:jc w:val="left"/>
              <w:rPr>
                <w:sz w:val="28"/>
              </w:rPr>
            </w:pPr>
          </w:p>
        </w:tc>
        <w:tc>
          <w:tcPr>
            <w:tcW w:w="1559" w:type="dxa"/>
          </w:tcPr>
          <w:p w:rsidR="00336886" w:rsidRPr="007D71AC" w:rsidRDefault="00336886">
            <w:pPr>
              <w:pStyle w:val="rtal"/>
            </w:pPr>
            <w:r w:rsidRPr="007D71AC">
              <w:t>1999/2000</w:t>
            </w:r>
          </w:p>
        </w:tc>
      </w:tr>
      <w:tr w:rsidR="00000000" w:rsidRPr="007D71AC">
        <w:tblPrEx>
          <w:tblCellMar>
            <w:top w:w="0" w:type="dxa"/>
            <w:bottom w:w="0" w:type="dxa"/>
          </w:tblCellMar>
        </w:tblPrEx>
        <w:trPr>
          <w:cantSplit/>
          <w:trHeight w:val="560"/>
        </w:trPr>
        <w:tc>
          <w:tcPr>
            <w:tcW w:w="6024" w:type="dxa"/>
            <w:gridSpan w:val="2"/>
            <w:vMerge/>
            <w:tcBorders>
              <w:top w:val="nil"/>
              <w:bottom w:val="single" w:sz="6" w:space="0" w:color="auto"/>
            </w:tcBorders>
          </w:tcPr>
          <w:p w:rsidR="00336886" w:rsidRPr="007D71AC" w:rsidRDefault="00336886">
            <w:pPr>
              <w:spacing w:before="40" w:after="900" w:line="280" w:lineRule="exact"/>
              <w:jc w:val="left"/>
              <w:rPr>
                <w:sz w:val="28"/>
              </w:rPr>
            </w:pPr>
          </w:p>
        </w:tc>
        <w:tc>
          <w:tcPr>
            <w:tcW w:w="1559" w:type="dxa"/>
            <w:tcBorders>
              <w:bottom w:val="single" w:sz="6" w:space="0" w:color="auto"/>
            </w:tcBorders>
          </w:tcPr>
          <w:p w:rsidR="00336886" w:rsidRPr="007D71AC" w:rsidRDefault="00336886">
            <w:pPr>
              <w:pStyle w:val="rtal"/>
            </w:pPr>
            <w:r w:rsidRPr="007D71AC">
              <w:t>FiU30</w:t>
            </w:r>
          </w:p>
        </w:tc>
      </w:tr>
      <w:tr w:rsidR="00000000" w:rsidRPr="007D71AC">
        <w:tblPrEx>
          <w:tblCellMar>
            <w:top w:w="0" w:type="dxa"/>
            <w:bottom w:w="0" w:type="dxa"/>
          </w:tblCellMar>
        </w:tblPrEx>
        <w:trPr>
          <w:cantSplit/>
          <w:trHeight w:hRule="exact" w:val="660"/>
        </w:trPr>
        <w:tc>
          <w:tcPr>
            <w:tcW w:w="3012" w:type="dxa"/>
          </w:tcPr>
          <w:p w:rsidR="00336886" w:rsidRPr="007D71AC" w:rsidRDefault="00336886">
            <w:pPr>
              <w:pStyle w:val="StatusSida1"/>
            </w:pPr>
          </w:p>
        </w:tc>
        <w:tc>
          <w:tcPr>
            <w:tcW w:w="3012" w:type="dxa"/>
          </w:tcPr>
          <w:p w:rsidR="00336886" w:rsidRPr="007D71AC" w:rsidRDefault="00336886">
            <w:pPr>
              <w:pStyle w:val="UtskriftsdatumSida1"/>
              <w:rPr>
                <w:b/>
                <w:sz w:val="28"/>
              </w:rPr>
            </w:pPr>
          </w:p>
        </w:tc>
        <w:tc>
          <w:tcPr>
            <w:tcW w:w="1559" w:type="dxa"/>
          </w:tcPr>
          <w:p w:rsidR="00336886" w:rsidRPr="007D71AC" w:rsidRDefault="00336886"/>
        </w:tc>
      </w:tr>
    </w:tbl>
    <w:p w:rsidR="00336886" w:rsidRPr="007D71AC" w:rsidRDefault="00336886">
      <w:pPr>
        <w:pStyle w:val="Rubrik1"/>
        <w:spacing w:before="0"/>
      </w:pPr>
      <w:bookmarkStart w:id="19" w:name="_Toc484658818"/>
      <w:r w:rsidRPr="007D71AC">
        <w:t>Sammanfattning</w:t>
      </w:r>
      <w:bookmarkEnd w:id="19"/>
    </w:p>
    <w:p w:rsidR="00336886" w:rsidRPr="007D71AC" w:rsidRDefault="00336886">
      <w:r w:rsidRPr="007D71AC">
        <w:t xml:space="preserve">I detta betänkande behandlar finansutskottet regeringens skrivelse 1999/2000:104 om utvärdering av statsskuldens upplåning och förvaltning 1994/95–1999. </w:t>
      </w:r>
    </w:p>
    <w:p w:rsidR="00336886" w:rsidRPr="007D71AC" w:rsidRDefault="00336886">
      <w:pPr>
        <w:pStyle w:val="Normaltindrag"/>
      </w:pPr>
      <w:r w:rsidRPr="007D71AC">
        <w:t>Finansutskottet gör i allt väsentligt samma bedömningar som regeringen i utvärderingen av statens upplåning och förvaltning av statsskulden under budgetåren 1994/95–1999. Utskottet konstaterar i likhet med föregående år att det inte är alldeles enkelt att dra entydiga slutsatser främst med hänsyn till de problem som föreligger vid en bedömning av resultatet inom upplåningen på den inhemska nominella marknaden. Enligt utskottet kommer den nya modell för statsskuldsförvaltningen som infördes den 1 januari 19</w:t>
      </w:r>
      <w:r w:rsidRPr="007D71AC">
        <w:t>99 att successivt skapa bättre förutsättningar för en utvärdering av Riksgäldskont</w:t>
      </w:r>
      <w:r w:rsidRPr="007D71AC">
        <w:t>o</w:t>
      </w:r>
      <w:r w:rsidRPr="007D71AC">
        <w:t>rets upplåning och stats</w:t>
      </w:r>
      <w:r w:rsidRPr="007D71AC">
        <w:softHyphen/>
        <w:t>skuldsförvaltningens resultat. Till detta bidrar såväl den ändrade målformuleringen som det helhetsperspektiv som präglar den nya modellen.</w:t>
      </w:r>
    </w:p>
    <w:p w:rsidR="00336886" w:rsidRPr="007D71AC" w:rsidRDefault="00336886">
      <w:pPr>
        <w:pStyle w:val="Normaltindrag"/>
      </w:pPr>
      <w:r w:rsidRPr="007D71AC">
        <w:t>En motion som väckts med anledning av skrivelsen avstyrks av utskottet.</w:t>
      </w:r>
    </w:p>
    <w:p w:rsidR="00336886" w:rsidRPr="007D71AC" w:rsidRDefault="00336886">
      <w:pPr>
        <w:pStyle w:val="Normaltindrag"/>
      </w:pPr>
      <w:r w:rsidRPr="007D71AC">
        <w:t>Företrädarna för Moderata samlingspartiet, Kristdemokraterna och Fol</w:t>
      </w:r>
      <w:r w:rsidRPr="007D71AC">
        <w:t>k</w:t>
      </w:r>
      <w:r w:rsidRPr="007D71AC">
        <w:t>partiet liberalerna  har lämnat en reservation.</w:t>
      </w:r>
    </w:p>
    <w:p w:rsidR="00336886" w:rsidRPr="007D71AC" w:rsidRDefault="00336886">
      <w:pPr>
        <w:pStyle w:val="Rubrik1"/>
      </w:pPr>
      <w:bookmarkStart w:id="20" w:name="Textstart"/>
      <w:bookmarkStart w:id="21" w:name="_Toc484658819"/>
      <w:bookmarkEnd w:id="20"/>
      <w:r w:rsidRPr="007D71AC">
        <w:t>Regeringens skrivelse</w:t>
      </w:r>
      <w:bookmarkEnd w:id="21"/>
    </w:p>
    <w:p w:rsidR="00336886" w:rsidRPr="007D71AC" w:rsidRDefault="00336886">
      <w:r w:rsidRPr="007D71AC">
        <w:t>I skrivelse 1999/2000:104 lämnar regeringen (Finansdepartementet) en u</w:t>
      </w:r>
      <w:r w:rsidRPr="007D71AC">
        <w:t>t</w:t>
      </w:r>
      <w:r w:rsidRPr="007D71AC">
        <w:t>värdering av statsskuldens upplåning och förvaltning budgetåren 19994/95–1999.</w:t>
      </w:r>
    </w:p>
    <w:p w:rsidR="00336886" w:rsidRPr="007D71AC" w:rsidRDefault="00336886">
      <w:pPr>
        <w:pStyle w:val="Rubrik1"/>
      </w:pPr>
      <w:bookmarkStart w:id="22" w:name="_Toc484658820"/>
      <w:r w:rsidRPr="007D71AC">
        <w:t>Motionen</w:t>
      </w:r>
      <w:bookmarkEnd w:id="22"/>
    </w:p>
    <w:p w:rsidR="00336886" w:rsidRPr="007D71AC" w:rsidRDefault="00336886">
      <w:r w:rsidRPr="007D71AC">
        <w:t xml:space="preserve">1999/2000:Fi52 av Gunnar Hökmark m.fl. (m) vari yrkas att riksdagen som sin mening ger regeringen till känna vad i motionen anförts om avveckling av Riksgäldsspar. </w:t>
      </w:r>
    </w:p>
    <w:p w:rsidR="00336886" w:rsidRPr="007D71AC" w:rsidRDefault="00336886">
      <w:pPr>
        <w:pStyle w:val="Rubrik1"/>
      </w:pPr>
      <w:bookmarkStart w:id="23" w:name="_Toc483564771"/>
      <w:r w:rsidRPr="007D71AC">
        <w:br w:type="page"/>
      </w:r>
      <w:bookmarkStart w:id="24" w:name="_Toc484658821"/>
      <w:r w:rsidRPr="007D71AC">
        <w:lastRenderedPageBreak/>
        <w:t>Bakgrund</w:t>
      </w:r>
      <w:bookmarkEnd w:id="23"/>
      <w:bookmarkEnd w:id="24"/>
    </w:p>
    <w:p w:rsidR="00336886" w:rsidRPr="007D71AC" w:rsidRDefault="00336886">
      <w:pPr>
        <w:pStyle w:val="Rubrik2"/>
        <w:spacing w:before="123"/>
      </w:pPr>
      <w:bookmarkStart w:id="25" w:name="_Toc451246825"/>
      <w:bookmarkStart w:id="26" w:name="_Toc483042018"/>
      <w:bookmarkStart w:id="27" w:name="_Toc483564772"/>
      <w:bookmarkStart w:id="28" w:name="_Toc484658822"/>
      <w:r w:rsidRPr="007D71AC">
        <w:t>Ny beslutsmodell</w:t>
      </w:r>
      <w:bookmarkEnd w:id="25"/>
      <w:bookmarkEnd w:id="26"/>
      <w:bookmarkEnd w:id="27"/>
      <w:bookmarkEnd w:id="28"/>
    </w:p>
    <w:p w:rsidR="00336886" w:rsidRPr="007D71AC" w:rsidRDefault="00336886">
      <w:r w:rsidRPr="007D71AC">
        <w:t>I maj 1998 fattade riksdagen beslut (prop. 1997/98:154, bet. 1997/98:FiU29, rskr. 1997/98:253, SFS 1998:659) om en ny målformulering och beslut</w:t>
      </w:r>
      <w:r w:rsidRPr="007D71AC">
        <w:t>s</w:t>
      </w:r>
      <w:r w:rsidRPr="007D71AC">
        <w:t>struktur för statsskuldspolitiken.  Enligt den nya formuleringen är målet för statsskuldsförvaltningen att statens skuld skall förvaltas så att den långsiktiga kostnaden minimeras samtidigt som risken i förvaltningen beaktas. Förval</w:t>
      </w:r>
      <w:r w:rsidRPr="007D71AC">
        <w:t>t</w:t>
      </w:r>
      <w:r w:rsidRPr="007D71AC">
        <w:t>ningen skall ske inom ramen för de krav som penningpolitiken ställer.</w:t>
      </w:r>
    </w:p>
    <w:p w:rsidR="00336886" w:rsidRPr="007D71AC" w:rsidRDefault="00336886">
      <w:pPr>
        <w:pStyle w:val="Normaltindrag"/>
      </w:pPr>
      <w:r w:rsidRPr="007D71AC">
        <w:t>Verksamhetsåret 1999 var det första året som omfattades av det nya rege</w:t>
      </w:r>
      <w:r w:rsidRPr="007D71AC">
        <w:t>l</w:t>
      </w:r>
      <w:r w:rsidRPr="007D71AC">
        <w:t>verket avseende målformulering och beslutsstruktur.</w:t>
      </w:r>
    </w:p>
    <w:p w:rsidR="00336886" w:rsidRPr="007D71AC" w:rsidRDefault="00336886">
      <w:r w:rsidRPr="007D71AC">
        <w:t xml:space="preserve">Detta innebar att </w:t>
      </w:r>
    </w:p>
    <w:p w:rsidR="00336886" w:rsidRPr="007D71AC" w:rsidRDefault="00336886">
      <w:pPr>
        <w:numPr>
          <w:ilvl w:val="0"/>
          <w:numId w:val="6"/>
        </w:numPr>
        <w:ind w:left="357" w:hanging="357"/>
      </w:pPr>
      <w:r w:rsidRPr="007D71AC">
        <w:t>Regeringen, i stället för att som tidigare enbart ange riktlinjer för o</w:t>
      </w:r>
      <w:r w:rsidRPr="007D71AC">
        <w:t>m</w:t>
      </w:r>
      <w:r w:rsidRPr="007D71AC">
        <w:t>fattningen av valutaupplåningen, angav riktlinjer för hela statsskuldens sa</w:t>
      </w:r>
      <w:r w:rsidRPr="007D71AC">
        <w:t>m</w:t>
      </w:r>
      <w:r w:rsidRPr="007D71AC">
        <w:t xml:space="preserve">mansättning och genomsnittliga löptid.  </w:t>
      </w:r>
    </w:p>
    <w:p w:rsidR="00336886" w:rsidRPr="007D71AC" w:rsidRDefault="00336886">
      <w:pPr>
        <w:numPr>
          <w:ilvl w:val="0"/>
          <w:numId w:val="7"/>
        </w:numPr>
        <w:ind w:left="357" w:hanging="357"/>
      </w:pPr>
      <w:r w:rsidRPr="007D71AC">
        <w:t xml:space="preserve">Riksgäldskontorets styrelse ansvarar för att det övergripande målet och riktlinjerna omsätts i riktmärken och delmål.  </w:t>
      </w:r>
    </w:p>
    <w:p w:rsidR="00336886" w:rsidRPr="007D71AC" w:rsidRDefault="00336886">
      <w:pPr>
        <w:numPr>
          <w:ilvl w:val="0"/>
          <w:numId w:val="8"/>
        </w:numPr>
      </w:pPr>
      <w:r w:rsidRPr="007D71AC">
        <w:t>Riksgäldskontoret ansvarar sedan för den operativa förvaltningen.</w:t>
      </w:r>
    </w:p>
    <w:p w:rsidR="00336886" w:rsidRPr="007D71AC" w:rsidRDefault="00336886">
      <w:r w:rsidRPr="007D71AC">
        <w:t>Genom den nya ansvarsfördelningen tas de övergripande besluten om statsskuldens sammansättning och löptid av regeringen. Därmed ligger a</w:t>
      </w:r>
      <w:r w:rsidRPr="007D71AC">
        <w:t>n</w:t>
      </w:r>
      <w:r w:rsidRPr="007D71AC">
        <w:t>svaret för övervägandena om fördelningen av den totala portföljen mellan olika skuldslag på grundval av risker och förväntade kostnader på politisk nivå. Regeringens beslut baseras på förslag framtagna av Riksgäldskontoret.</w:t>
      </w:r>
    </w:p>
    <w:p w:rsidR="00336886" w:rsidRPr="007D71AC" w:rsidRDefault="00336886">
      <w:pPr>
        <w:pStyle w:val="Normaltindrag"/>
      </w:pPr>
      <w:r w:rsidRPr="007D71AC">
        <w:t>Ansvarsfördelning och beslutsordning för ett enskilt verksamhetsår kan sammanfattas på följande sätt:</w:t>
      </w:r>
    </w:p>
    <w:p w:rsidR="00336886" w:rsidRPr="007D71AC" w:rsidRDefault="00336886">
      <w:pPr>
        <w:numPr>
          <w:ilvl w:val="0"/>
          <w:numId w:val="1"/>
        </w:numPr>
        <w:ind w:left="357" w:hanging="357"/>
      </w:pPr>
      <w:r w:rsidRPr="007D71AC">
        <w:t>Riksgäldskontoret lämnar senast den 1 oktober förslag till riktlinjer för det kommande året till regeringen.</w:t>
      </w:r>
    </w:p>
    <w:p w:rsidR="00336886" w:rsidRPr="007D71AC" w:rsidRDefault="00336886">
      <w:pPr>
        <w:numPr>
          <w:ilvl w:val="0"/>
          <w:numId w:val="2"/>
        </w:numPr>
        <w:ind w:left="357" w:hanging="357"/>
      </w:pPr>
      <w:r w:rsidRPr="007D71AC">
        <w:t>Regeringen fattar senast den 15 november beslut om riktlinjer för statsskuldsförvaltningen för det kommande året.</w:t>
      </w:r>
    </w:p>
    <w:p w:rsidR="00336886" w:rsidRPr="007D71AC" w:rsidRDefault="00336886">
      <w:pPr>
        <w:numPr>
          <w:ilvl w:val="0"/>
          <w:numId w:val="3"/>
        </w:numPr>
        <w:ind w:left="357" w:hanging="357"/>
      </w:pPr>
      <w:r w:rsidRPr="007D71AC">
        <w:t>Statsskulden förvaltas av Riksgäldskontoret i enlighet med riktlinjerna.</w:t>
      </w:r>
    </w:p>
    <w:p w:rsidR="00336886" w:rsidRPr="007D71AC" w:rsidRDefault="00336886">
      <w:pPr>
        <w:numPr>
          <w:ilvl w:val="0"/>
          <w:numId w:val="4"/>
        </w:numPr>
        <w:ind w:left="357" w:hanging="357"/>
      </w:pPr>
      <w:r w:rsidRPr="007D71AC">
        <w:t>Riksgäldskontoret lämnar senast den 15 februari till regeringen en årsr</w:t>
      </w:r>
      <w:r w:rsidRPr="007D71AC">
        <w:t>e</w:t>
      </w:r>
      <w:r w:rsidRPr="007D71AC">
        <w:t>dovisning för det gångna året.</w:t>
      </w:r>
    </w:p>
    <w:p w:rsidR="00336886" w:rsidRPr="007D71AC" w:rsidRDefault="00336886">
      <w:pPr>
        <w:numPr>
          <w:ilvl w:val="0"/>
          <w:numId w:val="5"/>
        </w:numPr>
        <w:ind w:left="357" w:hanging="357"/>
      </w:pPr>
      <w:r w:rsidRPr="007D71AC">
        <w:t>Regeringen lämnar senast den 25 april en utvärdering i form av en skr</w:t>
      </w:r>
      <w:r w:rsidRPr="007D71AC">
        <w:t>i</w:t>
      </w:r>
      <w:r w:rsidRPr="007D71AC">
        <w:t>velse till riksdagen. Genom att skrivelsen lämnas vid denna tid</w:t>
      </w:r>
      <w:r w:rsidRPr="007D71AC">
        <w:softHyphen/>
        <w:t>punkt finns det möjlighet för regeringen att  ta hänsyn till riksdagens sy</w:t>
      </w:r>
      <w:r w:rsidRPr="007D71AC">
        <w:t>n</w:t>
      </w:r>
      <w:r w:rsidRPr="007D71AC">
        <w:t xml:space="preserve">punkter inför beslut om riktlinjer för det kommande året. </w:t>
      </w:r>
    </w:p>
    <w:p w:rsidR="00336886" w:rsidRPr="007D71AC" w:rsidRDefault="00336886">
      <w:r w:rsidRPr="007D71AC">
        <w:t>Regeringen fattade den 12 november 1998 det första riktlinjebeslutet i enli</w:t>
      </w:r>
      <w:r w:rsidRPr="007D71AC">
        <w:t>g</w:t>
      </w:r>
      <w:r w:rsidRPr="007D71AC">
        <w:t>het med den nya beslutsstrukturen för statsskuldsförvaltningen. Beslutet avsåg verksamhetsåret 1999, det år som nu utvärderas.</w:t>
      </w:r>
    </w:p>
    <w:p w:rsidR="00336886" w:rsidRPr="007D71AC" w:rsidRDefault="00336886">
      <w:pPr>
        <w:pStyle w:val="Rubrik2"/>
      </w:pPr>
      <w:bookmarkStart w:id="29" w:name="_Toc483042019"/>
      <w:bookmarkStart w:id="30" w:name="_Toc483564773"/>
      <w:bookmarkStart w:id="31" w:name="_Toc484658823"/>
      <w:r w:rsidRPr="007D71AC">
        <w:t>Principer för utvärdering</w:t>
      </w:r>
      <w:bookmarkEnd w:id="29"/>
      <w:bookmarkEnd w:id="30"/>
      <w:bookmarkEnd w:id="31"/>
    </w:p>
    <w:p w:rsidR="00336886" w:rsidRPr="007D71AC" w:rsidRDefault="00336886">
      <w:r w:rsidRPr="007D71AC">
        <w:t>I den föreliggande skrivelsen framhålls att målet för statens upplåning och förvaltning av statsskulden är långsik</w:t>
      </w:r>
      <w:r w:rsidRPr="007D71AC">
        <w:softHyphen/>
        <w:t>tigt. Det är därför naturligt att utvärd</w:t>
      </w:r>
      <w:r w:rsidRPr="007D71AC">
        <w:t>e</w:t>
      </w:r>
      <w:r w:rsidRPr="007D71AC">
        <w:t>ringen sker i ett sådant tidspers</w:t>
      </w:r>
      <w:r w:rsidRPr="007D71AC">
        <w:softHyphen/>
        <w:t>pektiv och på ett sådant sätt att tillfälliga variationer i resultatet utjämnas. Regeringen har därför under de senaste åren funnit det lämpligt att tillämpa femåriga utvärderingsperioder.</w:t>
      </w:r>
    </w:p>
    <w:p w:rsidR="00336886" w:rsidRPr="007D71AC" w:rsidRDefault="00336886">
      <w:pPr>
        <w:pStyle w:val="Normaltindrag"/>
      </w:pPr>
      <w:r w:rsidRPr="007D71AC">
        <w:t>Avgörande för vilka kostnader och risker som uppstår i förvaltningen av statsskulden är besluten om skuldens fördelning på olika skuldslag och löpt</w:t>
      </w:r>
      <w:r w:rsidRPr="007D71AC">
        <w:t>i</w:t>
      </w:r>
      <w:r w:rsidRPr="007D71AC">
        <w:t>derna för dessa. Det innebär att kostnaderna för och risken i statsskulden i mycket stor utsträckning bestäms i regeringens beslut om riktlinjer och Rik</w:t>
      </w:r>
      <w:r w:rsidRPr="007D71AC">
        <w:t>s</w:t>
      </w:r>
      <w:r w:rsidRPr="007D71AC">
        <w:t>gäldskontorets beslut om delriktmärken. Resultaten i den operativa förval</w:t>
      </w:r>
      <w:r w:rsidRPr="007D71AC">
        <w:t>t</w:t>
      </w:r>
      <w:r w:rsidRPr="007D71AC">
        <w:t>ningen mot delriktmärkena utgör det tydligaste måttet på förvaltningens effektivitet, men är i sammanhanget underord</w:t>
      </w:r>
      <w:r w:rsidRPr="007D71AC">
        <w:softHyphen/>
        <w:t>nade de mer övergripande besluten.</w:t>
      </w:r>
    </w:p>
    <w:p w:rsidR="00336886" w:rsidRPr="007D71AC" w:rsidRDefault="00336886">
      <w:pPr>
        <w:pStyle w:val="Normaltindrag"/>
      </w:pPr>
      <w:r w:rsidRPr="007D71AC">
        <w:t>Utskottet kommenterar utvärderingen utifrån de tre nivåerna: Regeringens beslut om riktlinjer, Riksgäldskontorets beslut om riktmärk</w:t>
      </w:r>
      <w:r w:rsidRPr="007D71AC">
        <w:t>esportfölj och Riksgäldskont</w:t>
      </w:r>
      <w:r w:rsidRPr="007D71AC">
        <w:t>o</w:t>
      </w:r>
      <w:r w:rsidRPr="007D71AC">
        <w:t>rets operativa förvaltning.</w:t>
      </w:r>
    </w:p>
    <w:p w:rsidR="00336886" w:rsidRPr="007D71AC" w:rsidRDefault="00336886">
      <w:pPr>
        <w:pStyle w:val="Rubrik1"/>
      </w:pPr>
      <w:bookmarkStart w:id="32" w:name="_Toc483564774"/>
      <w:bookmarkStart w:id="33" w:name="_Toc484658824"/>
      <w:r w:rsidRPr="007D71AC">
        <w:t>Utskottet</w:t>
      </w:r>
      <w:bookmarkEnd w:id="32"/>
      <w:bookmarkEnd w:id="33"/>
    </w:p>
    <w:p w:rsidR="00336886" w:rsidRPr="007D71AC" w:rsidRDefault="00336886">
      <w:pPr>
        <w:pStyle w:val="Rubrik2"/>
        <w:spacing w:before="123"/>
        <w:rPr>
          <w:snapToGrid w:val="0"/>
          <w:lang w:eastAsia="sv-SE"/>
        </w:rPr>
      </w:pPr>
      <w:bookmarkStart w:id="34" w:name="_Toc483042021"/>
      <w:bookmarkStart w:id="35" w:name="_Toc483564775"/>
      <w:bookmarkStart w:id="36" w:name="_Toc484658825"/>
      <w:r w:rsidRPr="007D71AC">
        <w:rPr>
          <w:snapToGrid w:val="0"/>
          <w:lang w:eastAsia="sv-SE"/>
        </w:rPr>
        <w:t>1 Utvärdering av regeringens beslut om riktlinjer</w:t>
      </w:r>
      <w:bookmarkEnd w:id="34"/>
      <w:bookmarkEnd w:id="35"/>
      <w:bookmarkEnd w:id="36"/>
    </w:p>
    <w:p w:rsidR="00336886" w:rsidRPr="007D71AC" w:rsidRDefault="00336886">
      <w:pPr>
        <w:pStyle w:val="Rubrik3"/>
        <w:spacing w:before="123"/>
      </w:pPr>
      <w:bookmarkStart w:id="37" w:name="_Toc483042023"/>
      <w:bookmarkStart w:id="38" w:name="_Toc483564776"/>
      <w:bookmarkStart w:id="39" w:name="_Toc484658826"/>
      <w:r w:rsidRPr="007D71AC">
        <w:t>1.1 Regeringens beslut om riktlinjer</w:t>
      </w:r>
      <w:bookmarkEnd w:id="37"/>
      <w:bookmarkEnd w:id="38"/>
      <w:bookmarkEnd w:id="39"/>
      <w:r w:rsidRPr="007D71AC">
        <w:t xml:space="preserve"> </w:t>
      </w:r>
    </w:p>
    <w:p w:rsidR="00336886" w:rsidRPr="007D71AC" w:rsidRDefault="00336886">
      <w:r w:rsidRPr="007D71AC">
        <w:t>Regeringens beslut, från den 12 november 1998, om riktlinjer för år 1999 innebar i korthet att skulden i utländsk valuta skulle amorteras med ett b</w:t>
      </w:r>
      <w:r w:rsidRPr="007D71AC">
        <w:t>e</w:t>
      </w:r>
      <w:r w:rsidRPr="007D71AC">
        <w:t>lopp motsvarande 25 miljarder kronor, med en tillåten avvikelse uppåt eller nedåt på 5 miljarder kronor, och att stocken utestående reallån inte skulle minskas och inriktas på långa löptider. I övrigt skulle statens finansiering</w:t>
      </w:r>
      <w:r w:rsidRPr="007D71AC">
        <w:t>s</w:t>
      </w:r>
      <w:r w:rsidRPr="007D71AC">
        <w:t>behov täckas med nominella lån i kronor. Den genomsnitt</w:t>
      </w:r>
      <w:r w:rsidRPr="007D71AC">
        <w:softHyphen/>
        <w:t>liga räntebin</w:t>
      </w:r>
      <w:r w:rsidRPr="007D71AC">
        <w:t>d</w:t>
      </w:r>
      <w:r w:rsidRPr="007D71AC">
        <w:t>ningstiden för den nominella skulden i kronor och utländsk valuta skulle vara 3,5 år. Riksgäldskontoret fick i sin förvaltning avvika från detta riktmärke uppåt eller nedåt med 0,5 år. Slutligen fick högst 30 % a</w:t>
      </w:r>
      <w:r w:rsidRPr="007D71AC">
        <w:t>v skulden förfalla inom de närmaste 12 månaderna.</w:t>
      </w:r>
    </w:p>
    <w:p w:rsidR="00336886" w:rsidRPr="007D71AC" w:rsidRDefault="00336886">
      <w:pPr>
        <w:pStyle w:val="Rubrik3"/>
      </w:pPr>
      <w:bookmarkStart w:id="40" w:name="_Toc483042024"/>
      <w:bookmarkStart w:id="41" w:name="_Toc483564777"/>
      <w:bookmarkStart w:id="42" w:name="_Toc484658827"/>
      <w:r w:rsidRPr="007D71AC">
        <w:t>1.2 Regeringens bedömning</w:t>
      </w:r>
      <w:bookmarkEnd w:id="40"/>
      <w:bookmarkEnd w:id="41"/>
      <w:bookmarkEnd w:id="42"/>
    </w:p>
    <w:p w:rsidR="00336886" w:rsidRPr="007D71AC" w:rsidRDefault="00336886">
      <w:r w:rsidRPr="007D71AC">
        <w:t>Inför riktlinjebeslutet för år 1999 saknades det tillräckligt underlag för att besluta om en förändring av skuldan</w:t>
      </w:r>
      <w:r w:rsidRPr="007D71AC">
        <w:softHyphen/>
        <w:t>delar eller löptider. En i princip oförän</w:t>
      </w:r>
      <w:r w:rsidRPr="007D71AC">
        <w:t>d</w:t>
      </w:r>
      <w:r w:rsidRPr="007D71AC">
        <w:t>rad statsskuldspolitik var därför befogad. Mot bakgrund av att riktlinjeb</w:t>
      </w:r>
      <w:r w:rsidRPr="007D71AC">
        <w:t>e</w:t>
      </w:r>
      <w:r w:rsidRPr="007D71AC">
        <w:t>sluten bör utvärderas i ett flerårigt perspektiv och att det nu saknas en analys av egenska</w:t>
      </w:r>
      <w:r w:rsidRPr="007D71AC">
        <w:softHyphen/>
        <w:t>perna hos alternativa portföljer bör en djupare utvärdering av rege</w:t>
      </w:r>
      <w:r w:rsidRPr="007D71AC">
        <w:softHyphen/>
        <w:t>ringens riktlinjer anstå tills en längre period blir tillgänglig för be</w:t>
      </w:r>
      <w:r w:rsidRPr="007D71AC">
        <w:softHyphen/>
        <w:t>dömning, anför regeringen i skrivelsen.</w:t>
      </w:r>
    </w:p>
    <w:p w:rsidR="00336886" w:rsidRPr="007D71AC" w:rsidRDefault="00336886">
      <w:pPr>
        <w:pStyle w:val="Rubrik3"/>
      </w:pPr>
      <w:bookmarkStart w:id="43" w:name="_Toc483564778"/>
      <w:bookmarkStart w:id="44" w:name="_Toc484658828"/>
      <w:r w:rsidRPr="007D71AC">
        <w:t>1.3 Finansutskottets ställningstagande</w:t>
      </w:r>
      <w:bookmarkEnd w:id="43"/>
      <w:bookmarkEnd w:id="44"/>
    </w:p>
    <w:p w:rsidR="00336886" w:rsidRPr="007D71AC" w:rsidRDefault="00336886">
      <w:r w:rsidRPr="007D71AC">
        <w:t>Utskottet delar uppfattningen att regeringens beslut bör utvärderas direkt mot målet att minimera kostnaderna för förvaltningen av statsskulden med beak</w:t>
      </w:r>
      <w:r w:rsidRPr="007D71AC">
        <w:softHyphen/>
        <w:t>tande av risk. Utvärderingen bör som framhålls i skrivelsen styras av pri</w:t>
      </w:r>
      <w:r w:rsidRPr="007D71AC">
        <w:t>n</w:t>
      </w:r>
      <w:r w:rsidRPr="007D71AC">
        <w:t>ciper som lagts fast i förväg. I annat fall riskerar utvärderingen att bli go</w:t>
      </w:r>
      <w:r w:rsidRPr="007D71AC">
        <w:t>d</w:t>
      </w:r>
      <w:r w:rsidRPr="007D71AC">
        <w:t>tycklig. Det går alltid att i efterhand konstruera andra riktlinjer som skulle ha gett lägre up</w:t>
      </w:r>
      <w:r w:rsidRPr="007D71AC">
        <w:t>p</w:t>
      </w:r>
      <w:r w:rsidRPr="007D71AC">
        <w:t xml:space="preserve">mätta kostnader. </w:t>
      </w:r>
    </w:p>
    <w:p w:rsidR="00336886" w:rsidRPr="007D71AC" w:rsidRDefault="00336886">
      <w:pPr>
        <w:pStyle w:val="Normaltindrag"/>
      </w:pPr>
      <w:r w:rsidRPr="007D71AC">
        <w:t>En metod som redovisas i skrivelsen är att utgå från ett antal stiliserade, men tydligt differentierade skuldportföljer. En av de analyserade portföljerna bör vara en status quo-portfölj som beskriver egenskaperna hos skulden i utgångsläget, dvs</w:t>
      </w:r>
      <w:r w:rsidRPr="007D71AC">
        <w:t>. beskriver portföljen under antagande om i princip oförän</w:t>
      </w:r>
      <w:r w:rsidRPr="007D71AC">
        <w:t>d</w:t>
      </w:r>
      <w:r w:rsidRPr="007D71AC">
        <w:t>rade riktlinjer. Övervägandena för valet av portfölj bör sedan tydligt redov</w:t>
      </w:r>
      <w:r w:rsidRPr="007D71AC">
        <w:t>i</w:t>
      </w:r>
      <w:r w:rsidRPr="007D71AC">
        <w:t>sas, särskilt i förhålla</w:t>
      </w:r>
      <w:r w:rsidRPr="007D71AC">
        <w:t>n</w:t>
      </w:r>
      <w:r w:rsidRPr="007D71AC">
        <w:t>de till status quo-portföljen.</w:t>
      </w:r>
    </w:p>
    <w:p w:rsidR="00336886" w:rsidRPr="007D71AC" w:rsidRDefault="00336886">
      <w:pPr>
        <w:pStyle w:val="Normaltindrag"/>
      </w:pPr>
      <w:r w:rsidRPr="007D71AC">
        <w:t>I enlighet med den nya ordningen ankommer det på regeringen att ange riktlinjer för skuldförvaltningen som även innefattar en riskavvägning. En lämplig ordning kan som utskottet framhöll förra året (bet. 1998/99:FiU26) vara att regeringen, när den fastställer riktlinjer för skuldförvaltningen inkl</w:t>
      </w:r>
      <w:r w:rsidRPr="007D71AC">
        <w:t>u</w:t>
      </w:r>
      <w:r w:rsidRPr="007D71AC">
        <w:t>sive riskavvägningar, belyser konsekvenserna av olika risknivåer.</w:t>
      </w:r>
    </w:p>
    <w:p w:rsidR="00336886" w:rsidRPr="007D71AC" w:rsidRDefault="00336886">
      <w:pPr>
        <w:pStyle w:val="Normaltindrag"/>
      </w:pPr>
      <w:r w:rsidRPr="007D71AC">
        <w:t>Utskottet delar uppfattningen att en djupare utvärdering bör anstå tills en längre period kan överblickas för bedömning. Enligt utskottet kommer den nya modell för statsskuldsförvaltningen som infördes den 1 januari 1999 att successivt skapa bättre förutsättningar för en utvärdering av Riksgäldskont</w:t>
      </w:r>
      <w:r w:rsidRPr="007D71AC">
        <w:t>o</w:t>
      </w:r>
      <w:r w:rsidRPr="007D71AC">
        <w:t>rets upplåning och stats</w:t>
      </w:r>
      <w:r w:rsidRPr="007D71AC">
        <w:softHyphen/>
        <w:t xml:space="preserve">skuldsförvaltningens resultat. Till detta bidrar såväl den ändrade målformuleringen som det helhetsperspektiv som präglar den nya modellen. </w:t>
      </w:r>
    </w:p>
    <w:p w:rsidR="00336886" w:rsidRPr="007D71AC" w:rsidRDefault="00336886">
      <w:pPr>
        <w:pStyle w:val="Rubrik2"/>
      </w:pPr>
      <w:bookmarkStart w:id="45" w:name="_Toc483042025"/>
      <w:bookmarkStart w:id="46" w:name="_Toc483564779"/>
      <w:bookmarkStart w:id="47" w:name="_Toc484658829"/>
      <w:r w:rsidRPr="007D71AC">
        <w:t>2 Utvärdering av Riksgäldskontorets beslut om riktmärkesportföljer</w:t>
      </w:r>
      <w:bookmarkEnd w:id="45"/>
      <w:bookmarkEnd w:id="46"/>
      <w:bookmarkEnd w:id="47"/>
    </w:p>
    <w:p w:rsidR="00336886" w:rsidRPr="007D71AC" w:rsidRDefault="00336886">
      <w:pPr>
        <w:pStyle w:val="Rubrik3"/>
        <w:spacing w:before="123"/>
      </w:pPr>
      <w:bookmarkStart w:id="48" w:name="_Toc483042027"/>
      <w:bookmarkStart w:id="49" w:name="_Toc483564780"/>
      <w:bookmarkStart w:id="50" w:name="_Toc484658830"/>
      <w:r w:rsidRPr="007D71AC">
        <w:t>2.1 Riksgäldskontorets beslut</w:t>
      </w:r>
      <w:bookmarkEnd w:id="48"/>
      <w:bookmarkEnd w:id="49"/>
      <w:bookmarkEnd w:id="50"/>
    </w:p>
    <w:p w:rsidR="00336886" w:rsidRPr="007D71AC" w:rsidRDefault="00336886">
      <w:r w:rsidRPr="007D71AC">
        <w:t>Riksgäldskontoret svarar för att verkställa beslutet inom ramen för målet för statsskuldspolitiken och riktlinjerna från regeringen. En utvärdering av Rik</w:t>
      </w:r>
      <w:r w:rsidRPr="007D71AC">
        <w:t>s</w:t>
      </w:r>
      <w:r w:rsidRPr="007D71AC">
        <w:t>gäldskontorets förvaltning av statsskulden bör ske i två steg. Det första steget innebär att Riksgäldskontorets styrelse, baserat på regering</w:t>
      </w:r>
      <w:r w:rsidRPr="007D71AC">
        <w:softHyphen/>
        <w:t>ens riktlinje</w:t>
      </w:r>
      <w:r w:rsidRPr="007D71AC">
        <w:softHyphen/>
        <w:t xml:space="preserve">beslut, fördelar den beslutade löptiden mellan den nominella kronskulden respektive valutaskulden. </w:t>
      </w:r>
    </w:p>
    <w:p w:rsidR="00336886" w:rsidRPr="007D71AC" w:rsidRDefault="00336886">
      <w:pPr>
        <w:pStyle w:val="Normaltindrag"/>
      </w:pPr>
      <w:r w:rsidRPr="007D71AC">
        <w:t>I Riksgäldskontorets beslut om riktmärkesportföljen för år 1999 valde st</w:t>
      </w:r>
      <w:r w:rsidRPr="007D71AC">
        <w:t>y</w:t>
      </w:r>
      <w:r w:rsidRPr="007D71AC">
        <w:t>relsen att dela upp den samlade riktmärkesportföljen i två delriktmär</w:t>
      </w:r>
      <w:r w:rsidRPr="007D71AC">
        <w:softHyphen/>
        <w:t>ken, en för den nominella kronmarknaden och en för valutamarknaden. De två de</w:t>
      </w:r>
      <w:r w:rsidRPr="007D71AC">
        <w:t>l</w:t>
      </w:r>
      <w:r w:rsidRPr="007D71AC">
        <w:t>riktmärkena hade sammantaget de egenskaper som angavs i riktlinjerna, bl.a. en genomsnittlig räntebindningstid på 3,5 år</w:t>
      </w:r>
      <w:r w:rsidRPr="007D71AC">
        <w:rPr>
          <w:rStyle w:val="Fotnotsreferens"/>
        </w:rPr>
        <w:footnoteReference w:id="1"/>
      </w:r>
      <w:r w:rsidRPr="007D71AC">
        <w:t>. Riks</w:t>
      </w:r>
      <w:r w:rsidRPr="007D71AC">
        <w:softHyphen/>
        <w:t>gäldskontoret utnyttjade således inte möjligheten att avvika från rege</w:t>
      </w:r>
      <w:r w:rsidRPr="007D71AC">
        <w:softHyphen/>
        <w:t>ringens riktvärde trots att man i förslaget till regeringen föreslagit en för</w:t>
      </w:r>
      <w:r w:rsidRPr="007D71AC">
        <w:softHyphen/>
        <w:t xml:space="preserve">kortning. </w:t>
      </w:r>
    </w:p>
    <w:p w:rsidR="00336886" w:rsidRPr="007D71AC" w:rsidRDefault="00336886">
      <w:pPr>
        <w:pStyle w:val="Normaltindrag"/>
      </w:pPr>
      <w:r w:rsidRPr="007D71AC">
        <w:t>Motiven för att välja skilda räntebindningstider är bl.a. att upplåningen av valutaskulden sker i flera olika valutor och att exponeringen för upp</w:t>
      </w:r>
      <w:r w:rsidRPr="007D71AC">
        <w:softHyphen/>
        <w:t>gångar i ett enskilt lands räntor således är begränsad. Detta utrymme för diversifiering gör det möjligt att i högre utsträckning utnyttja det faktum att korta räntor i genomsnitt är lägre än långa. Enligt Riksgäldskontoret pekar detta samma</w:t>
      </w:r>
      <w:r w:rsidRPr="007D71AC">
        <w:t>n</w:t>
      </w:r>
      <w:r w:rsidRPr="007D71AC">
        <w:t>taget på att det bör finnas en skill</w:t>
      </w:r>
      <w:r w:rsidRPr="007D71AC">
        <w:softHyphen/>
        <w:t>nad mellan löptiden för nominell kronskuld och för valutaskulden. Vidare hade det varit praktiskt svårt att med kort varsel förkorta den faktiska kronskulden till 3,5 år.</w:t>
      </w:r>
    </w:p>
    <w:p w:rsidR="00336886" w:rsidRPr="007D71AC" w:rsidRDefault="00336886">
      <w:pPr>
        <w:pStyle w:val="Normaltindrag"/>
      </w:pPr>
      <w:r w:rsidRPr="007D71AC">
        <w:t>Den ena portföljen avser att spegla rege</w:t>
      </w:r>
      <w:r w:rsidRPr="007D71AC">
        <w:softHyphen/>
        <w:t>ringens riktlinjebeslut för år 1999 med en gemensam duration på 3,5 år i kron- och valutaskulderna (portfölj A). Den andra riktlinjeportföljen speglar Riksgäldskontorets beslut att fö</w:t>
      </w:r>
      <w:r w:rsidRPr="007D71AC">
        <w:t>r</w:t>
      </w:r>
      <w:r w:rsidRPr="007D71AC">
        <w:t>dela löptiden mellan två riktmärken med en duration på 2,0 år i valutasku</w:t>
      </w:r>
      <w:r w:rsidRPr="007D71AC">
        <w:t>l</w:t>
      </w:r>
      <w:r w:rsidRPr="007D71AC">
        <w:t>den och på 4,0 år i kronskulden (portfölj B).</w:t>
      </w:r>
    </w:p>
    <w:p w:rsidR="00336886" w:rsidRPr="007D71AC" w:rsidRDefault="00336886">
      <w:pPr>
        <w:pStyle w:val="Rubrik3"/>
      </w:pPr>
      <w:bookmarkStart w:id="51" w:name="_Toc483042028"/>
      <w:bookmarkStart w:id="52" w:name="_Toc483564781"/>
      <w:bookmarkStart w:id="53" w:name="_Toc484658831"/>
      <w:r w:rsidRPr="007D71AC">
        <w:t>2.2 Regeringens bedömning av Riksgäldskontorets beslut</w:t>
      </w:r>
      <w:bookmarkEnd w:id="51"/>
      <w:r w:rsidRPr="007D71AC">
        <w:t xml:space="preserve"> om riktmärkesportföljer</w:t>
      </w:r>
      <w:bookmarkEnd w:id="52"/>
      <w:bookmarkEnd w:id="53"/>
    </w:p>
    <w:p w:rsidR="00336886" w:rsidRPr="007D71AC" w:rsidRDefault="00336886">
      <w:r w:rsidRPr="007D71AC">
        <w:t>En jämförelse mellan portföljerna visar att Riksgäldskontorets beslut att tillämpa skilda löptider i skuldslagen totalt gett en något lägre kostnad (2 ränte</w:t>
      </w:r>
      <w:r w:rsidRPr="007D71AC">
        <w:softHyphen/>
        <w:t>punkter) och en lägre risk (3 räntepunkter mätt som samlad stan</w:t>
      </w:r>
      <w:r w:rsidRPr="007D71AC">
        <w:softHyphen/>
        <w:t>dardavvikelse). Rege</w:t>
      </w:r>
      <w:r w:rsidRPr="007D71AC">
        <w:softHyphen/>
        <w:t>ringen anser därför att Riksgäldskontorets operational</w:t>
      </w:r>
      <w:r w:rsidRPr="007D71AC">
        <w:t>i</w:t>
      </w:r>
      <w:r w:rsidRPr="007D71AC">
        <w:t>sering av regering</w:t>
      </w:r>
      <w:r w:rsidRPr="007D71AC">
        <w:softHyphen/>
        <w:t>ens riktlinjer bidragit till att målet för statsskuldspolitiken har uppfyllts.</w:t>
      </w:r>
    </w:p>
    <w:p w:rsidR="00336886" w:rsidRPr="007D71AC" w:rsidRDefault="00336886">
      <w:pPr>
        <w:pStyle w:val="Rubrik3"/>
      </w:pPr>
      <w:bookmarkStart w:id="54" w:name="_Toc483564782"/>
      <w:bookmarkStart w:id="55" w:name="_Toc484658832"/>
      <w:r w:rsidRPr="007D71AC">
        <w:t>2.3 Finansutskottets ställningstagande</w:t>
      </w:r>
      <w:bookmarkEnd w:id="54"/>
      <w:bookmarkEnd w:id="55"/>
    </w:p>
    <w:p w:rsidR="00336886" w:rsidRPr="007D71AC" w:rsidRDefault="00336886">
      <w:r w:rsidRPr="007D71AC">
        <w:t>Som framgår av skrivelsen ger den valda strategin med skilda räntebin</w:t>
      </w:r>
      <w:r w:rsidRPr="007D71AC">
        <w:t>d</w:t>
      </w:r>
      <w:r w:rsidRPr="007D71AC">
        <w:t>ningstider en marginellt lägre räntekostnad och risk. Osäkerheten i berä</w:t>
      </w:r>
      <w:r w:rsidRPr="007D71AC">
        <w:t>k</w:t>
      </w:r>
      <w:r w:rsidRPr="007D71AC">
        <w:t>ningarna är dock sådan att resultatet inte kan uppfattas som signifikant ur vare sig ekonomisk eller statistisk synvinkel. Det är därför svårt att dra några entydiga slutsatser av det kvantitativa resultatet annat än att den valda strat</w:t>
      </w:r>
      <w:r w:rsidRPr="007D71AC">
        <w:t>e</w:t>
      </w:r>
      <w:r w:rsidRPr="007D71AC">
        <w:t>gin med två riktmärken inte var sämre än alternati</w:t>
      </w:r>
      <w:r w:rsidRPr="007D71AC">
        <w:softHyphen/>
        <w:t>vet med gemensam ränt</w:t>
      </w:r>
      <w:r w:rsidRPr="007D71AC">
        <w:t>e</w:t>
      </w:r>
      <w:r w:rsidRPr="007D71AC">
        <w:t>bindningstid. Det finns som framhålls i skrivelsen också kvalitativa argument till stöd för kontorets operationali</w:t>
      </w:r>
      <w:r w:rsidRPr="007D71AC">
        <w:softHyphen/>
        <w:t>sering av rik</w:t>
      </w:r>
      <w:r w:rsidRPr="007D71AC">
        <w:t>tlinjerna. De valda riktmärke</w:t>
      </w:r>
      <w:r w:rsidRPr="007D71AC">
        <w:t>s</w:t>
      </w:r>
      <w:r w:rsidRPr="007D71AC">
        <w:t>port</w:t>
      </w:r>
      <w:r w:rsidRPr="007D71AC">
        <w:softHyphen/>
        <w:t>följerna kan därmed inte betraktas som sämre i kostnadstermer än en portfölj med samma räntebindningstid för bägge skuldsl</w:t>
      </w:r>
      <w:r w:rsidRPr="007D71AC">
        <w:t>a</w:t>
      </w:r>
      <w:r w:rsidRPr="007D71AC">
        <w:t xml:space="preserve">gen. </w:t>
      </w:r>
    </w:p>
    <w:p w:rsidR="00336886" w:rsidRPr="007D71AC" w:rsidRDefault="00336886">
      <w:pPr>
        <w:pStyle w:val="Rubrik2"/>
      </w:pPr>
      <w:bookmarkStart w:id="56" w:name="_Toc483042029"/>
      <w:bookmarkStart w:id="57" w:name="_Toc483564783"/>
      <w:bookmarkStart w:id="58" w:name="_Toc484658833"/>
      <w:r w:rsidRPr="007D71AC">
        <w:t>3 Utvärdering av Riksgäldskontorets operativa förvaltning av statsskulden</w:t>
      </w:r>
      <w:bookmarkEnd w:id="56"/>
      <w:bookmarkEnd w:id="57"/>
      <w:bookmarkEnd w:id="58"/>
    </w:p>
    <w:p w:rsidR="00336886" w:rsidRPr="007D71AC" w:rsidRDefault="00336886">
      <w:pPr>
        <w:pStyle w:val="Rubrik3"/>
        <w:spacing w:before="123"/>
      </w:pPr>
      <w:bookmarkStart w:id="59" w:name="_Toc483042030"/>
      <w:bookmarkStart w:id="60" w:name="_Toc483564784"/>
      <w:bookmarkStart w:id="61" w:name="_Toc484658834"/>
      <w:r w:rsidRPr="007D71AC">
        <w:t>3.1 Upplåning i nominella svenska kronor</w:t>
      </w:r>
      <w:bookmarkEnd w:id="59"/>
      <w:bookmarkEnd w:id="60"/>
      <w:bookmarkEnd w:id="61"/>
    </w:p>
    <w:p w:rsidR="00336886" w:rsidRPr="007D71AC" w:rsidRDefault="00336886">
      <w:pPr>
        <w:pStyle w:val="Rubrik4"/>
        <w:spacing w:before="123"/>
      </w:pPr>
      <w:bookmarkStart w:id="62" w:name="_Toc483042032"/>
      <w:bookmarkStart w:id="63" w:name="_Toc483564785"/>
      <w:bookmarkStart w:id="64" w:name="_Toc484658835"/>
      <w:r w:rsidRPr="007D71AC">
        <w:t xml:space="preserve">3.1.1 </w:t>
      </w:r>
      <w:bookmarkEnd w:id="62"/>
      <w:r w:rsidRPr="007D71AC">
        <w:t>Bakgrund</w:t>
      </w:r>
      <w:bookmarkEnd w:id="63"/>
      <w:bookmarkEnd w:id="64"/>
    </w:p>
    <w:p w:rsidR="00336886" w:rsidRPr="007D71AC" w:rsidRDefault="00336886">
      <w:r w:rsidRPr="007D71AC">
        <w:t>De av Riksgäldskontorets styrelse fastställda riktmärkesportföljerna blir styrande för den operativa förvaltningen av respektive portfölj. Styrelsen fastställer även tillåtna avvi</w:t>
      </w:r>
      <w:r w:rsidRPr="007D71AC">
        <w:softHyphen/>
        <w:t>kelser när det gäller löptid och valuta</w:t>
      </w:r>
      <w:r w:rsidRPr="007D71AC">
        <w:softHyphen/>
        <w:t>samman</w:t>
      </w:r>
      <w:r w:rsidRPr="007D71AC">
        <w:softHyphen/>
        <w:t>sättning. På så sätt begrän</w:t>
      </w:r>
      <w:r w:rsidRPr="007D71AC">
        <w:softHyphen/>
        <w:t>sas Riksgäldskontorets operativa risktagande i relation till de av styrelsen fastställda riktmärkes</w:t>
      </w:r>
      <w:r w:rsidRPr="007D71AC">
        <w:softHyphen/>
        <w:t>portföljerna.</w:t>
      </w:r>
    </w:p>
    <w:p w:rsidR="00336886" w:rsidRPr="007D71AC" w:rsidRDefault="00336886">
      <w:pPr>
        <w:pStyle w:val="Normaltindrag"/>
      </w:pPr>
      <w:r w:rsidRPr="007D71AC">
        <w:t>Möjligheten till avvikelse från riktmärkena syftar till att skapa incita</w:t>
      </w:r>
      <w:r w:rsidRPr="007D71AC">
        <w:softHyphen/>
        <w:t>ment till att bedriva en aktiv förvaltning av skulden för att nå högsta möjliga m</w:t>
      </w:r>
      <w:r w:rsidRPr="007D71AC">
        <w:t>å</w:t>
      </w:r>
      <w:r w:rsidRPr="007D71AC">
        <w:t>l</w:t>
      </w:r>
      <w:r w:rsidRPr="007D71AC">
        <w:softHyphen/>
        <w:t>uppfyllelse. Genom att beräkna vad det hade kostat att låna på det sätt som anges av riktmärkesportföljerna och jämföra med den faktiska kostnaden för upplåningen får man ett mått på resultatet av kon</w:t>
      </w:r>
      <w:r w:rsidRPr="007D71AC">
        <w:softHyphen/>
        <w:t>torets operativa förvalt</w:t>
      </w:r>
      <w:r w:rsidRPr="007D71AC">
        <w:softHyphen/>
        <w:t>ning. Kostnadsberäkningarna inkluderar föränd</w:t>
      </w:r>
      <w:r w:rsidRPr="007D71AC">
        <w:softHyphen/>
        <w:t>ringar i skuldens marknads</w:t>
      </w:r>
      <w:r w:rsidRPr="007D71AC">
        <w:softHyphen/>
        <w:t xml:space="preserve">värde. </w:t>
      </w:r>
    </w:p>
    <w:p w:rsidR="00336886" w:rsidRPr="007D71AC" w:rsidRDefault="00336886">
      <w:pPr>
        <w:pStyle w:val="Normaltindrag"/>
      </w:pPr>
      <w:r w:rsidRPr="007D71AC">
        <w:t xml:space="preserve">Resultatet för upplåningen i nominella svenska kronor uppgår till –202 miljoner kronor för år 1999, vilket i stort sett </w:t>
      </w:r>
      <w:r w:rsidRPr="007D71AC">
        <w:t>kan betecknas som ett noll</w:t>
      </w:r>
      <w:r w:rsidRPr="007D71AC">
        <w:softHyphen/>
        <w:t>resultat. Resultatet speglar i hög grad att Riksgäldskontoret i allt väsent</w:t>
      </w:r>
      <w:r w:rsidRPr="007D71AC">
        <w:softHyphen/>
        <w:t>ligt har replikerat riktmärket under år 1999. Riksgäldskontoret anger att inga aktiva positioner baserade på en viss marknadstro har tagits under året. Det utrymme för flexibilitet i syfte att ge incitament till en aktiv för</w:t>
      </w:r>
      <w:r w:rsidRPr="007D71AC">
        <w:softHyphen/>
        <w:t>valtning som Riksgäldskontoret tilldelats i riktlinjerna för år 1999 har därmed inte utnyt</w:t>
      </w:r>
      <w:r w:rsidRPr="007D71AC">
        <w:t>t</w:t>
      </w:r>
      <w:r w:rsidRPr="007D71AC">
        <w:t>jats.</w:t>
      </w:r>
    </w:p>
    <w:p w:rsidR="00336886" w:rsidRPr="007D71AC" w:rsidRDefault="00336886">
      <w:pPr>
        <w:pStyle w:val="Normaltindrag"/>
      </w:pPr>
      <w:r w:rsidRPr="007D71AC">
        <w:t>Resultatet för förvaltningen av den nominella kronskulden för femårspe</w:t>
      </w:r>
      <w:r w:rsidRPr="007D71AC">
        <w:softHyphen/>
        <w:t>rioden som helhet uppgår till sammanlagt knappt –15 miljarder kronor. I fjolårets utvärdering av Riksgäldskontorets förvaltning konstaterades att kontoret formellt inte uppnått det kvantitativa målet att låna till lägre kostn</w:t>
      </w:r>
      <w:r w:rsidRPr="007D71AC">
        <w:t>a</w:t>
      </w:r>
      <w:r w:rsidRPr="007D71AC">
        <w:t xml:space="preserve">der än riktmärket. Det konstaterades samtidigt att det negativa resultatet nästan i sin helhet kan hänföras till budgetåret 1995/96.     </w:t>
      </w:r>
    </w:p>
    <w:p w:rsidR="00336886" w:rsidRPr="007D71AC" w:rsidRDefault="00336886">
      <w:pPr>
        <w:pStyle w:val="Rubrik4"/>
      </w:pPr>
      <w:bookmarkStart w:id="65" w:name="_Toc483042033"/>
      <w:bookmarkStart w:id="66" w:name="_Toc483564786"/>
      <w:bookmarkStart w:id="67" w:name="_Toc484658836"/>
      <w:r w:rsidRPr="007D71AC">
        <w:t>3.1.2 Regeringens bedömning</w:t>
      </w:r>
      <w:bookmarkEnd w:id="65"/>
      <w:bookmarkEnd w:id="66"/>
      <w:bookmarkEnd w:id="67"/>
    </w:p>
    <w:p w:rsidR="00336886" w:rsidRPr="007D71AC" w:rsidRDefault="00336886">
      <w:r w:rsidRPr="007D71AC">
        <w:t>Riksgäldskontoret har under år 1999 valt att i stort sett replikera rikt</w:t>
      </w:r>
      <w:r w:rsidRPr="007D71AC">
        <w:softHyphen/>
        <w:t>märket och markerat att man medvetet avstått från att ta positioner base</w:t>
      </w:r>
      <w:r w:rsidRPr="007D71AC">
        <w:softHyphen/>
        <w:t>rat på någon räntetro. Det finns flera skäl för Riksgäldskontoret att und</w:t>
      </w:r>
      <w:r w:rsidRPr="007D71AC">
        <w:softHyphen/>
        <w:t>vika positionst</w:t>
      </w:r>
      <w:r w:rsidRPr="007D71AC">
        <w:t>a</w:t>
      </w:r>
      <w:r w:rsidRPr="007D71AC">
        <w:t>gande baserat på en räntetro. Det kan leda till mindre sta</w:t>
      </w:r>
      <w:r w:rsidRPr="007D71AC">
        <w:softHyphen/>
        <w:t>bilitet i emissioner</w:t>
      </w:r>
      <w:r w:rsidRPr="007D71AC">
        <w:softHyphen/>
        <w:t>na med sämre möjligheter för marknaden till framför</w:t>
      </w:r>
      <w:r w:rsidRPr="007D71AC">
        <w:softHyphen/>
        <w:t>hållning när det gäller att bedöma statens utbud av statsobligationer. Ett positionstagande skulle i pri</w:t>
      </w:r>
      <w:r w:rsidRPr="007D71AC">
        <w:t>n</w:t>
      </w:r>
      <w:r w:rsidRPr="007D71AC">
        <w:t>cip kunna uppfattas som ett agerande baserat på en initierad bedömning av penningpolitiken.</w:t>
      </w:r>
    </w:p>
    <w:p w:rsidR="00336886" w:rsidRPr="007D71AC" w:rsidRDefault="00336886">
      <w:pPr>
        <w:pStyle w:val="Normaltindrag"/>
      </w:pPr>
      <w:r w:rsidRPr="007D71AC">
        <w:t>Regeringen avser at</w:t>
      </w:r>
      <w:r w:rsidRPr="007D71AC">
        <w:t>t till beslutet om riktlinjer för statsskuldspolitiken för år 2001 återkomma med en utförligare diskussion om hur aktivt Riks</w:t>
      </w:r>
      <w:r w:rsidRPr="007D71AC">
        <w:softHyphen/>
        <w:t>gälds</w:t>
      </w:r>
      <w:r w:rsidRPr="007D71AC">
        <w:softHyphen/>
        <w:t>kontoret bör vara när det gäller att ta positioner i förvaltningen av den nom</w:t>
      </w:r>
      <w:r w:rsidRPr="007D71AC">
        <w:t>i</w:t>
      </w:r>
      <w:r w:rsidRPr="007D71AC">
        <w:t>nella kronskulden.</w:t>
      </w:r>
    </w:p>
    <w:p w:rsidR="00336886" w:rsidRPr="007D71AC" w:rsidRDefault="00336886">
      <w:pPr>
        <w:pStyle w:val="Normaltindrag"/>
      </w:pPr>
      <w:r w:rsidRPr="007D71AC">
        <w:t>Regeringen bedömer att de marknadsvårdande åtgärderna har bidragit till en mer effektiv marknad och lägre lånekostnader för staten i absoluta termer. Dessa åtgärder är inte möjliga att mäta kvantitativt (även om detta vore önskvärt). Åtgärderna ger heller inte utslag i resultatet vi</w:t>
      </w:r>
      <w:r w:rsidRPr="007D71AC">
        <w:t>d mätning gentemot en riktmärkesportfölj. Vid en samlad bedömning av upplå</w:t>
      </w:r>
      <w:r w:rsidRPr="007D71AC">
        <w:softHyphen/>
        <w:t>ningen i nominella kronor måste dock, via en kvalitativ bedömning, de marknadsvårdande å</w:t>
      </w:r>
      <w:r w:rsidRPr="007D71AC">
        <w:t>t</w:t>
      </w:r>
      <w:r w:rsidRPr="007D71AC">
        <w:t xml:space="preserve">gärderna vägas in och beaktas. </w:t>
      </w:r>
    </w:p>
    <w:p w:rsidR="00336886" w:rsidRPr="007D71AC" w:rsidRDefault="00336886">
      <w:pPr>
        <w:pStyle w:val="Normaltindrag"/>
      </w:pPr>
      <w:r w:rsidRPr="007D71AC">
        <w:t>Regeringen kan konstatera att det finns utrymme för en förbättrad svensk marknadsstruktur för handeln i räntebärande instrument. Riks</w:t>
      </w:r>
      <w:r w:rsidRPr="007D71AC">
        <w:softHyphen/>
        <w:t>gäldskontoret har ett ansvar för statspappersmarknadens funktionssätt. Det är enligt reg</w:t>
      </w:r>
      <w:r w:rsidRPr="007D71AC">
        <w:t>e</w:t>
      </w:r>
      <w:r w:rsidRPr="007D71AC">
        <w:t>ringens uppfattning viktigt att det arbete som påbörjats för att erhålla en effektivare marknad intensifieras och leder till ett resul</w:t>
      </w:r>
      <w:r w:rsidRPr="007D71AC">
        <w:softHyphen/>
        <w:t>tat.</w:t>
      </w:r>
    </w:p>
    <w:p w:rsidR="00336886" w:rsidRPr="007D71AC" w:rsidRDefault="00336886">
      <w:pPr>
        <w:pStyle w:val="Rubrik4"/>
      </w:pPr>
      <w:bookmarkStart w:id="68" w:name="_Toc483564787"/>
      <w:bookmarkStart w:id="69" w:name="_Toc484658837"/>
      <w:r w:rsidRPr="007D71AC">
        <w:t>3.1.3 Finansutskottets ställningstagande</w:t>
      </w:r>
      <w:bookmarkEnd w:id="68"/>
      <w:bookmarkEnd w:id="69"/>
    </w:p>
    <w:p w:rsidR="00336886" w:rsidRPr="007D71AC" w:rsidRDefault="00336886">
      <w:r w:rsidRPr="007D71AC">
        <w:t>I skrivelsen konstateras att det i Riksgäldskontorets årsredovisning saknas en tydlig analys av varför man valt att i stort sett exakt replikera riktmärket. Om Riksgäldskontoret mer eller mindre exakt väljer att replikera riktmärket blir den nuvarande struktu</w:t>
      </w:r>
      <w:r w:rsidRPr="007D71AC">
        <w:softHyphen/>
        <w:t>ren med ett delegerat riskmandat och utvärdering av detsamma inte sär</w:t>
      </w:r>
      <w:r w:rsidRPr="007D71AC">
        <w:softHyphen/>
        <w:t>skilt meningsfull. Den fråga som enligt skrivelsen bör resas är om det inte hade varit möj</w:t>
      </w:r>
      <w:r w:rsidRPr="007D71AC">
        <w:softHyphen/>
        <w:t>ligt för kontoret att, åtminstone margi</w:t>
      </w:r>
      <w:r w:rsidRPr="007D71AC">
        <w:softHyphen/>
        <w:t>nellt, anpassa skuldportföljen för att begränsa den skuldökning i mark</w:t>
      </w:r>
      <w:r w:rsidRPr="007D71AC">
        <w:softHyphen/>
        <w:t>nadsvärdestermer som följde av ränte</w:t>
      </w:r>
      <w:r w:rsidRPr="007D71AC">
        <w:softHyphen/>
        <w:t>uppgången under år 1999. Ränteup</w:t>
      </w:r>
      <w:r w:rsidRPr="007D71AC">
        <w:t>p</w:t>
      </w:r>
      <w:r w:rsidRPr="007D71AC">
        <w:t>gången skedde gradvis och var knap</w:t>
      </w:r>
      <w:r w:rsidRPr="007D71AC">
        <w:softHyphen/>
        <w:t>past helt oväntad. Som framgått är emellertid frågan om i vilken ut</w:t>
      </w:r>
      <w:r w:rsidRPr="007D71AC">
        <w:softHyphen/>
        <w:t>sträckning Riksgäldskontoret bör ta positi</w:t>
      </w:r>
      <w:r w:rsidRPr="007D71AC">
        <w:t>o</w:t>
      </w:r>
      <w:r w:rsidRPr="007D71AC">
        <w:t>ner baserat på prognose</w:t>
      </w:r>
      <w:r w:rsidRPr="007D71AC">
        <w:t>r över ränteutvecklingen varken enkel eller okontr</w:t>
      </w:r>
      <w:r w:rsidRPr="007D71AC">
        <w:t>o</w:t>
      </w:r>
      <w:r w:rsidRPr="007D71AC">
        <w:t>versiell. Riksgäldskontoret har särskilt angett att det inte är berett att ta såd</w:t>
      </w:r>
      <w:r w:rsidRPr="007D71AC">
        <w:t>a</w:t>
      </w:r>
      <w:r w:rsidRPr="007D71AC">
        <w:t xml:space="preserve">na positioner. </w:t>
      </w:r>
    </w:p>
    <w:p w:rsidR="00336886" w:rsidRPr="007D71AC" w:rsidRDefault="00336886">
      <w:pPr>
        <w:pStyle w:val="Normaltindrag"/>
      </w:pPr>
      <w:r w:rsidRPr="007D71AC">
        <w:t>Utskottet konstaterar att det i ett sådant läge inte blir särskilt meningsfullt att göra en utvärdering mot riktmärket. Det är därför angeläget att en disku</w:t>
      </w:r>
      <w:r w:rsidRPr="007D71AC">
        <w:t>s</w:t>
      </w:r>
      <w:r w:rsidRPr="007D71AC">
        <w:t>sion förs om i vilken utsträckning Riksgälds</w:t>
      </w:r>
      <w:r w:rsidRPr="007D71AC">
        <w:softHyphen/>
        <w:t>kontoret skall kunna ta positi</w:t>
      </w:r>
      <w:r w:rsidRPr="007D71AC">
        <w:t>o</w:t>
      </w:r>
      <w:r w:rsidRPr="007D71AC">
        <w:t>ner baserade på prognoser om ränte</w:t>
      </w:r>
      <w:r w:rsidRPr="007D71AC">
        <w:softHyphen/>
        <w:t>utvecklingen i förvaltningen av den n</w:t>
      </w:r>
      <w:r w:rsidRPr="007D71AC">
        <w:t>o</w:t>
      </w:r>
      <w:r w:rsidRPr="007D71AC">
        <w:t>minella kronskulden för att kunna förbättra resultatet. Frågan är som konst</w:t>
      </w:r>
      <w:r w:rsidRPr="007D71AC">
        <w:t>a</w:t>
      </w:r>
      <w:r w:rsidRPr="007D71AC">
        <w:t>teras i skrivelsen varken enkel eller okontroversiell. Det är utskottets up</w:t>
      </w:r>
      <w:r w:rsidRPr="007D71AC">
        <w:t>p</w:t>
      </w:r>
      <w:r w:rsidRPr="007D71AC">
        <w:t>fattning att frågan om hur Riksgäldskontoret bör agera behöver utredas nä</w:t>
      </w:r>
      <w:r w:rsidRPr="007D71AC">
        <w:t>r</w:t>
      </w:r>
      <w:r w:rsidRPr="007D71AC">
        <w:t>mare. Enligt vad utskottet erfarit har Riksgäldskontoret fått ett sådant up</w:t>
      </w:r>
      <w:r w:rsidRPr="007D71AC">
        <w:t>p</w:t>
      </w:r>
      <w:r w:rsidRPr="007D71AC">
        <w:t>drag som skall redovisas inför beslutet om rik</w:t>
      </w:r>
      <w:r w:rsidRPr="007D71AC">
        <w:t>t</w:t>
      </w:r>
      <w:r w:rsidRPr="007D71AC">
        <w:t>linjer för 20</w:t>
      </w:r>
      <w:r w:rsidRPr="007D71AC">
        <w:t>01.</w:t>
      </w:r>
    </w:p>
    <w:p w:rsidR="00336886" w:rsidRPr="007D71AC" w:rsidRDefault="00336886">
      <w:pPr>
        <w:pStyle w:val="Normaltindrag"/>
      </w:pPr>
      <w:r w:rsidRPr="007D71AC">
        <w:t>Utskottet delar regeringens uppfattning att det är viktigt att det arbete som påbörjats för att uppnå en effektivare marknad intensifieras och leder till ett resultat.</w:t>
      </w:r>
    </w:p>
    <w:p w:rsidR="00336886" w:rsidRPr="007D71AC" w:rsidRDefault="00336886">
      <w:pPr>
        <w:pStyle w:val="Rubrik3"/>
      </w:pPr>
      <w:bookmarkStart w:id="70" w:name="_Toc483042034"/>
      <w:bookmarkStart w:id="71" w:name="_Toc483564788"/>
      <w:bookmarkStart w:id="72" w:name="_Toc484658838"/>
      <w:r w:rsidRPr="007D71AC">
        <w:t>3.2 Upplåning i utländsk valuta</w:t>
      </w:r>
      <w:bookmarkEnd w:id="70"/>
      <w:bookmarkEnd w:id="71"/>
      <w:bookmarkEnd w:id="72"/>
    </w:p>
    <w:p w:rsidR="00336886" w:rsidRPr="007D71AC" w:rsidRDefault="00336886">
      <w:pPr>
        <w:pStyle w:val="Rubrik4"/>
        <w:spacing w:before="123"/>
      </w:pPr>
      <w:bookmarkStart w:id="73" w:name="_Toc483042036"/>
      <w:bookmarkStart w:id="74" w:name="_Toc483564789"/>
      <w:bookmarkStart w:id="75" w:name="_Toc484658839"/>
      <w:r w:rsidRPr="007D71AC">
        <w:t>3.2.1 Bakgrund</w:t>
      </w:r>
      <w:bookmarkEnd w:id="73"/>
      <w:bookmarkEnd w:id="74"/>
      <w:bookmarkEnd w:id="75"/>
      <w:r w:rsidRPr="007D71AC">
        <w:t xml:space="preserve"> </w:t>
      </w:r>
    </w:p>
    <w:p w:rsidR="00336886" w:rsidRPr="007D71AC" w:rsidRDefault="00336886">
      <w:r w:rsidRPr="007D71AC">
        <w:t>Valutafördelningen och nivån på ränterisken i skulden i utländsk valuta fastställs av Riksgäldskontorets styrelse och avspeglas i riktmärkesport</w:t>
      </w:r>
      <w:r w:rsidRPr="007D71AC">
        <w:softHyphen/>
        <w:t>följen. Genom att styrelsen inom väl definierade gränser angett utrymme för avv</w:t>
      </w:r>
      <w:r w:rsidRPr="007D71AC">
        <w:t>i</w:t>
      </w:r>
      <w:r w:rsidRPr="007D71AC">
        <w:t>kelser från riktmärket kan en aktiv förvaltning av valutaskulden bedrivas. Kontoret kan då, i enlighet med sin ränte- och/eller valutatro, positionera sig på olika delmarknader genom förändringar i andelen av skulden av en viss valuta eller genom förändringar i löptid i den faktiska valutaskulden i fö</w:t>
      </w:r>
      <w:r w:rsidRPr="007D71AC">
        <w:t>r</w:t>
      </w:r>
      <w:r w:rsidRPr="007D71AC">
        <w:t xml:space="preserve">hållande till riktmärkesportföljen. </w:t>
      </w:r>
    </w:p>
    <w:p w:rsidR="00336886" w:rsidRPr="007D71AC" w:rsidRDefault="00336886">
      <w:pPr>
        <w:pStyle w:val="Normaltindrag"/>
      </w:pPr>
      <w:r w:rsidRPr="007D71AC">
        <w:t>Riksgäldskontorets strategi är inriktad på en aktiv förvaltning av skul</w:t>
      </w:r>
      <w:r w:rsidRPr="007D71AC">
        <w:softHyphen/>
        <w:t>den i utländsk valuta. De positioner som kontoret intar och de resul</w:t>
      </w:r>
      <w:r w:rsidRPr="007D71AC">
        <w:softHyphen/>
        <w:t>tat som följer därav kan delas in i två delar: resultat som hänför sig till positioner som baseras på förväntad ränteutveckling och resultat som kan baseras på fö</w:t>
      </w:r>
      <w:r w:rsidRPr="007D71AC">
        <w:t>r</w:t>
      </w:r>
      <w:r w:rsidRPr="007D71AC">
        <w:t>väntad valutautveckling.</w:t>
      </w:r>
    </w:p>
    <w:p w:rsidR="00336886" w:rsidRPr="007D71AC" w:rsidRDefault="00336886">
      <w:r w:rsidRPr="007D71AC">
        <w:t>Under år 1999, liksom år 1998, fortsatte amorteringen av valutaskulden.  Storleken på amorteringen uppgick till 25 miljarder kronor i enlighet med regeringens riktlinjebeslut. Amorteringen i kombination med lägre voly</w:t>
      </w:r>
      <w:r w:rsidRPr="007D71AC">
        <w:softHyphen/>
        <w:t>mer förfallande lån samt uppköp av utestående lån medförde att brut</w:t>
      </w:r>
      <w:r w:rsidRPr="007D71AC">
        <w:softHyphen/>
        <w:t>to</w:t>
      </w:r>
      <w:r w:rsidRPr="007D71AC">
        <w:softHyphen/>
        <w:t>upp</w:t>
      </w:r>
      <w:r w:rsidRPr="007D71AC">
        <w:softHyphen/>
        <w:t>låningen i utländsk valuta minskade under år 1999 jämfört med år 1998.</w:t>
      </w:r>
    </w:p>
    <w:p w:rsidR="00336886" w:rsidRPr="007D71AC" w:rsidRDefault="00336886">
      <w:pPr>
        <w:pStyle w:val="Normaltindrag"/>
      </w:pPr>
      <w:r w:rsidRPr="007D71AC">
        <w:t>Resultatet för upplåning i utländsk valuta uppgår sammantaget till –506 miljoner kronor för år 1999, vilket motsvarar 0,12 % av valu</w:t>
      </w:r>
      <w:r w:rsidRPr="007D71AC">
        <w:softHyphen/>
        <w:t>taskuldens g</w:t>
      </w:r>
      <w:r w:rsidRPr="007D71AC">
        <w:t>e</w:t>
      </w:r>
      <w:r w:rsidRPr="007D71AC">
        <w:t xml:space="preserve">nomsnittliga värde under året. </w:t>
      </w:r>
    </w:p>
    <w:p w:rsidR="00336886" w:rsidRPr="007D71AC" w:rsidRDefault="00336886">
      <w:pPr>
        <w:pStyle w:val="Normaltindrag"/>
      </w:pPr>
      <w:r w:rsidRPr="007D71AC">
        <w:t>Resultatet för upplåning och skuldförvaltning i utländsk valuta uppgår t</w:t>
      </w:r>
      <w:r w:rsidRPr="007D71AC">
        <w:t>o</w:t>
      </w:r>
      <w:r w:rsidRPr="007D71AC">
        <w:t>talt för femårsperioden till 3,6 miljarder kronor. Riksgäldskontorets strat</w:t>
      </w:r>
      <w:r w:rsidRPr="007D71AC">
        <w:t>e</w:t>
      </w:r>
      <w:r w:rsidRPr="007D71AC">
        <w:t>giska räntepositionering i upplåningen av utländsk valuta har, något fören</w:t>
      </w:r>
      <w:r w:rsidRPr="007D71AC">
        <w:t>k</w:t>
      </w:r>
      <w:r w:rsidRPr="007D71AC">
        <w:t xml:space="preserve">lat, byggt på att de långa räntorna under perioden fram till dess att euron skulle införas vid ingången av år 1999 skulle konvergera mot den tyska räntan. Nedgången blev också kraftig vilket under perioden 1994/95–1999 medförde ett positivt resultat på knappt 3,8 miljarder kronor. </w:t>
      </w:r>
    </w:p>
    <w:p w:rsidR="00336886" w:rsidRPr="007D71AC" w:rsidRDefault="00336886">
      <w:pPr>
        <w:pStyle w:val="Normaltindrag"/>
      </w:pPr>
      <w:r w:rsidRPr="007D71AC">
        <w:t>Positioner baserade på uppfattningar om valutakursutvecklingen har under peri</w:t>
      </w:r>
      <w:r w:rsidRPr="007D71AC">
        <w:t>oden 1994/95–1999 totalt gett ett negativt resultat på 0,2 mil</w:t>
      </w:r>
      <w:r w:rsidRPr="007D71AC">
        <w:softHyphen/>
        <w:t>jarder kr</w:t>
      </w:r>
      <w:r w:rsidRPr="007D71AC">
        <w:t>o</w:t>
      </w:r>
      <w:r w:rsidRPr="007D71AC">
        <w:t>nor.</w:t>
      </w:r>
    </w:p>
    <w:p w:rsidR="00336886" w:rsidRPr="007D71AC" w:rsidRDefault="00336886">
      <w:pPr>
        <w:pStyle w:val="Normaltindrag"/>
      </w:pPr>
      <w:r w:rsidRPr="007D71AC">
        <w:t xml:space="preserve">Riksgäldskontoret anlitar sedan år 1992 externa förvaltare som förvaltar en mindre del, ca 5 %, av statsskulden. Genom att jämföra Riksgäldskontorets resultat med de externa förvaltarnas ges kompletterande information om i vilken grad målet för upplåningen i utländsk valuta har uppnåtts och under vilket risktagande detta har skett. Antalet externa förvaltare har varierat under åren. År 1999 var de två till antalet. </w:t>
      </w:r>
    </w:p>
    <w:p w:rsidR="00336886" w:rsidRPr="007D71AC" w:rsidRDefault="00336886">
      <w:pPr>
        <w:pStyle w:val="Normaltindrag"/>
      </w:pPr>
      <w:r w:rsidRPr="007D71AC">
        <w:t>En sådan jämförelse visar att Riksgäldskontoret under utvärderingspe</w:t>
      </w:r>
      <w:r w:rsidRPr="007D71AC">
        <w:softHyphen/>
        <w:t>rioden genomgående har presterat ett bättre resultat än de externa förval</w:t>
      </w:r>
      <w:r w:rsidRPr="007D71AC">
        <w:softHyphen/>
        <w:t xml:space="preserve">tarnas genomsnittliga resultat (0,80 % respektive –0,16 % av förvaltad statsskuld). För år 1999 uppvisar såväl Riksgäldskontoret som de externa förvaltarna ett negativt resultat, –0,12 % respektive –0,33 % av förvaltat belopp. </w:t>
      </w:r>
    </w:p>
    <w:p w:rsidR="00336886" w:rsidRPr="007D71AC" w:rsidRDefault="00336886">
      <w:pPr>
        <w:pStyle w:val="Rubrik4"/>
      </w:pPr>
      <w:bookmarkStart w:id="76" w:name="_Toc483042037"/>
      <w:bookmarkStart w:id="77" w:name="_Toc483564790"/>
      <w:bookmarkStart w:id="78" w:name="_Toc484658840"/>
      <w:r w:rsidRPr="007D71AC">
        <w:t>3.2.2 Regeringens bedömning</w:t>
      </w:r>
      <w:bookmarkEnd w:id="76"/>
      <w:bookmarkEnd w:id="77"/>
      <w:bookmarkEnd w:id="78"/>
    </w:p>
    <w:p w:rsidR="00336886" w:rsidRPr="007D71AC" w:rsidRDefault="00336886">
      <w:r w:rsidRPr="007D71AC">
        <w:t>Riksgäldskontoret uppvisar ett positivt re</w:t>
      </w:r>
      <w:r w:rsidRPr="007D71AC">
        <w:softHyphen/>
        <w:t>sultat för förvaltningen av valuta</w:t>
      </w:r>
      <w:r w:rsidRPr="007D71AC">
        <w:softHyphen/>
        <w:t>skulden. Även i jämförelse med de av Riksgäldskontoret anlitade externa förvaltarna har Riks</w:t>
      </w:r>
      <w:r w:rsidRPr="007D71AC">
        <w:softHyphen/>
        <w:t>gäldskontoret presterat ett bättre resultat. Resultatet har uppnåtts sam</w:t>
      </w:r>
      <w:r w:rsidRPr="007D71AC">
        <w:softHyphen/>
        <w:t>tidigt som risktagandet har varit lägre än för de externa förva</w:t>
      </w:r>
      <w:r w:rsidRPr="007D71AC">
        <w:t>l</w:t>
      </w:r>
      <w:r w:rsidRPr="007D71AC">
        <w:t>tarna.</w:t>
      </w:r>
    </w:p>
    <w:p w:rsidR="00336886" w:rsidRPr="007D71AC" w:rsidRDefault="00336886">
      <w:pPr>
        <w:pStyle w:val="Rubrik4"/>
      </w:pPr>
      <w:bookmarkStart w:id="79" w:name="_Toc483564791"/>
      <w:bookmarkStart w:id="80" w:name="_Toc484658841"/>
      <w:r w:rsidRPr="007D71AC">
        <w:t>3.2.3 Finansutskottets ställningstagande</w:t>
      </w:r>
      <w:bookmarkEnd w:id="79"/>
      <w:bookmarkEnd w:id="80"/>
    </w:p>
    <w:p w:rsidR="00336886" w:rsidRPr="007D71AC" w:rsidRDefault="00336886">
      <w:r w:rsidRPr="007D71AC">
        <w:t>Skuldförvaltningen på den internationella kapitalmarknaden uppvisar ett positivt resultat för femårsperioden på 3,6 miljarder kronor. För år 1999 är dock resultatet negativt – 506 miljoner kronor. Riksgäldskontorets resultat kan jämföras med resultatet för de externa förvaltare som på uppdrag av kontoret förvaltar en mindre del av skulden. I denna jämförelse har Rik</w:t>
      </w:r>
      <w:r w:rsidRPr="007D71AC">
        <w:t>s</w:t>
      </w:r>
      <w:r w:rsidRPr="007D71AC">
        <w:t xml:space="preserve">gäldskontoret uppnått ett bättre resultat samtidigt som den uppmätta risken varit lägre. </w:t>
      </w:r>
    </w:p>
    <w:p w:rsidR="00336886" w:rsidRPr="007D71AC" w:rsidRDefault="00336886">
      <w:pPr>
        <w:pStyle w:val="Normaltindrag"/>
      </w:pPr>
      <w:r w:rsidRPr="007D71AC">
        <w:t>Utskottet delar således regeringens uppfattning att sett över hela utvärd</w:t>
      </w:r>
      <w:r w:rsidRPr="007D71AC">
        <w:t>e</w:t>
      </w:r>
      <w:r w:rsidRPr="007D71AC">
        <w:t>ringsperioden har Riksgäldskontorets upplåning och skuldförvaltning på den internationella kapitalmarknaden bedrivits fra</w:t>
      </w:r>
      <w:r w:rsidRPr="007D71AC">
        <w:t>m</w:t>
      </w:r>
      <w:r w:rsidRPr="007D71AC">
        <w:t>gångsrikt.</w:t>
      </w:r>
    </w:p>
    <w:p w:rsidR="00336886" w:rsidRPr="007D71AC" w:rsidRDefault="00336886">
      <w:pPr>
        <w:pStyle w:val="Rubrik3"/>
      </w:pPr>
      <w:bookmarkStart w:id="81" w:name="_Toc483042038"/>
      <w:bookmarkStart w:id="82" w:name="_Toc483564792"/>
      <w:bookmarkStart w:id="83" w:name="_Toc484658842"/>
      <w:r w:rsidRPr="007D71AC">
        <w:t>3.3 Upplåning i realobligationer</w:t>
      </w:r>
      <w:bookmarkEnd w:id="81"/>
      <w:bookmarkEnd w:id="82"/>
      <w:bookmarkEnd w:id="83"/>
    </w:p>
    <w:p w:rsidR="00336886" w:rsidRPr="007D71AC" w:rsidRDefault="00336886">
      <w:pPr>
        <w:pStyle w:val="Rubrik4"/>
        <w:spacing w:before="123"/>
      </w:pPr>
      <w:bookmarkStart w:id="84" w:name="_Toc483042039"/>
      <w:bookmarkStart w:id="85" w:name="_Toc483564793"/>
      <w:bookmarkStart w:id="86" w:name="_Toc484658843"/>
      <w:r w:rsidRPr="007D71AC">
        <w:t>3.3.1 Bakgrund</w:t>
      </w:r>
      <w:bookmarkEnd w:id="84"/>
      <w:bookmarkEnd w:id="85"/>
      <w:bookmarkEnd w:id="86"/>
    </w:p>
    <w:p w:rsidR="00336886" w:rsidRPr="007D71AC" w:rsidRDefault="00336886">
      <w:r w:rsidRPr="007D71AC">
        <w:t>Realobligationer fyller en viktig funktion i statens skuldportfölj eftersom de erbjuder möjligheter att ytterligare diversifiera statsskuldens samman</w:t>
      </w:r>
      <w:r w:rsidRPr="007D71AC">
        <w:softHyphen/>
        <w:t>sättning och minska beroendet av olika delmarknader. Real</w:t>
      </w:r>
      <w:r w:rsidRPr="007D71AC">
        <w:softHyphen/>
        <w:t>ränte</w:t>
      </w:r>
      <w:r w:rsidRPr="007D71AC">
        <w:softHyphen/>
        <w:t>obligationen ger investeraren ett skydd mot inflationen. Upplåningen i realobligationer bör bidra till att öka trovär</w:t>
      </w:r>
      <w:r w:rsidRPr="007D71AC">
        <w:softHyphen/>
        <w:t>digheten för prisstabilitets</w:t>
      </w:r>
      <w:r w:rsidRPr="007D71AC">
        <w:softHyphen/>
        <w:t xml:space="preserve">politiken. </w:t>
      </w:r>
    </w:p>
    <w:p w:rsidR="00336886" w:rsidRPr="007D71AC" w:rsidRDefault="00336886">
      <w:pPr>
        <w:pStyle w:val="Normaltindrag"/>
      </w:pPr>
      <w:r w:rsidRPr="007D71AC">
        <w:t>Regeringen angav i riktlinjerna för år 1999 att den utestående stocken av realränteobligationer inte skulle minska. Det långsiktiga målet är att lån</w:t>
      </w:r>
      <w:r w:rsidRPr="007D71AC">
        <w:t>e</w:t>
      </w:r>
      <w:r w:rsidRPr="007D71AC">
        <w:t xml:space="preserve">formen inte ska vara dyrare än nominell upplåning. </w:t>
      </w:r>
    </w:p>
    <w:p w:rsidR="00336886" w:rsidRPr="007D71AC" w:rsidRDefault="00336886">
      <w:pPr>
        <w:pStyle w:val="Normaltindrag"/>
      </w:pPr>
      <w:r w:rsidRPr="007D71AC">
        <w:t>Resultatet för realobligationsupplåningen beräknas som den hittillsva</w:t>
      </w:r>
      <w:r w:rsidRPr="007D71AC">
        <w:softHyphen/>
        <w:t>rande kostnadsskillnaden mellan upplåning i nominella och reala obliga</w:t>
      </w:r>
      <w:r w:rsidRPr="007D71AC">
        <w:softHyphen/>
        <w:t>tioner. Denna mäts som skillnaden mellan förväntad inflation vid upplå</w:t>
      </w:r>
      <w:r w:rsidRPr="007D71AC">
        <w:softHyphen/>
        <w:t xml:space="preserve">ningstillfället och realiserad inflation fram till utvärderingstillfället. Det slutliga resultatet av upplåningen i realobligationer föreligger därmed inte förrän vid tidpunkten då realobligationen har förfallit. </w:t>
      </w:r>
    </w:p>
    <w:p w:rsidR="00336886" w:rsidRPr="007D71AC" w:rsidRDefault="00336886">
      <w:pPr>
        <w:pStyle w:val="Normaltindrag"/>
      </w:pPr>
      <w:r w:rsidRPr="007D71AC">
        <w:t>Resultatet för upplåningen i realobligationer uppgår till 1,7 miljarder kr</w:t>
      </w:r>
      <w:r w:rsidRPr="007D71AC">
        <w:t>o</w:t>
      </w:r>
      <w:r w:rsidRPr="007D71AC">
        <w:t>nor för år 1999. Resultatet för utvärderingsperioden som helhet uppgår till 6,8 miljarder kronor.</w:t>
      </w:r>
    </w:p>
    <w:p w:rsidR="00336886" w:rsidRPr="007D71AC" w:rsidRDefault="00336886">
      <w:pPr>
        <w:pStyle w:val="Rubrik4"/>
      </w:pPr>
      <w:bookmarkStart w:id="87" w:name="_Toc483042041"/>
      <w:bookmarkStart w:id="88" w:name="_Toc483564794"/>
      <w:bookmarkStart w:id="89" w:name="_Toc484658844"/>
      <w:r w:rsidRPr="007D71AC">
        <w:t>3.3.2 Regeringens bedömning</w:t>
      </w:r>
      <w:bookmarkEnd w:id="87"/>
      <w:bookmarkEnd w:id="88"/>
      <w:bookmarkEnd w:id="89"/>
    </w:p>
    <w:p w:rsidR="00336886" w:rsidRPr="007D71AC" w:rsidRDefault="00336886">
      <w:r w:rsidRPr="007D71AC">
        <w:t>Enligt regeringens mål för upplåningen i realobligationer skall den långsi</w:t>
      </w:r>
      <w:r w:rsidRPr="007D71AC">
        <w:t>k</w:t>
      </w:r>
      <w:r w:rsidRPr="007D71AC">
        <w:t>tigt innebära samma eller lägre kostnad än upplåning på den nominella obl</w:t>
      </w:r>
      <w:r w:rsidRPr="007D71AC">
        <w:t>i</w:t>
      </w:r>
      <w:r w:rsidRPr="007D71AC">
        <w:t>gationsmarknaden. Riksgäldskontoret har där</w:t>
      </w:r>
      <w:r w:rsidRPr="007D71AC">
        <w:softHyphen/>
        <w:t>med uppnått det kvantitativa målet för upplåningen i realobligationer.</w:t>
      </w:r>
    </w:p>
    <w:p w:rsidR="00336886" w:rsidRPr="007D71AC" w:rsidRDefault="00336886">
      <w:pPr>
        <w:pStyle w:val="Normaltindrag"/>
      </w:pPr>
      <w:r w:rsidRPr="007D71AC">
        <w:t>Regeringen pekar på brister i realobligationsmarknadens funktions</w:t>
      </w:r>
      <w:r w:rsidRPr="007D71AC">
        <w:softHyphen/>
        <w:t>sätt och anser det angeläget att en aktiv marknadsvård be</w:t>
      </w:r>
      <w:r w:rsidRPr="007D71AC">
        <w:softHyphen/>
        <w:t>drivs i syfte att öka likvid</w:t>
      </w:r>
      <w:r w:rsidRPr="007D71AC">
        <w:t>i</w:t>
      </w:r>
      <w:r w:rsidRPr="007D71AC">
        <w:t>teten och effektiviteten i andrahandsmark</w:t>
      </w:r>
      <w:r w:rsidRPr="007D71AC">
        <w:softHyphen/>
        <w:t>naden för realobligationer.</w:t>
      </w:r>
    </w:p>
    <w:p w:rsidR="00336886" w:rsidRPr="007D71AC" w:rsidRDefault="00336886">
      <w:pPr>
        <w:pStyle w:val="Rubrik4"/>
      </w:pPr>
      <w:bookmarkStart w:id="90" w:name="_Toc483564795"/>
      <w:bookmarkStart w:id="91" w:name="_Toc484658845"/>
      <w:r w:rsidRPr="007D71AC">
        <w:t>3.3.3 Finansutskottets ställningstagande</w:t>
      </w:r>
      <w:bookmarkEnd w:id="90"/>
      <w:bookmarkEnd w:id="91"/>
    </w:p>
    <w:p w:rsidR="00336886" w:rsidRPr="007D71AC" w:rsidRDefault="00336886">
      <w:r w:rsidRPr="007D71AC">
        <w:t>Finansutskottet delar regeringens bedömning.</w:t>
      </w:r>
    </w:p>
    <w:p w:rsidR="00336886" w:rsidRPr="007D71AC" w:rsidRDefault="00336886">
      <w:pPr>
        <w:pStyle w:val="Rubrik3"/>
      </w:pPr>
      <w:bookmarkStart w:id="92" w:name="_Toc483042042"/>
      <w:bookmarkStart w:id="93" w:name="_Toc483564796"/>
      <w:bookmarkStart w:id="94" w:name="_Toc484658846"/>
      <w:r w:rsidRPr="007D71AC">
        <w:t>3.4 Upplåning från hushållen</w:t>
      </w:r>
      <w:bookmarkEnd w:id="92"/>
      <w:bookmarkEnd w:id="93"/>
      <w:bookmarkEnd w:id="94"/>
    </w:p>
    <w:p w:rsidR="00336886" w:rsidRPr="007D71AC" w:rsidRDefault="00336886">
      <w:pPr>
        <w:pStyle w:val="Rubrik4"/>
        <w:spacing w:before="123"/>
      </w:pPr>
      <w:bookmarkStart w:id="95" w:name="_Toc483042044"/>
      <w:bookmarkStart w:id="96" w:name="_Toc483564797"/>
      <w:bookmarkStart w:id="97" w:name="_Toc484658847"/>
      <w:r w:rsidRPr="007D71AC">
        <w:t>3.4.1 Bakgrund</w:t>
      </w:r>
      <w:bookmarkEnd w:id="95"/>
      <w:bookmarkEnd w:id="96"/>
      <w:bookmarkEnd w:id="97"/>
    </w:p>
    <w:p w:rsidR="00336886" w:rsidRPr="007D71AC" w:rsidRDefault="00336886">
      <w:r w:rsidRPr="007D71AC">
        <w:t>Hushållsupplåningen utvärderas genom att kostnaden för upplåningen från hus</w:t>
      </w:r>
      <w:r w:rsidRPr="007D71AC">
        <w:softHyphen/>
        <w:t>hållen jämförs med motsvarande upplåning i statsskuldväxlar och nomi</w:t>
      </w:r>
      <w:r w:rsidRPr="007D71AC">
        <w:softHyphen/>
        <w:t>nella statsobligationer. I kostnaden tas hänsyn till samtliga kostnader för</w:t>
      </w:r>
      <w:r w:rsidRPr="007D71AC">
        <w:softHyphen/>
        <w:t>knippade med hushållsupplåningen, även Riksgäldskontorets administra</w:t>
      </w:r>
      <w:r w:rsidRPr="007D71AC">
        <w:softHyphen/>
        <w:t xml:space="preserve">tiva kostnader. </w:t>
      </w:r>
    </w:p>
    <w:p w:rsidR="00336886" w:rsidRPr="007D71AC" w:rsidRDefault="00336886">
      <w:pPr>
        <w:pStyle w:val="Normaltindrag"/>
      </w:pPr>
      <w:r w:rsidRPr="007D71AC">
        <w:t>Resultatet för upplåning på hushållsmarknaden uppgår till 141 miljoner kronor för år 1999. Resultatet kan nästan till sin helhet hänföras till pre</w:t>
      </w:r>
      <w:r w:rsidRPr="007D71AC">
        <w:softHyphen/>
        <w:t>mieobligationerna, trots att dessa uppvisar något minskande volymer för år 1999. Under den senaste fyraårsperioden har upplåningen på hus</w:t>
      </w:r>
      <w:r w:rsidRPr="007D71AC">
        <w:softHyphen/>
        <w:t>hålls</w:t>
      </w:r>
      <w:r w:rsidRPr="007D71AC">
        <w:softHyphen/>
        <w:t>marknaden inneburit en kostnadsbesparing på 712 miljoner kronor jämfört med uppl</w:t>
      </w:r>
      <w:r w:rsidRPr="007D71AC">
        <w:t>å</w:t>
      </w:r>
      <w:r w:rsidRPr="007D71AC">
        <w:t xml:space="preserve">ning genom statsobligationer och statsskuldväxlar. </w:t>
      </w:r>
    </w:p>
    <w:p w:rsidR="00336886" w:rsidRPr="007D71AC" w:rsidRDefault="00336886">
      <w:pPr>
        <w:pStyle w:val="Rubrik4"/>
      </w:pPr>
      <w:bookmarkStart w:id="98" w:name="_Toc483042045"/>
      <w:bookmarkStart w:id="99" w:name="_Toc483564798"/>
      <w:bookmarkStart w:id="100" w:name="_Toc484658848"/>
      <w:r w:rsidRPr="007D71AC">
        <w:t>3.4.2 Regeringens bedömning</w:t>
      </w:r>
      <w:bookmarkEnd w:id="98"/>
      <w:bookmarkEnd w:id="99"/>
      <w:bookmarkEnd w:id="100"/>
    </w:p>
    <w:p w:rsidR="00336886" w:rsidRPr="007D71AC" w:rsidRDefault="00336886">
      <w:r w:rsidRPr="007D71AC">
        <w:t>Riksgäldskontoret har uppnått det kvantitativa målet vad gäller det totala resultatet för upplåningen på hushållsmarknaden.</w:t>
      </w:r>
    </w:p>
    <w:p w:rsidR="00336886" w:rsidRPr="007D71AC" w:rsidRDefault="00336886">
      <w:pPr>
        <w:pStyle w:val="Normaltindrag"/>
      </w:pPr>
      <w:r w:rsidRPr="007D71AC">
        <w:t>Målet om kostnadsbesparing avser även kontorets enskilda låne</w:t>
      </w:r>
      <w:r w:rsidRPr="007D71AC">
        <w:softHyphen/>
        <w:t>instrument. Regeringen noterar att sparformen Riksgäldsspar uppvisar ett samlat negativt resultat för utvärderingsperioden. Resultatet är dock p</w:t>
      </w:r>
      <w:r w:rsidRPr="007D71AC">
        <w:t>o</w:t>
      </w:r>
      <w:r w:rsidRPr="007D71AC">
        <w:t xml:space="preserve">sitivt för 1999. </w:t>
      </w:r>
    </w:p>
    <w:p w:rsidR="00336886" w:rsidRPr="007D71AC" w:rsidRDefault="00336886">
      <w:pPr>
        <w:pStyle w:val="Rubrik4"/>
        <w:rPr>
          <w:snapToGrid w:val="0"/>
          <w:lang w:eastAsia="sv-SE"/>
        </w:rPr>
      </w:pPr>
      <w:bookmarkStart w:id="101" w:name="_Toc483042047"/>
      <w:bookmarkStart w:id="102" w:name="_Toc483564799"/>
      <w:bookmarkStart w:id="103" w:name="_Toc484658849"/>
      <w:r w:rsidRPr="007D71AC">
        <w:rPr>
          <w:snapToGrid w:val="0"/>
          <w:lang w:eastAsia="sv-SE"/>
        </w:rPr>
        <w:t>3.4.3 Mot</w:t>
      </w:r>
      <w:r w:rsidRPr="007D71AC">
        <w:t>i</w:t>
      </w:r>
      <w:r w:rsidRPr="007D71AC">
        <w:rPr>
          <w:snapToGrid w:val="0"/>
          <w:lang w:eastAsia="sv-SE"/>
        </w:rPr>
        <w:t>onen</w:t>
      </w:r>
      <w:bookmarkEnd w:id="101"/>
      <w:bookmarkEnd w:id="102"/>
      <w:bookmarkEnd w:id="103"/>
    </w:p>
    <w:p w:rsidR="00336886" w:rsidRPr="007D71AC" w:rsidRDefault="00336886">
      <w:pPr>
        <w:rPr>
          <w:snapToGrid w:val="0"/>
          <w:lang w:eastAsia="sv-SE"/>
        </w:rPr>
      </w:pPr>
      <w:r w:rsidRPr="007D71AC">
        <w:rPr>
          <w:snapToGrid w:val="0"/>
          <w:lang w:eastAsia="sv-SE"/>
        </w:rPr>
        <w:t xml:space="preserve">I </w:t>
      </w:r>
      <w:r w:rsidRPr="007D71AC">
        <w:rPr>
          <w:i/>
          <w:snapToGrid w:val="0"/>
          <w:lang w:eastAsia="sv-SE"/>
        </w:rPr>
        <w:t>motion Fi52</w:t>
      </w:r>
      <w:r w:rsidRPr="007D71AC">
        <w:rPr>
          <w:snapToGrid w:val="0"/>
          <w:lang w:eastAsia="sv-SE"/>
        </w:rPr>
        <w:t xml:space="preserve"> av Gunnar Hökmark m.fl. (m) framförs att det är  olämpligt att en statlig myndighet agerar som en aktör på en konkurrensutsatt marknad där syftet uttalat blir att attrahera inlåningsmedel till en kontoliknande sparform, Riksgäldsspar, som visar stora likheter med t.ex. vanlig bankinlåning. Rik</w:t>
      </w:r>
      <w:r w:rsidRPr="007D71AC">
        <w:rPr>
          <w:snapToGrid w:val="0"/>
          <w:lang w:eastAsia="sv-SE"/>
        </w:rPr>
        <w:t>s</w:t>
      </w:r>
      <w:r w:rsidRPr="007D71AC">
        <w:rPr>
          <w:snapToGrid w:val="0"/>
          <w:lang w:eastAsia="sv-SE"/>
        </w:rPr>
        <w:t>gäldsspar bör sålunda inte utvecklas utan i stället avvecklas så snart som möjligt.</w:t>
      </w:r>
    </w:p>
    <w:p w:rsidR="00336886" w:rsidRPr="007D71AC" w:rsidRDefault="00336886">
      <w:pPr>
        <w:pStyle w:val="Rubrik4"/>
      </w:pPr>
      <w:bookmarkStart w:id="104" w:name="_Toc483564800"/>
      <w:bookmarkStart w:id="105" w:name="_Toc484658850"/>
      <w:r w:rsidRPr="007D71AC">
        <w:t>3.4.4 Finansutskottets ställningstagande</w:t>
      </w:r>
      <w:bookmarkEnd w:id="104"/>
      <w:bookmarkEnd w:id="105"/>
    </w:p>
    <w:p w:rsidR="00336886" w:rsidRPr="007D71AC" w:rsidRDefault="00336886">
      <w:r w:rsidRPr="007D71AC">
        <w:t>Utskottet konstaterar i likhet med regeringen att Riksgäldskontoret har up</w:t>
      </w:r>
      <w:r w:rsidRPr="007D71AC">
        <w:t>p</w:t>
      </w:r>
      <w:r w:rsidRPr="007D71AC">
        <w:t xml:space="preserve">nått det kvantitativa målet vad gäller det totala resultatet för </w:t>
      </w:r>
      <w:r w:rsidRPr="007D71AC">
        <w:rPr>
          <w:i/>
        </w:rPr>
        <w:t>upplåningen på hushållsmarknaden</w:t>
      </w:r>
      <w:r w:rsidRPr="007D71AC">
        <w:t xml:space="preserve">. </w:t>
      </w:r>
    </w:p>
    <w:p w:rsidR="00336886" w:rsidRPr="007D71AC" w:rsidRDefault="00336886">
      <w:r w:rsidRPr="007D71AC">
        <w:t>Regeringens mål för hushållsupplåningen gäller dock även de enskilda lån</w:t>
      </w:r>
      <w:r w:rsidRPr="007D71AC">
        <w:t>e</w:t>
      </w:r>
      <w:r w:rsidRPr="007D71AC">
        <w:t xml:space="preserve">instrumenten. Målet har i det här avseendet inte uppnåtts eftersom </w:t>
      </w:r>
      <w:r w:rsidRPr="007D71AC">
        <w:rPr>
          <w:i/>
        </w:rPr>
        <w:t>Riksgäld</w:t>
      </w:r>
      <w:r w:rsidRPr="007D71AC">
        <w:rPr>
          <w:i/>
        </w:rPr>
        <w:t>s</w:t>
      </w:r>
      <w:r w:rsidRPr="007D71AC">
        <w:rPr>
          <w:i/>
        </w:rPr>
        <w:t>spar</w:t>
      </w:r>
      <w:r w:rsidRPr="007D71AC">
        <w:t xml:space="preserve"> uppvisar ett samlat negativt resultat för utvärderingsperio</w:t>
      </w:r>
      <w:r w:rsidRPr="007D71AC">
        <w:softHyphen/>
        <w:t>den. Sparfo</w:t>
      </w:r>
      <w:r w:rsidRPr="007D71AC">
        <w:t>r</w:t>
      </w:r>
      <w:r w:rsidRPr="007D71AC">
        <w:t>men infördes år 1997 och uppbyggnads</w:t>
      </w:r>
      <w:r w:rsidRPr="007D71AC">
        <w:softHyphen/>
        <w:t>skedet bedöms nu ha passerats. För år 1999 uppgår besparingen till 5 miljoner kronor vilket är en avsevärd resulta</w:t>
      </w:r>
      <w:r w:rsidRPr="007D71AC">
        <w:t>t</w:t>
      </w:r>
      <w:r w:rsidRPr="007D71AC">
        <w:t>förbättring. Finansutskottet anser i likhet med regeringen att det är viktigt att Riks</w:t>
      </w:r>
      <w:r w:rsidRPr="007D71AC">
        <w:softHyphen/>
        <w:t>gäldskontoret fortsätter att aktivt utveckla Riks</w:t>
      </w:r>
      <w:r w:rsidRPr="007D71AC">
        <w:softHyphen/>
        <w:t>gäldsspar till en attraktiv sparform på den svenska sparmarknaden. Ut</w:t>
      </w:r>
      <w:r w:rsidRPr="007D71AC">
        <w:t>skottet avstyrker motion Fi52 (m).</w:t>
      </w:r>
    </w:p>
    <w:p w:rsidR="00336886" w:rsidRPr="007D71AC" w:rsidRDefault="00336886">
      <w:pPr>
        <w:pStyle w:val="Rubrik2"/>
      </w:pPr>
      <w:bookmarkStart w:id="106" w:name="_Toc483042046"/>
      <w:bookmarkStart w:id="107" w:name="_Toc483564801"/>
      <w:bookmarkStart w:id="108" w:name="_Toc484658851"/>
      <w:r w:rsidRPr="007D71AC">
        <w:t>4 Sammanfattande bedömning av Riksgäldskontorets förvaltning av statsskulden</w:t>
      </w:r>
      <w:bookmarkEnd w:id="106"/>
      <w:bookmarkEnd w:id="107"/>
      <w:bookmarkEnd w:id="108"/>
    </w:p>
    <w:p w:rsidR="00336886" w:rsidRPr="007D71AC" w:rsidRDefault="00336886">
      <w:pPr>
        <w:pStyle w:val="Rubrik3"/>
        <w:spacing w:before="123"/>
      </w:pPr>
      <w:bookmarkStart w:id="109" w:name="_Toc483564802"/>
      <w:bookmarkStart w:id="110" w:name="_Toc484658852"/>
      <w:r w:rsidRPr="007D71AC">
        <w:t>4.1 Regeringens bedömning</w:t>
      </w:r>
      <w:bookmarkEnd w:id="109"/>
      <w:bookmarkEnd w:id="110"/>
    </w:p>
    <w:p w:rsidR="00336886" w:rsidRPr="007D71AC" w:rsidRDefault="00336886">
      <w:r w:rsidRPr="007D71AC">
        <w:t>Mot bakgrund av vad regeringen anför i skrivelsen och med beaktande av de svårigheter som före</w:t>
      </w:r>
      <w:r w:rsidRPr="007D71AC">
        <w:softHyphen/>
        <w:t>ligger i bedömningen av resultatet för upplåningen i nominella svenska kronor finner regeringen att Riksgäldskontoret samma</w:t>
      </w:r>
      <w:r w:rsidRPr="007D71AC">
        <w:t>n</w:t>
      </w:r>
      <w:r w:rsidRPr="007D71AC">
        <w:t>taget förvaltat statsskulden i enlighet med effektmålet för statsskuldspolit</w:t>
      </w:r>
      <w:r w:rsidRPr="007D71AC">
        <w:t>i</w:t>
      </w:r>
      <w:r w:rsidRPr="007D71AC">
        <w:t>ken, dvs. att långsiktigt minimera kostnaden för skulden med beaktande av risken i förvaltningen. Förvaltningen har också bedrivits inom ramen för de krav som penningpol</w:t>
      </w:r>
      <w:r w:rsidRPr="007D71AC">
        <w:t>i</w:t>
      </w:r>
      <w:r w:rsidRPr="007D71AC">
        <w:t>tiken ställer.</w:t>
      </w:r>
    </w:p>
    <w:p w:rsidR="00336886" w:rsidRPr="007D71AC" w:rsidRDefault="00336886">
      <w:pPr>
        <w:pStyle w:val="Rubrik3"/>
      </w:pPr>
      <w:bookmarkStart w:id="111" w:name="_Toc483564803"/>
      <w:bookmarkStart w:id="112" w:name="_Toc484658853"/>
      <w:r w:rsidRPr="007D71AC">
        <w:t>4.2 Finansutskottets ställningstagande</w:t>
      </w:r>
      <w:bookmarkEnd w:id="111"/>
      <w:bookmarkEnd w:id="112"/>
    </w:p>
    <w:p w:rsidR="00336886" w:rsidRPr="007D71AC" w:rsidRDefault="00336886">
      <w:r w:rsidRPr="007D71AC">
        <w:t>Finansutskottet gör i allt väsentligt samma bedömningar som regeringen i utvärderingen av Riksgäldskontorets upplåning och skuldförvaltning under budgetåren 1994/95–1999. Utskottet konstaterar i likhet med föregående år att det inte är alldeles enkelt att dra entydiga slutsatser främst med hänsyn till de problem som föreligger vid en bedömning av resultatet inom upplåningen på den inhemska nominella marknaden. Enligt utskottet kommer den nya modell för statsskuldsförvaltningen som infördes den 1 januari 19</w:t>
      </w:r>
      <w:r w:rsidRPr="007D71AC">
        <w:t>99 att successivt skapa bättre förutsättningar för en utvärdering av Riksgäldskont</w:t>
      </w:r>
      <w:r w:rsidRPr="007D71AC">
        <w:t>o</w:t>
      </w:r>
      <w:r w:rsidRPr="007D71AC">
        <w:t>rets upplåning och stats</w:t>
      </w:r>
      <w:r w:rsidRPr="007D71AC">
        <w:softHyphen/>
        <w:t xml:space="preserve">skuldsförvaltningens resultat. Till detta bidrar såväl den ändrade målformuleringen som det helhetsperspektiv som präglar den nya modellen. </w:t>
      </w:r>
    </w:p>
    <w:p w:rsidR="00336886" w:rsidRPr="007D71AC" w:rsidRDefault="00336886">
      <w:pPr>
        <w:pStyle w:val="Normaltindrag"/>
      </w:pPr>
      <w:r w:rsidRPr="007D71AC">
        <w:t>Utskottet föreslår att riksdagen lägger regeringens skrivelse till handlin</w:t>
      </w:r>
      <w:r w:rsidRPr="007D71AC">
        <w:t>g</w:t>
      </w:r>
      <w:r w:rsidRPr="007D71AC">
        <w:t>arna.</w:t>
      </w:r>
    </w:p>
    <w:p w:rsidR="00336886" w:rsidRPr="007D71AC" w:rsidRDefault="00336886">
      <w:pPr>
        <w:pStyle w:val="Rubrik2"/>
      </w:pPr>
      <w:bookmarkStart w:id="113" w:name="_Toc484658854"/>
      <w:r w:rsidRPr="007D71AC">
        <w:t>Hemställan</w:t>
      </w:r>
      <w:bookmarkEnd w:id="113"/>
    </w:p>
    <w:p w:rsidR="00336886" w:rsidRPr="007D71AC" w:rsidRDefault="00336886">
      <w:r w:rsidRPr="007D71AC">
        <w:t xml:space="preserve">Utskottet hemställer </w:t>
      </w:r>
      <w:bookmarkStart w:id="114" w:name="Nästa_Hpunkt"/>
      <w:bookmarkEnd w:id="114"/>
    </w:p>
    <w:p w:rsidR="00336886" w:rsidRPr="007D71AC" w:rsidRDefault="00336886">
      <w:pPr>
        <w:pStyle w:val="hembetr"/>
      </w:pPr>
      <w:r w:rsidRPr="007D71AC">
        <w:t xml:space="preserve">1. beträffande </w:t>
      </w:r>
      <w:r w:rsidRPr="007D71AC">
        <w:rPr>
          <w:i/>
        </w:rPr>
        <w:t>utvärdering av regeringens beslut om riktlinjer</w:t>
      </w:r>
    </w:p>
    <w:p w:rsidR="00336886" w:rsidRPr="007D71AC" w:rsidRDefault="00336886">
      <w:pPr>
        <w:pStyle w:val="hemtext"/>
      </w:pPr>
      <w:bookmarkStart w:id="115" w:name="Temp"/>
      <w:bookmarkEnd w:id="115"/>
      <w:r w:rsidRPr="007D71AC">
        <w:t>att riksdagen godkänner vad utskottet anfört,</w:t>
      </w:r>
      <w:bookmarkStart w:id="116" w:name="RESPARTI001"/>
      <w:bookmarkEnd w:id="116"/>
    </w:p>
    <w:p w:rsidR="00336886" w:rsidRPr="007D71AC" w:rsidRDefault="00336886">
      <w:pPr>
        <w:pStyle w:val="hembetr"/>
      </w:pPr>
      <w:r w:rsidRPr="007D71AC">
        <w:t xml:space="preserve">2. beträffande </w:t>
      </w:r>
      <w:r w:rsidRPr="007D71AC">
        <w:rPr>
          <w:i/>
        </w:rPr>
        <w:t>utvärdering av Riksgäldskontorets beslut om riktmä</w:t>
      </w:r>
      <w:r w:rsidRPr="007D71AC">
        <w:rPr>
          <w:i/>
        </w:rPr>
        <w:t>r</w:t>
      </w:r>
      <w:r w:rsidRPr="007D71AC">
        <w:rPr>
          <w:i/>
        </w:rPr>
        <w:t>kesportföljer</w:t>
      </w:r>
    </w:p>
    <w:p w:rsidR="00336886" w:rsidRPr="007D71AC" w:rsidRDefault="00336886">
      <w:pPr>
        <w:pStyle w:val="hemtext"/>
      </w:pPr>
      <w:r w:rsidRPr="007D71AC">
        <w:t>att riksdagen godkänner vad utskottet anfört,</w:t>
      </w:r>
      <w:bookmarkStart w:id="117" w:name="RESPARTI002"/>
      <w:bookmarkEnd w:id="117"/>
    </w:p>
    <w:p w:rsidR="00336886" w:rsidRPr="007D71AC" w:rsidRDefault="00336886">
      <w:pPr>
        <w:pStyle w:val="hembetr"/>
      </w:pPr>
      <w:r w:rsidRPr="007D71AC">
        <w:t xml:space="preserve">3. beträffande </w:t>
      </w:r>
      <w:r w:rsidRPr="007D71AC">
        <w:rPr>
          <w:i/>
        </w:rPr>
        <w:t>upplåning i nominella svenska kronor</w:t>
      </w:r>
    </w:p>
    <w:p w:rsidR="00336886" w:rsidRPr="007D71AC" w:rsidRDefault="00336886">
      <w:pPr>
        <w:pStyle w:val="hemtext"/>
      </w:pPr>
      <w:r w:rsidRPr="007D71AC">
        <w:t xml:space="preserve">att riksdagen godkänner vad utskottet anfört,       </w:t>
      </w:r>
      <w:bookmarkStart w:id="118" w:name="RESPARTI003"/>
      <w:bookmarkEnd w:id="118"/>
    </w:p>
    <w:p w:rsidR="00336886" w:rsidRPr="007D71AC" w:rsidRDefault="00336886">
      <w:pPr>
        <w:pStyle w:val="hembetr"/>
      </w:pPr>
      <w:r w:rsidRPr="007D71AC">
        <w:t xml:space="preserve">4. beträffande </w:t>
      </w:r>
      <w:r w:rsidRPr="007D71AC">
        <w:rPr>
          <w:i/>
        </w:rPr>
        <w:t>upplåning i utländsk valuta</w:t>
      </w:r>
    </w:p>
    <w:p w:rsidR="00336886" w:rsidRPr="007D71AC" w:rsidRDefault="00336886">
      <w:pPr>
        <w:pStyle w:val="hemtext"/>
      </w:pPr>
      <w:r w:rsidRPr="007D71AC">
        <w:t xml:space="preserve">att riksdagen godkänner vad utskottet anfört,      </w:t>
      </w:r>
      <w:bookmarkStart w:id="119" w:name="RESPARTI004"/>
      <w:bookmarkEnd w:id="119"/>
    </w:p>
    <w:p w:rsidR="00336886" w:rsidRPr="007D71AC" w:rsidRDefault="00336886">
      <w:pPr>
        <w:pStyle w:val="hembetr"/>
      </w:pPr>
      <w:r w:rsidRPr="007D71AC">
        <w:t xml:space="preserve">5. beträffande </w:t>
      </w:r>
      <w:r w:rsidRPr="007D71AC">
        <w:rPr>
          <w:i/>
        </w:rPr>
        <w:t>upplåning i realobligationer</w:t>
      </w:r>
    </w:p>
    <w:p w:rsidR="00336886" w:rsidRPr="007D71AC" w:rsidRDefault="00336886">
      <w:pPr>
        <w:pStyle w:val="hemtext"/>
      </w:pPr>
      <w:r w:rsidRPr="007D71AC">
        <w:t xml:space="preserve">att riksdagen godkänner vad utskottet anfört,      </w:t>
      </w:r>
      <w:bookmarkStart w:id="120" w:name="RESPARTI005"/>
      <w:bookmarkEnd w:id="120"/>
    </w:p>
    <w:p w:rsidR="00336886" w:rsidRPr="007D71AC" w:rsidRDefault="00336886">
      <w:pPr>
        <w:pStyle w:val="hembetr"/>
      </w:pPr>
      <w:r w:rsidRPr="007D71AC">
        <w:t xml:space="preserve">6. beträffande </w:t>
      </w:r>
      <w:r w:rsidRPr="007D71AC">
        <w:rPr>
          <w:i/>
        </w:rPr>
        <w:t>upplåning från hushållen</w:t>
      </w:r>
    </w:p>
    <w:p w:rsidR="00336886" w:rsidRPr="007D71AC" w:rsidRDefault="00336886">
      <w:pPr>
        <w:pStyle w:val="hemtext"/>
      </w:pPr>
      <w:r w:rsidRPr="007D71AC">
        <w:t xml:space="preserve">att riksdagen godkänner vad utskottet anfört,       </w:t>
      </w:r>
      <w:bookmarkStart w:id="121" w:name="RESPARTI006"/>
      <w:bookmarkEnd w:id="121"/>
    </w:p>
    <w:p w:rsidR="00336886" w:rsidRPr="007D71AC" w:rsidRDefault="00336886">
      <w:pPr>
        <w:pStyle w:val="hembetr"/>
      </w:pPr>
      <w:r w:rsidRPr="007D71AC">
        <w:t xml:space="preserve">7. beträffande </w:t>
      </w:r>
      <w:r w:rsidRPr="007D71AC">
        <w:rPr>
          <w:i/>
        </w:rPr>
        <w:t>Riksgäldsspar</w:t>
      </w:r>
    </w:p>
    <w:p w:rsidR="00336886" w:rsidRPr="007D71AC" w:rsidRDefault="00336886">
      <w:pPr>
        <w:pStyle w:val="hemtext"/>
      </w:pPr>
      <w:r w:rsidRPr="007D71AC">
        <w:t>att riksdagen avslår motion  1999/2000:Fi52,</w:t>
      </w:r>
    </w:p>
    <w:p w:rsidR="00336886" w:rsidRPr="007D71AC" w:rsidRDefault="00336886">
      <w:pPr>
        <w:pStyle w:val="Reseftermom"/>
      </w:pPr>
      <w:r w:rsidRPr="007D71AC">
        <w:t>res. (m, kd, fp)</w:t>
      </w:r>
      <w:bookmarkStart w:id="122" w:name="RESPARTI007"/>
      <w:bookmarkEnd w:id="122"/>
    </w:p>
    <w:p w:rsidR="00336886" w:rsidRPr="007D71AC" w:rsidRDefault="00336886">
      <w:pPr>
        <w:pStyle w:val="hembetr"/>
      </w:pPr>
      <w:r w:rsidRPr="007D71AC">
        <w:t xml:space="preserve">8. beträffande </w:t>
      </w:r>
      <w:r w:rsidRPr="007D71AC">
        <w:rPr>
          <w:i/>
        </w:rPr>
        <w:t>sammanfattande bedömning av Riksgäldskontorets förvaltning av statsskulden</w:t>
      </w:r>
    </w:p>
    <w:p w:rsidR="00336886" w:rsidRPr="007D71AC" w:rsidRDefault="00336886">
      <w:pPr>
        <w:pStyle w:val="hemtext"/>
      </w:pPr>
      <w:r w:rsidRPr="007D71AC">
        <w:t>att riksdagen till följd av vad utskottet ovan anfört och hemställt go</w:t>
      </w:r>
      <w:r w:rsidRPr="007D71AC">
        <w:t>d</w:t>
      </w:r>
      <w:r w:rsidRPr="007D71AC">
        <w:t>känner vad utskottet anfört samt lägger regeringens skrivelse 1999/2000:104 till han</w:t>
      </w:r>
      <w:r w:rsidRPr="007D71AC">
        <w:t>d</w:t>
      </w:r>
      <w:r w:rsidRPr="007D71AC">
        <w:t xml:space="preserve">lingarna.       </w:t>
      </w:r>
      <w:bookmarkStart w:id="123" w:name="RESPARTI008"/>
      <w:bookmarkEnd w:id="123"/>
    </w:p>
    <w:p w:rsidR="00336886" w:rsidRPr="007D71AC" w:rsidRDefault="00336886">
      <w:pPr>
        <w:pStyle w:val="Stockholm"/>
      </w:pPr>
      <w:r w:rsidRPr="007D71AC">
        <w:br w:type="page"/>
        <w:t xml:space="preserve">Stockholm den 25 maj 2000 </w:t>
      </w:r>
    </w:p>
    <w:p w:rsidR="00336886" w:rsidRPr="007D71AC" w:rsidRDefault="00336886">
      <w:pPr>
        <w:pStyle w:val="Vgnar"/>
      </w:pPr>
      <w:r w:rsidRPr="007D71AC">
        <w:t>På finansutskottets vägnar</w:t>
      </w:r>
    </w:p>
    <w:p w:rsidR="00336886" w:rsidRPr="007D71AC" w:rsidRDefault="00336886">
      <w:pPr>
        <w:pStyle w:val="Ordfnamn"/>
      </w:pPr>
      <w:r w:rsidRPr="007D71AC">
        <w:t>Jan Bergqvist</w:t>
      </w:r>
    </w:p>
    <w:p w:rsidR="00336886" w:rsidRPr="007D71AC" w:rsidRDefault="00336886">
      <w:pPr>
        <w:pStyle w:val="Deltagare"/>
      </w:pPr>
      <w:bookmarkStart w:id="124" w:name="Ordförande"/>
      <w:bookmarkStart w:id="125" w:name="Deltagare"/>
      <w:bookmarkEnd w:id="124"/>
      <w:bookmarkEnd w:id="125"/>
      <w:r w:rsidRPr="007D71AC">
        <w:t xml:space="preserve">I beslutet har deltagit: Jan Bergqvist (s), Mats Odell (kd), Gunnar Hökmark (m), Bengt Silfverstrand (s), Johan Lönnroth (v), Lennart Hedquist (m), Sonia Karlsson (s), Carin Lundberg (s), Sven-Erik Österberg (s), Siv Holma (v), Per Landgren (kd), Anna Åkerhielm (m), Matz Hammarström (mp), Lena Ek (c), Karin Pilsäter (fp), Gunnar Axén (m) och Hans Hoff (s). </w:t>
      </w:r>
    </w:p>
    <w:p w:rsidR="00336886" w:rsidRPr="007D71AC" w:rsidRDefault="00336886">
      <w:pPr>
        <w:pStyle w:val="Rubrik1"/>
      </w:pPr>
    </w:p>
    <w:p w:rsidR="00336886" w:rsidRPr="007D71AC" w:rsidRDefault="00336886">
      <w:pPr>
        <w:pStyle w:val="Rubrik1"/>
      </w:pPr>
      <w:bookmarkStart w:id="126" w:name="_Toc484658855"/>
      <w:r w:rsidRPr="007D71AC">
        <w:t>Reservation</w:t>
      </w:r>
      <w:bookmarkEnd w:id="126"/>
    </w:p>
    <w:p w:rsidR="00336886" w:rsidRPr="007D71AC" w:rsidRDefault="00336886">
      <w:pPr>
        <w:pStyle w:val="Rubrik2"/>
        <w:spacing w:before="123"/>
      </w:pPr>
      <w:bookmarkStart w:id="127" w:name="_Toc484658856"/>
      <w:r w:rsidRPr="007D71AC">
        <w:t>Riksgäldsspar (mom. 7) (m, kd, fp)</w:t>
      </w:r>
      <w:bookmarkEnd w:id="127"/>
    </w:p>
    <w:p w:rsidR="00336886" w:rsidRPr="007D71AC" w:rsidRDefault="00336886">
      <w:r w:rsidRPr="007D71AC">
        <w:t xml:space="preserve">Mats Odell (kd), Gunnar Hökmark (m), Lennart Hedquist (m), Per Landgren (kd), Anna Åkerhielm (m), Karin Pilsäter (fp) och Gunnar Axén (m) anser </w:t>
      </w:r>
    </w:p>
    <w:p w:rsidR="00336886" w:rsidRPr="007D71AC" w:rsidRDefault="00336886">
      <w:r w:rsidRPr="007D71AC">
        <w:rPr>
          <w:i/>
        </w:rPr>
        <w:t>dels</w:t>
      </w:r>
      <w:r w:rsidRPr="007D71AC">
        <w:t xml:space="preserve"> att den del av finansutskottets ställningstagande i avsnittet </w:t>
      </w:r>
      <w:r w:rsidRPr="007D71AC">
        <w:rPr>
          <w:i/>
        </w:rPr>
        <w:t>3.4 Uppl</w:t>
      </w:r>
      <w:r w:rsidRPr="007D71AC">
        <w:rPr>
          <w:i/>
        </w:rPr>
        <w:t>å</w:t>
      </w:r>
      <w:r w:rsidRPr="007D71AC">
        <w:rPr>
          <w:i/>
        </w:rPr>
        <w:t xml:space="preserve">ning från hushållen </w:t>
      </w:r>
      <w:r w:rsidRPr="007D71AC">
        <w:t>som börjar med ”Regeringens mål” och slutar med ”motion Fi52 (m)” bort ha följa</w:t>
      </w:r>
      <w:r w:rsidRPr="007D71AC">
        <w:t>n</w:t>
      </w:r>
      <w:r w:rsidRPr="007D71AC">
        <w:t>de lydelse:</w:t>
      </w:r>
    </w:p>
    <w:p w:rsidR="00336886" w:rsidRPr="007D71AC" w:rsidRDefault="00336886">
      <w:pPr>
        <w:pStyle w:val="Normaltindrag"/>
      </w:pPr>
      <w:r w:rsidRPr="007D71AC">
        <w:t>Utskottet anser av principiella skäl att Riksgäldskontoret inte bör fortsätta att utveckla sparformen Riksgäldsspar. Det är enligt utskottets uppfattning olämpligt att en statlig myndighet agerar som aktör på en konkurrensutsatt marknad för att attrahera inlåningsmedel från hushållen till en kontoliknande sparform som visar st</w:t>
      </w:r>
      <w:r w:rsidRPr="007D71AC">
        <w:t>ora likheter med t.ex. vanlig bankinlåning. Riksgäld</w:t>
      </w:r>
      <w:r w:rsidRPr="007D71AC">
        <w:t>s</w:t>
      </w:r>
      <w:r w:rsidRPr="007D71AC">
        <w:t>spar bör således enligt utskottets mening avvecklas snarast möjligt.</w:t>
      </w:r>
    </w:p>
    <w:p w:rsidR="00336886" w:rsidRPr="007D71AC" w:rsidRDefault="00336886">
      <w:pPr>
        <w:pStyle w:val="Normaltindrag"/>
      </w:pPr>
      <w:r w:rsidRPr="007D71AC">
        <w:t>Vad utskottet anfört bör riksdagen med anledning av motion Fi52 (m) som sin mening ge regeringen till känna.</w:t>
      </w:r>
    </w:p>
    <w:p w:rsidR="00336886" w:rsidRPr="007D71AC" w:rsidRDefault="00336886">
      <w:r w:rsidRPr="007D71AC">
        <w:rPr>
          <w:i/>
        </w:rPr>
        <w:t>dels</w:t>
      </w:r>
      <w:r w:rsidRPr="007D71AC">
        <w:t xml:space="preserve"> att utskottets hemställan under 7 bort ha följande lydelse:</w:t>
      </w:r>
    </w:p>
    <w:p w:rsidR="00336886" w:rsidRPr="007D71AC" w:rsidRDefault="00336886">
      <w:pPr>
        <w:pStyle w:val="Resklmb"/>
      </w:pPr>
      <w:r w:rsidRPr="007D71AC">
        <w:t xml:space="preserve">7. beträffande </w:t>
      </w:r>
      <w:r w:rsidRPr="007D71AC">
        <w:rPr>
          <w:i/>
        </w:rPr>
        <w:t>Riksgäldsspar</w:t>
      </w:r>
    </w:p>
    <w:p w:rsidR="00336886" w:rsidRPr="007D71AC" w:rsidRDefault="00336886">
      <w:pPr>
        <w:pStyle w:val="Resklm"/>
      </w:pPr>
      <w:r w:rsidRPr="007D71AC">
        <w:t>att riksdagen med anledning av motion 1999/2000:Fi52 som sin m</w:t>
      </w:r>
      <w:r w:rsidRPr="007D71AC">
        <w:t>e</w:t>
      </w:r>
      <w:r w:rsidRPr="007D71AC">
        <w:t>ning ger regeringen till känna vad utskottet anfört,</w:t>
      </w:r>
    </w:p>
    <w:p w:rsidR="00336886" w:rsidRPr="007D71AC" w:rsidRDefault="00336886">
      <w:bookmarkStart w:id="128" w:name="Nästa_Reservation"/>
      <w:bookmarkEnd w:id="128"/>
    </w:p>
    <w:p w:rsidR="00336886" w:rsidRPr="007D71AC" w:rsidRDefault="00336886">
      <w:pPr>
        <w:pStyle w:val="Normaltindrag"/>
        <w:sectPr w:rsidR="00000000" w:rsidRPr="007D71AC">
          <w:headerReference w:type="default" r:id="rId10"/>
          <w:footerReference w:type="default" r:id="rId11"/>
          <w:pgSz w:w="11906" w:h="16838" w:code="9"/>
          <w:pgMar w:top="567" w:right="4876" w:bottom="4508" w:left="1134" w:header="227" w:footer="227" w:gutter="0"/>
          <w:cols w:space="720"/>
        </w:sectPr>
      </w:pPr>
    </w:p>
    <w:p w:rsidR="00336886" w:rsidRPr="007D71AC" w:rsidRDefault="00336886">
      <w:pPr>
        <w:pStyle w:val="Innehll"/>
        <w:outlineLvl w:val="1"/>
      </w:pPr>
      <w:r w:rsidRPr="007D71AC">
        <w:t>Innehållsförteckning</w:t>
      </w:r>
    </w:p>
    <w:p w:rsidR="00336886" w:rsidRPr="007D71AC" w:rsidRDefault="00336886">
      <w:pPr>
        <w:pStyle w:val="Innehll1"/>
        <w:rPr>
          <w:noProof/>
        </w:rPr>
      </w:pPr>
      <w:r w:rsidRPr="007D71AC">
        <w:rPr>
          <w:noProof/>
        </w:rPr>
        <w:t>Sammanfattning</w:t>
      </w:r>
      <w:r w:rsidRPr="007D71AC">
        <w:rPr>
          <w:noProof/>
        </w:rPr>
        <w:tab/>
        <w:t>1</w:t>
      </w:r>
    </w:p>
    <w:p w:rsidR="00336886" w:rsidRPr="007D71AC" w:rsidRDefault="00336886">
      <w:pPr>
        <w:pStyle w:val="Innehll1"/>
        <w:rPr>
          <w:noProof/>
        </w:rPr>
      </w:pPr>
      <w:r w:rsidRPr="007D71AC">
        <w:rPr>
          <w:noProof/>
        </w:rPr>
        <w:t>Regeringens skrivelse</w:t>
      </w:r>
      <w:r w:rsidRPr="007D71AC">
        <w:rPr>
          <w:noProof/>
        </w:rPr>
        <w:tab/>
        <w:t>1</w:t>
      </w:r>
    </w:p>
    <w:p w:rsidR="00336886" w:rsidRPr="007D71AC" w:rsidRDefault="00336886">
      <w:pPr>
        <w:pStyle w:val="Innehll1"/>
        <w:rPr>
          <w:noProof/>
        </w:rPr>
      </w:pPr>
      <w:r w:rsidRPr="007D71AC">
        <w:rPr>
          <w:noProof/>
        </w:rPr>
        <w:t>Motionen</w:t>
      </w:r>
      <w:r w:rsidRPr="007D71AC">
        <w:rPr>
          <w:noProof/>
        </w:rPr>
        <w:tab/>
        <w:t>1</w:t>
      </w:r>
    </w:p>
    <w:p w:rsidR="00336886" w:rsidRPr="007D71AC" w:rsidRDefault="00336886">
      <w:pPr>
        <w:pStyle w:val="Innehll1"/>
        <w:rPr>
          <w:noProof/>
        </w:rPr>
      </w:pPr>
      <w:r w:rsidRPr="007D71AC">
        <w:rPr>
          <w:noProof/>
        </w:rPr>
        <w:t>Bakgrund</w:t>
      </w:r>
      <w:r w:rsidRPr="007D71AC">
        <w:rPr>
          <w:noProof/>
        </w:rPr>
        <w:tab/>
        <w:t>2</w:t>
      </w:r>
    </w:p>
    <w:p w:rsidR="00336886" w:rsidRPr="007D71AC" w:rsidRDefault="00336886">
      <w:pPr>
        <w:pStyle w:val="Innehll2"/>
      </w:pPr>
      <w:r w:rsidRPr="007D71AC">
        <w:t>Ny beslutsmodell</w:t>
      </w:r>
      <w:r w:rsidRPr="007D71AC">
        <w:tab/>
        <w:t>2</w:t>
      </w:r>
    </w:p>
    <w:p w:rsidR="00336886" w:rsidRPr="007D71AC" w:rsidRDefault="00336886">
      <w:pPr>
        <w:pStyle w:val="Innehll2"/>
      </w:pPr>
      <w:r w:rsidRPr="007D71AC">
        <w:t>Principer för utvärdering</w:t>
      </w:r>
      <w:r w:rsidRPr="007D71AC">
        <w:tab/>
        <w:t>3</w:t>
      </w:r>
    </w:p>
    <w:p w:rsidR="00336886" w:rsidRPr="007D71AC" w:rsidRDefault="00336886">
      <w:pPr>
        <w:pStyle w:val="Innehll1"/>
        <w:rPr>
          <w:noProof/>
        </w:rPr>
      </w:pPr>
      <w:r w:rsidRPr="007D71AC">
        <w:rPr>
          <w:noProof/>
        </w:rPr>
        <w:t>Utskottet</w:t>
      </w:r>
      <w:r w:rsidRPr="007D71AC">
        <w:rPr>
          <w:noProof/>
        </w:rPr>
        <w:tab/>
        <w:t>3</w:t>
      </w:r>
    </w:p>
    <w:p w:rsidR="00336886" w:rsidRPr="007D71AC" w:rsidRDefault="00336886">
      <w:pPr>
        <w:pStyle w:val="Innehll2"/>
      </w:pPr>
      <w:r w:rsidRPr="007D71AC">
        <w:rPr>
          <w:snapToGrid w:val="0"/>
        </w:rPr>
        <w:t>1 Utvärdering av regeringens beslut om riktlinjer</w:t>
      </w:r>
      <w:r w:rsidRPr="007D71AC">
        <w:tab/>
        <w:t>3</w:t>
      </w:r>
    </w:p>
    <w:p w:rsidR="00336886" w:rsidRPr="007D71AC" w:rsidRDefault="00336886">
      <w:pPr>
        <w:pStyle w:val="Innehll3"/>
        <w:rPr>
          <w:noProof/>
        </w:rPr>
      </w:pPr>
      <w:r w:rsidRPr="007D71AC">
        <w:rPr>
          <w:noProof/>
        </w:rPr>
        <w:t>1.1 Regeringens beslut om riktlinjer</w:t>
      </w:r>
      <w:r w:rsidRPr="007D71AC">
        <w:rPr>
          <w:noProof/>
        </w:rPr>
        <w:tab/>
        <w:t>3</w:t>
      </w:r>
    </w:p>
    <w:p w:rsidR="00336886" w:rsidRPr="007D71AC" w:rsidRDefault="00336886">
      <w:pPr>
        <w:pStyle w:val="Innehll3"/>
        <w:rPr>
          <w:noProof/>
        </w:rPr>
      </w:pPr>
      <w:r w:rsidRPr="007D71AC">
        <w:rPr>
          <w:noProof/>
        </w:rPr>
        <w:t>1.2 Regeringens bedömning</w:t>
      </w:r>
      <w:r w:rsidRPr="007D71AC">
        <w:rPr>
          <w:noProof/>
        </w:rPr>
        <w:tab/>
        <w:t>3</w:t>
      </w:r>
    </w:p>
    <w:p w:rsidR="00336886" w:rsidRPr="007D71AC" w:rsidRDefault="00336886">
      <w:pPr>
        <w:pStyle w:val="Innehll3"/>
        <w:rPr>
          <w:noProof/>
        </w:rPr>
      </w:pPr>
      <w:r w:rsidRPr="007D71AC">
        <w:rPr>
          <w:noProof/>
        </w:rPr>
        <w:t>1.3 Finansutskottets ställningstagande</w:t>
      </w:r>
      <w:r w:rsidRPr="007D71AC">
        <w:rPr>
          <w:noProof/>
        </w:rPr>
        <w:tab/>
        <w:t>4</w:t>
      </w:r>
    </w:p>
    <w:p w:rsidR="00336886" w:rsidRPr="007D71AC" w:rsidRDefault="00336886">
      <w:pPr>
        <w:pStyle w:val="Innehll2"/>
      </w:pPr>
      <w:r w:rsidRPr="007D71AC">
        <w:t>2 Utvärdering av Riksgäldskontorets beslut om riktmärkes</w:t>
      </w:r>
      <w:r w:rsidRPr="007D71AC">
        <w:softHyphen/>
        <w:t>portföljer</w:t>
      </w:r>
      <w:r w:rsidRPr="007D71AC">
        <w:tab/>
        <w:t>4</w:t>
      </w:r>
    </w:p>
    <w:p w:rsidR="00336886" w:rsidRPr="007D71AC" w:rsidRDefault="00336886">
      <w:pPr>
        <w:pStyle w:val="Innehll3"/>
        <w:rPr>
          <w:noProof/>
        </w:rPr>
      </w:pPr>
      <w:r w:rsidRPr="007D71AC">
        <w:rPr>
          <w:noProof/>
        </w:rPr>
        <w:t>2.1 Riksgäldskontorets beslut</w:t>
      </w:r>
      <w:r w:rsidRPr="007D71AC">
        <w:rPr>
          <w:noProof/>
        </w:rPr>
        <w:tab/>
        <w:t>4</w:t>
      </w:r>
    </w:p>
    <w:p w:rsidR="00336886" w:rsidRPr="007D71AC" w:rsidRDefault="00336886">
      <w:pPr>
        <w:pStyle w:val="Innehll3"/>
        <w:rPr>
          <w:noProof/>
        </w:rPr>
      </w:pPr>
      <w:r w:rsidRPr="007D71AC">
        <w:rPr>
          <w:noProof/>
        </w:rPr>
        <w:t>2.2 Regeringens bedömning av Riksgäldskontorets beslut om riktmärkesportföljer</w:t>
      </w:r>
      <w:r w:rsidRPr="007D71AC">
        <w:rPr>
          <w:noProof/>
        </w:rPr>
        <w:tab/>
        <w:t>5</w:t>
      </w:r>
    </w:p>
    <w:p w:rsidR="00336886" w:rsidRPr="007D71AC" w:rsidRDefault="00336886">
      <w:pPr>
        <w:pStyle w:val="Innehll3"/>
        <w:rPr>
          <w:noProof/>
        </w:rPr>
      </w:pPr>
      <w:r w:rsidRPr="007D71AC">
        <w:rPr>
          <w:noProof/>
        </w:rPr>
        <w:t>2.3 Finansutskottets ställningstagande</w:t>
      </w:r>
      <w:r w:rsidRPr="007D71AC">
        <w:rPr>
          <w:noProof/>
        </w:rPr>
        <w:tab/>
        <w:t>5</w:t>
      </w:r>
    </w:p>
    <w:p w:rsidR="00336886" w:rsidRPr="007D71AC" w:rsidRDefault="00336886">
      <w:pPr>
        <w:pStyle w:val="Innehll2"/>
      </w:pPr>
      <w:r w:rsidRPr="007D71AC">
        <w:t>3 Utvärdering av Riksgäldskontorets operativa förvaltning av statsskulden</w:t>
      </w:r>
      <w:r w:rsidRPr="007D71AC">
        <w:tab/>
        <w:t>5</w:t>
      </w:r>
    </w:p>
    <w:p w:rsidR="00336886" w:rsidRPr="007D71AC" w:rsidRDefault="00336886">
      <w:pPr>
        <w:pStyle w:val="Innehll3"/>
        <w:rPr>
          <w:noProof/>
        </w:rPr>
      </w:pPr>
      <w:r w:rsidRPr="007D71AC">
        <w:rPr>
          <w:noProof/>
        </w:rPr>
        <w:t>3.1 Upplåning i nominella svenska kronor</w:t>
      </w:r>
      <w:r w:rsidRPr="007D71AC">
        <w:rPr>
          <w:noProof/>
        </w:rPr>
        <w:tab/>
        <w:t>5</w:t>
      </w:r>
    </w:p>
    <w:p w:rsidR="00336886" w:rsidRPr="007D71AC" w:rsidRDefault="00336886">
      <w:pPr>
        <w:pStyle w:val="Innehll4"/>
        <w:rPr>
          <w:noProof/>
        </w:rPr>
      </w:pPr>
      <w:r w:rsidRPr="007D71AC">
        <w:rPr>
          <w:noProof/>
        </w:rPr>
        <w:t>3.1.1 Bakgrund</w:t>
      </w:r>
      <w:r w:rsidRPr="007D71AC">
        <w:rPr>
          <w:noProof/>
        </w:rPr>
        <w:tab/>
        <w:t>5</w:t>
      </w:r>
    </w:p>
    <w:p w:rsidR="00336886" w:rsidRPr="007D71AC" w:rsidRDefault="00336886">
      <w:pPr>
        <w:pStyle w:val="Innehll4"/>
        <w:rPr>
          <w:noProof/>
        </w:rPr>
      </w:pPr>
      <w:r w:rsidRPr="007D71AC">
        <w:rPr>
          <w:noProof/>
        </w:rPr>
        <w:t>3.1.2 Regeringens bedömning</w:t>
      </w:r>
      <w:r w:rsidRPr="007D71AC">
        <w:rPr>
          <w:noProof/>
        </w:rPr>
        <w:tab/>
        <w:t>6</w:t>
      </w:r>
    </w:p>
    <w:p w:rsidR="00336886" w:rsidRPr="007D71AC" w:rsidRDefault="00336886">
      <w:pPr>
        <w:pStyle w:val="Innehll4"/>
        <w:rPr>
          <w:noProof/>
        </w:rPr>
      </w:pPr>
      <w:r w:rsidRPr="007D71AC">
        <w:rPr>
          <w:noProof/>
        </w:rPr>
        <w:t>3.1.3 Finansutskottets ställningstagande</w:t>
      </w:r>
      <w:r w:rsidRPr="007D71AC">
        <w:rPr>
          <w:noProof/>
        </w:rPr>
        <w:tab/>
        <w:t>7</w:t>
      </w:r>
    </w:p>
    <w:p w:rsidR="00336886" w:rsidRPr="007D71AC" w:rsidRDefault="00336886">
      <w:pPr>
        <w:pStyle w:val="Innehll3"/>
        <w:rPr>
          <w:noProof/>
        </w:rPr>
      </w:pPr>
      <w:r w:rsidRPr="007D71AC">
        <w:rPr>
          <w:noProof/>
        </w:rPr>
        <w:t>3.2 Upplåning i utländsk valuta</w:t>
      </w:r>
      <w:r w:rsidRPr="007D71AC">
        <w:rPr>
          <w:noProof/>
        </w:rPr>
        <w:tab/>
        <w:t>7</w:t>
      </w:r>
    </w:p>
    <w:p w:rsidR="00336886" w:rsidRPr="007D71AC" w:rsidRDefault="00336886">
      <w:pPr>
        <w:pStyle w:val="Innehll4"/>
        <w:rPr>
          <w:noProof/>
        </w:rPr>
      </w:pPr>
      <w:r w:rsidRPr="007D71AC">
        <w:rPr>
          <w:noProof/>
        </w:rPr>
        <w:t>3.2.1 Bakgrund</w:t>
      </w:r>
      <w:r w:rsidRPr="007D71AC">
        <w:rPr>
          <w:noProof/>
        </w:rPr>
        <w:tab/>
        <w:t>7</w:t>
      </w:r>
    </w:p>
    <w:p w:rsidR="00336886" w:rsidRPr="007D71AC" w:rsidRDefault="00336886">
      <w:pPr>
        <w:pStyle w:val="Innehll4"/>
        <w:rPr>
          <w:noProof/>
        </w:rPr>
      </w:pPr>
      <w:r w:rsidRPr="007D71AC">
        <w:rPr>
          <w:noProof/>
        </w:rPr>
        <w:t>3.2.2 Regeringens bedömning</w:t>
      </w:r>
      <w:r w:rsidRPr="007D71AC">
        <w:rPr>
          <w:noProof/>
        </w:rPr>
        <w:tab/>
        <w:t>8</w:t>
      </w:r>
    </w:p>
    <w:p w:rsidR="00336886" w:rsidRPr="007D71AC" w:rsidRDefault="00336886">
      <w:pPr>
        <w:pStyle w:val="Innehll4"/>
        <w:rPr>
          <w:noProof/>
        </w:rPr>
      </w:pPr>
      <w:r w:rsidRPr="007D71AC">
        <w:rPr>
          <w:noProof/>
        </w:rPr>
        <w:t>3.2.3 Finansutskottets ställningstagande</w:t>
      </w:r>
      <w:r w:rsidRPr="007D71AC">
        <w:rPr>
          <w:noProof/>
        </w:rPr>
        <w:tab/>
        <w:t>8</w:t>
      </w:r>
    </w:p>
    <w:p w:rsidR="00336886" w:rsidRPr="007D71AC" w:rsidRDefault="00336886">
      <w:pPr>
        <w:pStyle w:val="Innehll3"/>
        <w:rPr>
          <w:noProof/>
        </w:rPr>
      </w:pPr>
      <w:r w:rsidRPr="007D71AC">
        <w:rPr>
          <w:noProof/>
        </w:rPr>
        <w:t>3.3 Upplåning i realobligationer</w:t>
      </w:r>
      <w:r w:rsidRPr="007D71AC">
        <w:rPr>
          <w:noProof/>
        </w:rPr>
        <w:tab/>
        <w:t>9</w:t>
      </w:r>
    </w:p>
    <w:p w:rsidR="00336886" w:rsidRPr="007D71AC" w:rsidRDefault="00336886">
      <w:pPr>
        <w:pStyle w:val="Innehll4"/>
        <w:rPr>
          <w:noProof/>
        </w:rPr>
      </w:pPr>
      <w:r w:rsidRPr="007D71AC">
        <w:rPr>
          <w:noProof/>
        </w:rPr>
        <w:t>3.3.1 Bakgrund</w:t>
      </w:r>
      <w:r w:rsidRPr="007D71AC">
        <w:rPr>
          <w:noProof/>
        </w:rPr>
        <w:tab/>
        <w:t>9</w:t>
      </w:r>
    </w:p>
    <w:p w:rsidR="00336886" w:rsidRPr="007D71AC" w:rsidRDefault="00336886">
      <w:pPr>
        <w:pStyle w:val="Innehll4"/>
        <w:rPr>
          <w:noProof/>
        </w:rPr>
      </w:pPr>
      <w:r w:rsidRPr="007D71AC">
        <w:rPr>
          <w:noProof/>
        </w:rPr>
        <w:t>3.3.2 Regeringens bedömning</w:t>
      </w:r>
      <w:r w:rsidRPr="007D71AC">
        <w:rPr>
          <w:noProof/>
        </w:rPr>
        <w:tab/>
        <w:t>9</w:t>
      </w:r>
    </w:p>
    <w:p w:rsidR="00336886" w:rsidRPr="007D71AC" w:rsidRDefault="00336886">
      <w:pPr>
        <w:pStyle w:val="Innehll4"/>
        <w:rPr>
          <w:noProof/>
        </w:rPr>
      </w:pPr>
      <w:r w:rsidRPr="007D71AC">
        <w:rPr>
          <w:noProof/>
        </w:rPr>
        <w:t>3.3.3 Finansutskottets ställningstagande</w:t>
      </w:r>
      <w:r w:rsidRPr="007D71AC">
        <w:rPr>
          <w:noProof/>
        </w:rPr>
        <w:tab/>
        <w:t>9</w:t>
      </w:r>
    </w:p>
    <w:p w:rsidR="00336886" w:rsidRPr="007D71AC" w:rsidRDefault="00336886">
      <w:pPr>
        <w:pStyle w:val="Innehll3"/>
        <w:rPr>
          <w:noProof/>
        </w:rPr>
      </w:pPr>
      <w:r w:rsidRPr="007D71AC">
        <w:rPr>
          <w:noProof/>
        </w:rPr>
        <w:t>3.4 Upplåning från hushållen</w:t>
      </w:r>
      <w:r w:rsidRPr="007D71AC">
        <w:rPr>
          <w:noProof/>
        </w:rPr>
        <w:tab/>
        <w:t>9</w:t>
      </w:r>
    </w:p>
    <w:p w:rsidR="00336886" w:rsidRPr="007D71AC" w:rsidRDefault="00336886">
      <w:pPr>
        <w:pStyle w:val="Innehll4"/>
        <w:rPr>
          <w:noProof/>
        </w:rPr>
      </w:pPr>
      <w:r w:rsidRPr="007D71AC">
        <w:rPr>
          <w:noProof/>
        </w:rPr>
        <w:t>3.4.1 Bakgrund</w:t>
      </w:r>
      <w:r w:rsidRPr="007D71AC">
        <w:rPr>
          <w:noProof/>
        </w:rPr>
        <w:tab/>
        <w:t>9</w:t>
      </w:r>
    </w:p>
    <w:p w:rsidR="00336886" w:rsidRPr="007D71AC" w:rsidRDefault="00336886">
      <w:pPr>
        <w:pStyle w:val="Innehll4"/>
        <w:rPr>
          <w:noProof/>
        </w:rPr>
      </w:pPr>
      <w:r w:rsidRPr="007D71AC">
        <w:rPr>
          <w:noProof/>
        </w:rPr>
        <w:t>3.4.2 Regeringens bedömning</w:t>
      </w:r>
      <w:r w:rsidRPr="007D71AC">
        <w:rPr>
          <w:noProof/>
        </w:rPr>
        <w:tab/>
        <w:t>10</w:t>
      </w:r>
    </w:p>
    <w:p w:rsidR="00336886" w:rsidRPr="007D71AC" w:rsidRDefault="00336886">
      <w:pPr>
        <w:pStyle w:val="Innehll4"/>
        <w:rPr>
          <w:noProof/>
        </w:rPr>
      </w:pPr>
      <w:r w:rsidRPr="007D71AC">
        <w:rPr>
          <w:noProof/>
          <w:snapToGrid w:val="0"/>
        </w:rPr>
        <w:t>3.4.3 Mot</w:t>
      </w:r>
      <w:r w:rsidRPr="007D71AC">
        <w:rPr>
          <w:noProof/>
        </w:rPr>
        <w:t>i</w:t>
      </w:r>
      <w:r w:rsidRPr="007D71AC">
        <w:rPr>
          <w:noProof/>
          <w:snapToGrid w:val="0"/>
        </w:rPr>
        <w:t>onen</w:t>
      </w:r>
      <w:r w:rsidRPr="007D71AC">
        <w:rPr>
          <w:noProof/>
        </w:rPr>
        <w:tab/>
        <w:t>10</w:t>
      </w:r>
    </w:p>
    <w:p w:rsidR="00336886" w:rsidRPr="007D71AC" w:rsidRDefault="00336886">
      <w:pPr>
        <w:pStyle w:val="Innehll4"/>
        <w:rPr>
          <w:noProof/>
        </w:rPr>
      </w:pPr>
      <w:r w:rsidRPr="007D71AC">
        <w:rPr>
          <w:noProof/>
        </w:rPr>
        <w:t>3.4.4 Finansutskottets ställningstagande</w:t>
      </w:r>
      <w:r w:rsidRPr="007D71AC">
        <w:rPr>
          <w:noProof/>
        </w:rPr>
        <w:tab/>
        <w:t>10</w:t>
      </w:r>
    </w:p>
    <w:p w:rsidR="00336886" w:rsidRPr="007D71AC" w:rsidRDefault="00336886">
      <w:pPr>
        <w:pStyle w:val="Innehll2"/>
      </w:pPr>
      <w:r w:rsidRPr="007D71AC">
        <w:t>4 Sammanfattande bedömning av Riksgäldskontorets förvaltning av statsskulden</w:t>
      </w:r>
      <w:r w:rsidRPr="007D71AC">
        <w:tab/>
        <w:t>10</w:t>
      </w:r>
    </w:p>
    <w:p w:rsidR="00336886" w:rsidRPr="007D71AC" w:rsidRDefault="00336886">
      <w:pPr>
        <w:pStyle w:val="Innehll3"/>
        <w:rPr>
          <w:noProof/>
        </w:rPr>
      </w:pPr>
      <w:r w:rsidRPr="007D71AC">
        <w:rPr>
          <w:noProof/>
        </w:rPr>
        <w:t>4.1 Regeringens bedömning</w:t>
      </w:r>
      <w:r w:rsidRPr="007D71AC">
        <w:rPr>
          <w:noProof/>
        </w:rPr>
        <w:tab/>
        <w:t>10</w:t>
      </w:r>
    </w:p>
    <w:p w:rsidR="00336886" w:rsidRPr="007D71AC" w:rsidRDefault="00336886">
      <w:pPr>
        <w:pStyle w:val="Innehll3"/>
        <w:rPr>
          <w:noProof/>
        </w:rPr>
      </w:pPr>
      <w:r w:rsidRPr="007D71AC">
        <w:rPr>
          <w:noProof/>
        </w:rPr>
        <w:t>4.2 Finansutskottets ställningstagande</w:t>
      </w:r>
      <w:r w:rsidRPr="007D71AC">
        <w:rPr>
          <w:noProof/>
        </w:rPr>
        <w:tab/>
        <w:t>11</w:t>
      </w:r>
    </w:p>
    <w:p w:rsidR="00336886" w:rsidRPr="007D71AC" w:rsidRDefault="00336886">
      <w:pPr>
        <w:pStyle w:val="Innehll2"/>
      </w:pPr>
      <w:r w:rsidRPr="007D71AC">
        <w:t>Hemställan</w:t>
      </w:r>
      <w:r w:rsidRPr="007D71AC">
        <w:tab/>
        <w:t>11</w:t>
      </w:r>
    </w:p>
    <w:p w:rsidR="00336886" w:rsidRPr="007D71AC" w:rsidRDefault="00336886">
      <w:pPr>
        <w:pStyle w:val="Innehll1"/>
        <w:rPr>
          <w:noProof/>
        </w:rPr>
      </w:pPr>
    </w:p>
    <w:p w:rsidR="00336886" w:rsidRPr="007D71AC" w:rsidRDefault="00336886">
      <w:pPr>
        <w:pStyle w:val="Innehll1"/>
        <w:rPr>
          <w:noProof/>
        </w:rPr>
      </w:pPr>
      <w:r w:rsidRPr="007D71AC">
        <w:rPr>
          <w:i/>
          <w:noProof/>
        </w:rPr>
        <w:t>Reservation</w:t>
      </w:r>
    </w:p>
    <w:p w:rsidR="00336886" w:rsidRPr="007D71AC" w:rsidRDefault="00336886">
      <w:pPr>
        <w:pStyle w:val="Innehll2"/>
      </w:pPr>
      <w:r w:rsidRPr="007D71AC">
        <w:t>Riksgäldsspar (mom. 7) (m, kd, fp)</w:t>
      </w:r>
      <w:r w:rsidRPr="007D71AC">
        <w:tab/>
        <w:t>12</w:t>
      </w:r>
    </w:p>
    <w:p w:rsidR="00336886" w:rsidRPr="007D71AC" w:rsidRDefault="00336886">
      <w:pPr>
        <w:pStyle w:val="Odefinierat"/>
        <w:rPr>
          <w:sz w:val="16"/>
        </w:rPr>
      </w:pPr>
      <w:r w:rsidRPr="007D71AC">
        <w:rPr>
          <w:sz w:val="16"/>
        </w:rPr>
        <w:t>Elanders Gotab, Stockholm  2000</w:t>
      </w:r>
    </w:p>
    <w:sectPr w:rsidR="00336886" w:rsidRPr="007D71AC">
      <w:headerReference w:type="default" r:id="rId12"/>
      <w:footerReference w:type="default" r:id="rId13"/>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36886" w:rsidRDefault="00336886">
      <w:pPr>
        <w:spacing w:before="0" w:line="240" w:lineRule="auto"/>
      </w:pPr>
      <w:r>
        <w:separator/>
      </w:r>
    </w:p>
  </w:endnote>
  <w:endnote w:type="continuationSeparator" w:id="0">
    <w:p w:rsidR="00336886" w:rsidRDefault="00336886">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6886" w:rsidRDefault="00336886">
    <w:pPr>
      <w:pStyle w:val="SidfotH"/>
      <w:framePr w:wrap="around"/>
    </w:pPr>
    <w:r>
      <w:fldChar w:fldCharType="begin" w:fldLock="1"/>
    </w:r>
    <w:r>
      <w:instrText xml:space="preserve"> P</w:instrText>
    </w:r>
    <w:r>
      <w:instrText>A</w:instrText>
    </w:r>
    <w:r>
      <w:instrText xml:space="preserve">GE </w:instrText>
    </w:r>
    <w:r>
      <w:fldChar w:fldCharType="separate"/>
    </w:r>
    <w:r>
      <w:rPr>
        <w:noProof/>
      </w:rPr>
      <w:t>1</w:t>
    </w:r>
    <w:r>
      <w:fldChar w:fldCharType="end"/>
    </w:r>
  </w:p>
  <w:p w:rsidR="00336886" w:rsidRDefault="0033688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6886" w:rsidRDefault="00336886">
    <w:pPr>
      <w:pStyle w:val="SidfotH"/>
      <w:framePr w:wrap="around"/>
    </w:pPr>
    <w:r>
      <w:fldChar w:fldCharType="begin" w:fldLock="1"/>
    </w:r>
    <w:r>
      <w:instrText xml:space="preserve"> PAGE </w:instrText>
    </w:r>
    <w:r>
      <w:fldChar w:fldCharType="separate"/>
    </w:r>
    <w:r>
      <w:rPr>
        <w:noProof/>
      </w:rPr>
      <w:t>13</w:t>
    </w:r>
    <w:r>
      <w:fldChar w:fldCharType="end"/>
    </w:r>
  </w:p>
  <w:p w:rsidR="00336886" w:rsidRDefault="0033688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36886" w:rsidRDefault="00336886">
      <w:pPr>
        <w:pStyle w:val="Sidfot"/>
      </w:pPr>
    </w:p>
  </w:footnote>
  <w:footnote w:type="continuationSeparator" w:id="0">
    <w:p w:rsidR="00336886" w:rsidRDefault="00336886">
      <w:pPr>
        <w:spacing w:before="0" w:line="240" w:lineRule="auto"/>
      </w:pPr>
      <w:r>
        <w:continuationSeparator/>
      </w:r>
    </w:p>
  </w:footnote>
  <w:footnote w:id="1">
    <w:p w:rsidR="00336886" w:rsidRDefault="00336886">
      <w:pPr>
        <w:pStyle w:val="Fotnotstext"/>
      </w:pPr>
      <w:r>
        <w:rPr>
          <w:rStyle w:val="Fotnotsreferens"/>
        </w:rPr>
        <w:footnoteRef/>
      </w:r>
      <w:r>
        <w:t xml:space="preserve"> Vid årsskiftet 1998/99 var räntebindningstiden i den verkliga skulden ca 2,5 år för valutaportföljen och ca 4 år för kronportföljen.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6886" w:rsidRDefault="00336886">
    <w:pPr>
      <w:pStyle w:val="SidhuvudKant"/>
      <w:framePr w:w="1758" w:h="2744" w:hRule="exact" w:wrap="around" w:vAnchor="page" w:hAnchor="page" w:x="7372" w:y="568" w:anchorLock="0"/>
      <w:rPr>
        <w:noProof/>
      </w:rPr>
    </w:pPr>
    <w:r>
      <w:rPr>
        <w:noProof/>
      </w:rPr>
      <w:t>1999/2000:FiU30</w:t>
    </w:r>
  </w:p>
  <w:p w:rsidR="00336886" w:rsidRDefault="00336886">
    <w:pPr>
      <w:pStyle w:val="SidhuvudKantBilaga"/>
      <w:framePr w:w="1758" w:h="2744" w:hRule="exact" w:wrap="around" w:vAnchor="page" w:hAnchor="page" w:x="7372" w:y="568" w:anchorLock="0"/>
      <w:rPr>
        <w:noProof/>
      </w:rPr>
    </w:pPr>
  </w:p>
  <w:p w:rsidR="00336886" w:rsidRDefault="00336886">
    <w:pPr>
      <w:pStyle w:val="SidhuvudKant"/>
      <w:framePr w:w="1758" w:h="2744" w:hRule="exact" w:wrap="around" w:vAnchor="page" w:hAnchor="page" w:x="7372" w:y="568" w:anchorLock="0"/>
    </w:pPr>
  </w:p>
  <w:p w:rsidR="00336886" w:rsidRDefault="0033688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6886" w:rsidRDefault="00336886">
    <w:pPr>
      <w:pStyle w:val="SidhuvudKant"/>
      <w:framePr w:w="1758" w:h="2744" w:hRule="exact" w:wrap="around" w:vAnchor="page" w:hAnchor="page" w:x="7372" w:y="568" w:anchorLock="0"/>
      <w:rPr>
        <w:noProof/>
      </w:rPr>
    </w:pPr>
    <w:r>
      <w:rPr>
        <w:noProof/>
      </w:rPr>
      <w:t>1999/2000:FiU30</w:t>
    </w:r>
  </w:p>
  <w:p w:rsidR="00336886" w:rsidRDefault="00336886">
    <w:pPr>
      <w:pStyle w:val="SidhuvudKantBilaga"/>
      <w:framePr w:w="1758" w:h="2744" w:hRule="exact" w:wrap="around" w:vAnchor="page" w:hAnchor="page" w:x="7372" w:y="568" w:anchorLock="0"/>
      <w:rPr>
        <w:noProof/>
      </w:rPr>
    </w:pPr>
  </w:p>
  <w:p w:rsidR="00336886" w:rsidRDefault="00336886">
    <w:pPr>
      <w:pStyle w:val="SidhuvudKant"/>
      <w:framePr w:w="1758" w:h="2744" w:hRule="exact" w:wrap="around" w:vAnchor="page" w:hAnchor="page" w:x="7372" w:y="568" w:anchorLock="0"/>
    </w:pPr>
  </w:p>
  <w:p w:rsidR="00336886" w:rsidRDefault="0033688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AE0790"/>
    <w:multiLevelType w:val="singleLevel"/>
    <w:tmpl w:val="2DF8D2D6"/>
    <w:lvl w:ilvl="0">
      <w:start w:val="1"/>
      <w:numFmt w:val="bullet"/>
      <w:lvlText w:val=""/>
      <w:lvlJc w:val="left"/>
      <w:pPr>
        <w:tabs>
          <w:tab w:val="num" w:pos="360"/>
        </w:tabs>
        <w:ind w:left="283" w:hanging="283"/>
      </w:pPr>
      <w:rPr>
        <w:rFonts w:ascii="Symbol" w:hAnsi="Symbol" w:hint="default"/>
      </w:rPr>
    </w:lvl>
  </w:abstractNum>
  <w:abstractNum w:abstractNumId="1" w15:restartNumberingAfterBreak="0">
    <w:nsid w:val="3595504B"/>
    <w:multiLevelType w:val="singleLevel"/>
    <w:tmpl w:val="2DF8D2D6"/>
    <w:lvl w:ilvl="0">
      <w:start w:val="1"/>
      <w:numFmt w:val="bullet"/>
      <w:lvlText w:val=""/>
      <w:lvlJc w:val="left"/>
      <w:pPr>
        <w:tabs>
          <w:tab w:val="num" w:pos="360"/>
        </w:tabs>
        <w:ind w:left="283" w:hanging="283"/>
      </w:pPr>
      <w:rPr>
        <w:rFonts w:ascii="Symbol" w:hAnsi="Symbol" w:hint="default"/>
      </w:rPr>
    </w:lvl>
  </w:abstractNum>
  <w:abstractNum w:abstractNumId="2" w15:restartNumberingAfterBreak="0">
    <w:nsid w:val="39C7398F"/>
    <w:multiLevelType w:val="singleLevel"/>
    <w:tmpl w:val="2DF8D2D6"/>
    <w:lvl w:ilvl="0">
      <w:start w:val="1"/>
      <w:numFmt w:val="bullet"/>
      <w:lvlText w:val=""/>
      <w:lvlJc w:val="left"/>
      <w:pPr>
        <w:tabs>
          <w:tab w:val="num" w:pos="360"/>
        </w:tabs>
        <w:ind w:left="283" w:hanging="283"/>
      </w:pPr>
      <w:rPr>
        <w:rFonts w:ascii="Symbol" w:hAnsi="Symbol" w:hint="default"/>
      </w:rPr>
    </w:lvl>
  </w:abstractNum>
  <w:abstractNum w:abstractNumId="3" w15:restartNumberingAfterBreak="0">
    <w:nsid w:val="3C8A2F99"/>
    <w:multiLevelType w:val="singleLevel"/>
    <w:tmpl w:val="2DF8D2D6"/>
    <w:lvl w:ilvl="0">
      <w:start w:val="1"/>
      <w:numFmt w:val="bullet"/>
      <w:lvlText w:val=""/>
      <w:lvlJc w:val="left"/>
      <w:pPr>
        <w:tabs>
          <w:tab w:val="num" w:pos="360"/>
        </w:tabs>
        <w:ind w:left="283" w:hanging="283"/>
      </w:pPr>
      <w:rPr>
        <w:rFonts w:ascii="Symbol" w:hAnsi="Symbol" w:hint="default"/>
      </w:rPr>
    </w:lvl>
  </w:abstractNum>
  <w:abstractNum w:abstractNumId="4" w15:restartNumberingAfterBreak="0">
    <w:nsid w:val="45201195"/>
    <w:multiLevelType w:val="singleLevel"/>
    <w:tmpl w:val="2DF8D2D6"/>
    <w:lvl w:ilvl="0">
      <w:start w:val="1"/>
      <w:numFmt w:val="bullet"/>
      <w:lvlText w:val=""/>
      <w:lvlJc w:val="left"/>
      <w:pPr>
        <w:tabs>
          <w:tab w:val="num" w:pos="360"/>
        </w:tabs>
        <w:ind w:left="283" w:hanging="283"/>
      </w:pPr>
      <w:rPr>
        <w:rFonts w:ascii="Symbol" w:hAnsi="Symbol" w:hint="default"/>
      </w:rPr>
    </w:lvl>
  </w:abstractNum>
  <w:abstractNum w:abstractNumId="5" w15:restartNumberingAfterBreak="0">
    <w:nsid w:val="531D5404"/>
    <w:multiLevelType w:val="singleLevel"/>
    <w:tmpl w:val="2DF8D2D6"/>
    <w:lvl w:ilvl="0">
      <w:start w:val="1"/>
      <w:numFmt w:val="bullet"/>
      <w:lvlText w:val=""/>
      <w:lvlJc w:val="left"/>
      <w:pPr>
        <w:tabs>
          <w:tab w:val="num" w:pos="360"/>
        </w:tabs>
        <w:ind w:left="283" w:hanging="283"/>
      </w:pPr>
      <w:rPr>
        <w:rFonts w:ascii="Symbol" w:hAnsi="Symbol" w:hint="default"/>
      </w:rPr>
    </w:lvl>
  </w:abstractNum>
  <w:abstractNum w:abstractNumId="6" w15:restartNumberingAfterBreak="0">
    <w:nsid w:val="6282606B"/>
    <w:multiLevelType w:val="singleLevel"/>
    <w:tmpl w:val="2DF8D2D6"/>
    <w:lvl w:ilvl="0">
      <w:start w:val="1"/>
      <w:numFmt w:val="bullet"/>
      <w:lvlText w:val=""/>
      <w:lvlJc w:val="left"/>
      <w:pPr>
        <w:tabs>
          <w:tab w:val="num" w:pos="360"/>
        </w:tabs>
        <w:ind w:left="283" w:hanging="283"/>
      </w:pPr>
      <w:rPr>
        <w:rFonts w:ascii="Symbol" w:hAnsi="Symbol" w:hint="default"/>
      </w:rPr>
    </w:lvl>
  </w:abstractNum>
  <w:abstractNum w:abstractNumId="7" w15:restartNumberingAfterBreak="0">
    <w:nsid w:val="6B7E066D"/>
    <w:multiLevelType w:val="singleLevel"/>
    <w:tmpl w:val="2DF8D2D6"/>
    <w:lvl w:ilvl="0">
      <w:start w:val="1"/>
      <w:numFmt w:val="bullet"/>
      <w:lvlText w:val=""/>
      <w:lvlJc w:val="left"/>
      <w:pPr>
        <w:tabs>
          <w:tab w:val="num" w:pos="360"/>
        </w:tabs>
        <w:ind w:left="283" w:hanging="283"/>
      </w:pPr>
      <w:rPr>
        <w:rFonts w:ascii="Symbol" w:hAnsi="Symbol" w:hint="default"/>
      </w:rPr>
    </w:lvl>
  </w:abstractNum>
  <w:num w:numId="1" w16cid:durableId="1964071000">
    <w:abstractNumId w:val="4"/>
  </w:num>
  <w:num w:numId="2" w16cid:durableId="2049984399">
    <w:abstractNumId w:val="2"/>
  </w:num>
  <w:num w:numId="3" w16cid:durableId="1913269214">
    <w:abstractNumId w:val="6"/>
  </w:num>
  <w:num w:numId="4" w16cid:durableId="586890811">
    <w:abstractNumId w:val="1"/>
  </w:num>
  <w:num w:numId="5" w16cid:durableId="574632356">
    <w:abstractNumId w:val="0"/>
  </w:num>
  <w:num w:numId="6" w16cid:durableId="467892223">
    <w:abstractNumId w:val="5"/>
  </w:num>
  <w:num w:numId="7" w16cid:durableId="1446460173">
    <w:abstractNumId w:val="7"/>
  </w:num>
  <w:num w:numId="8" w16cid:durableId="8034727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inansutskottets"/>
    <w:docVar w:name="Skapår" w:val="9900"/>
  </w:docVars>
  <w:rsids>
    <w:rsidRoot w:val="00E72859"/>
    <w:rsid w:val="00336886"/>
    <w:rsid w:val="007D71AC"/>
    <w:rsid w:val="00E7285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9C4DB17-B51E-4816-A54B-D961578CA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jc w:val="left"/>
    </w:pPr>
    <w:rPr>
      <w:noProof/>
    </w:r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Oformateradtext">
    <w:name w:val="Plain Text"/>
    <w:basedOn w:val="Normal"/>
    <w:semiHidden/>
    <w:pPr>
      <w:widowControl w:val="0"/>
      <w:spacing w:before="0" w:line="240" w:lineRule="auto"/>
      <w:jc w:val="left"/>
    </w:pPr>
    <w:rPr>
      <w:rFonts w:ascii="Courier New" w:hAnsi="Courier New"/>
      <w:sz w:val="20"/>
    </w:rPr>
  </w:style>
  <w:style w:type="paragraph" w:styleId="Dokumentversikt">
    <w:name w:val="Document Map"/>
    <w:basedOn w:val="Normal"/>
    <w:semiHidden/>
    <w:pPr>
      <w:shd w:val="clear" w:color="auto" w:fill="000080"/>
    </w:pPr>
    <w:rPr>
      <w:rFonts w:ascii="Tahoma" w:hAnsi="Tahoma"/>
    </w:rPr>
  </w:style>
  <w:style w:type="character" w:styleId="Radnummer">
    <w:name w:val="line number"/>
    <w:basedOn w:val="Standardstycketeckensnit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4034</Words>
  <Characters>26385</Characters>
  <Application>Microsoft Office Word</Application>
  <DocSecurity>4</DocSecurity>
  <Lines>527</Lines>
  <Paragraphs>217</Paragraphs>
  <ScaleCrop>false</ScaleCrop>
  <HeadingPairs>
    <vt:vector size="4" baseType="variant">
      <vt:variant>
        <vt:lpstr>Title</vt:lpstr>
      </vt:variant>
      <vt:variant>
        <vt:i4>1</vt:i4>
      </vt:variant>
      <vt:variant>
        <vt:lpstr>Rubriker</vt:lpstr>
      </vt:variant>
      <vt:variant>
        <vt:i4>28</vt:i4>
      </vt:variant>
    </vt:vector>
  </HeadingPairs>
  <TitlesOfParts>
    <vt:vector size="29" baseType="lpstr">
      <vt:lpstr>Finansutskottets betänkande</vt:lpstr>
      <vt:lpstr>Sammanfattning</vt:lpstr>
      <vt:lpstr>Regeringens skrivelse</vt:lpstr>
      <vt:lpstr>Motionen</vt:lpstr>
      <vt:lpstr>Bakgrund</vt:lpstr>
      <vt:lpstr>    Ny beslutsmodell</vt:lpstr>
      <vt:lpstr>    Principer för utvärdering</vt:lpstr>
      <vt:lpstr>Utskottet</vt:lpstr>
      <vt:lpstr>    1 Utvärdering av regeringens beslut om riktlinjer</vt:lpstr>
      <vt:lpstr>        1.1 Regeringens beslut om riktlinjer </vt:lpstr>
      <vt:lpstr>        1.2 Regeringens bedömning</vt:lpstr>
      <vt:lpstr>        1.3 Finansutskottets ställningstagande</vt:lpstr>
      <vt:lpstr>    2 Utvärdering av Riksgäldskontorets beslut om riktmärkesportföljer</vt:lpstr>
      <vt:lpstr>        2.1 Riksgäldskontorets beslut</vt:lpstr>
      <vt:lpstr>        2.2 Regeringens bedömning av Riksgäldskontorets beslut om riktmärkesportföljer</vt:lpstr>
      <vt:lpstr>        2.3 Finansutskottets ställningstagande</vt:lpstr>
      <vt:lpstr>    3 Utvärdering av Riksgäldskontorets operativa förvaltning av statsskulden</vt:lpstr>
      <vt:lpstr>        3.1 Upplåning i nominella svenska kronor</vt:lpstr>
      <vt:lpstr>        3.2 Upplåning i utländsk valuta</vt:lpstr>
      <vt:lpstr>        3.3 Upplåning i realobligationer</vt:lpstr>
      <vt:lpstr>        3.4 Upplåning från hushållen</vt:lpstr>
      <vt:lpstr>    4 Sammanfattande bedömning av Riksgäldskontorets förvaltning av statsskulden</vt:lpstr>
      <vt:lpstr>        4.1 Regeringens bedömning</vt:lpstr>
      <vt:lpstr>        4.2 Finansutskottets ställningstagande</vt:lpstr>
      <vt:lpstr>    Hemställan</vt:lpstr>
      <vt:lpstr/>
      <vt:lpstr>Reservation</vt:lpstr>
      <vt:lpstr>    Riksgäldsspar (mom. 7) (m, kd, fp)</vt:lpstr>
      <vt:lpstr>    Innehållsförteckning</vt:lpstr>
    </vt:vector>
  </TitlesOfParts>
  <Company>Riksdagen</Company>
  <LinksUpToDate>false</LinksUpToDate>
  <CharactersWithSpaces>30202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Finansutskottets betänkande</dc:title>
  <dc:subject>Finansutskottets betänkande</dc:subject>
  <dc:creator>Riksdagen</dc:creator>
  <cp:keywords>Riksdagen</cp:keywords>
  <cp:lastModifiedBy>Lars Brink</cp:lastModifiedBy>
  <cp:revision>2</cp:revision>
  <cp:lastPrinted>2000-06-05T08:32:00Z</cp:lastPrinted>
  <dcterms:created xsi:type="dcterms:W3CDTF">2025-12-15T21:07:00Z</dcterms:created>
  <dcterms:modified xsi:type="dcterms:W3CDTF">2025-12-15T21:07:00Z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30</vt:lpwstr>
  </property>
  <property fmtid="{D5CDD505-2E9C-101B-9397-08002B2CF9AE}" pid="3" name="Utskott">
    <vt:lpwstr>FiU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