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1B799" w14:textId="77777777" w:rsidR="009A6809" w:rsidRDefault="009A6809" w:rsidP="009A6809">
      <w:pPr>
        <w:pStyle w:val="UDrubrik"/>
        <w:tabs>
          <w:tab w:val="left" w:pos="1701"/>
          <w:tab w:val="left" w:pos="1985"/>
        </w:tabs>
        <w:rPr>
          <w:rFonts w:cs="Arial"/>
          <w:sz w:val="28"/>
        </w:rPr>
      </w:pPr>
      <w:bookmarkStart w:id="0" w:name="_GoBack"/>
      <w:bookmarkEnd w:id="0"/>
    </w:p>
    <w:p w14:paraId="0D01B79A" w14:textId="77777777" w:rsidR="009A6809" w:rsidRDefault="009A6809" w:rsidP="009A6809">
      <w:pPr>
        <w:pStyle w:val="UDrubrik"/>
        <w:tabs>
          <w:tab w:val="left" w:pos="1701"/>
          <w:tab w:val="left" w:pos="1985"/>
        </w:tabs>
        <w:rPr>
          <w:rFonts w:cs="Arial"/>
          <w:sz w:val="28"/>
        </w:rPr>
      </w:pPr>
    </w:p>
    <w:p w14:paraId="0D01B79B" w14:textId="77777777" w:rsidR="009A6809" w:rsidRDefault="009A6809" w:rsidP="009A6809">
      <w:pPr>
        <w:pStyle w:val="UDrubrik"/>
        <w:tabs>
          <w:tab w:val="left" w:pos="1701"/>
          <w:tab w:val="left" w:pos="1985"/>
        </w:tabs>
        <w:rPr>
          <w:rFonts w:cs="Arial"/>
          <w:sz w:val="28"/>
        </w:rPr>
      </w:pPr>
    </w:p>
    <w:p w14:paraId="0D01B79C" w14:textId="77777777" w:rsidR="009A6809" w:rsidRDefault="009A6809" w:rsidP="009A6809">
      <w:pPr>
        <w:pStyle w:val="UDrubrik"/>
        <w:tabs>
          <w:tab w:val="left" w:pos="1701"/>
          <w:tab w:val="left" w:pos="1985"/>
        </w:tabs>
        <w:rPr>
          <w:rFonts w:cs="Arial"/>
          <w:sz w:val="28"/>
        </w:rPr>
      </w:pPr>
    </w:p>
    <w:p w14:paraId="0D01B79D" w14:textId="2633CAC0" w:rsidR="009A6809" w:rsidRPr="00374CA3" w:rsidRDefault="009A6809" w:rsidP="009A6809">
      <w:pPr>
        <w:pStyle w:val="UDrubrik"/>
        <w:tabs>
          <w:tab w:val="left" w:pos="1701"/>
          <w:tab w:val="left" w:pos="1985"/>
        </w:tabs>
        <w:rPr>
          <w:rFonts w:cs="Arial"/>
          <w:sz w:val="28"/>
        </w:rPr>
      </w:pPr>
      <w:r w:rsidRPr="00374CA3">
        <w:rPr>
          <w:rFonts w:cs="Arial"/>
          <w:sz w:val="28"/>
        </w:rPr>
        <w:t>Troliga A-punkter inför kommande rådsmöten som godkändes vid Coreper II torsdagen den 16 juli 2015, vecka 29.</w:t>
      </w:r>
    </w:p>
    <w:p w14:paraId="0D01B79E" w14:textId="77777777" w:rsidR="009A6809" w:rsidRPr="00374CA3" w:rsidRDefault="009A6809" w:rsidP="009A6809">
      <w:pPr>
        <w:pStyle w:val="Brdtext"/>
      </w:pPr>
    </w:p>
    <w:p w14:paraId="0D01B79F" w14:textId="2B5DACAA" w:rsidR="009A6809" w:rsidRPr="00374CA3" w:rsidRDefault="009A6809" w:rsidP="009A6809">
      <w:pPr>
        <w:pStyle w:val="Brdtext"/>
      </w:pPr>
      <w:r w:rsidRPr="00374CA3">
        <w:t>Överlämnas för skriftligt samråd till fredagen den 17 juli 2015, kl. 14.00.</w:t>
      </w:r>
    </w:p>
    <w:p w14:paraId="0D01B7A0" w14:textId="77777777" w:rsidR="009A6809" w:rsidRPr="00374CA3" w:rsidRDefault="009A6809" w:rsidP="009A6809">
      <w:pPr>
        <w:spacing w:after="0"/>
        <w:ind w:left="0"/>
      </w:pPr>
      <w:r w:rsidRPr="00374CA3">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D01B7A1" w14:textId="77777777" w:rsidR="009A6809" w:rsidRPr="00374CA3" w:rsidRDefault="009A6809" w:rsidP="009A6809">
          <w:pPr>
            <w:pStyle w:val="Innehllsfrteckningsrubrik"/>
            <w:spacing w:before="0"/>
            <w:rPr>
              <w:color w:val="auto"/>
            </w:rPr>
          </w:pPr>
          <w:r w:rsidRPr="00374CA3">
            <w:rPr>
              <w:color w:val="auto"/>
            </w:rPr>
            <w:t>Innehållsförteckning</w:t>
          </w:r>
        </w:p>
        <w:p w14:paraId="0D01B7A2" w14:textId="77777777" w:rsidR="009A6809" w:rsidRPr="00374CA3" w:rsidRDefault="009A6809" w:rsidP="009A6809">
          <w:pPr>
            <w:spacing w:after="0"/>
            <w:rPr>
              <w:lang w:val="en-US" w:eastAsia="ja-JP"/>
            </w:rPr>
          </w:pPr>
        </w:p>
        <w:p w14:paraId="4101FC9D" w14:textId="77777777" w:rsidR="00374CA3" w:rsidRDefault="009A6809">
          <w:pPr>
            <w:pStyle w:val="Innehll1"/>
            <w:tabs>
              <w:tab w:val="left" w:pos="440"/>
              <w:tab w:val="right" w:leader="dot" w:pos="9062"/>
            </w:tabs>
            <w:rPr>
              <w:rFonts w:asciiTheme="minorHAnsi" w:eastAsiaTheme="minorEastAsia" w:hAnsiTheme="minorHAnsi" w:cstheme="minorBidi"/>
              <w:noProof/>
              <w:lang w:eastAsia="sv-SE"/>
            </w:rPr>
          </w:pPr>
          <w:r w:rsidRPr="00374CA3">
            <w:fldChar w:fldCharType="begin"/>
          </w:r>
          <w:r w:rsidRPr="00374CA3">
            <w:instrText xml:space="preserve"> TOC \o "1-1" \h \z \u </w:instrText>
          </w:r>
          <w:r w:rsidRPr="00374CA3">
            <w:fldChar w:fldCharType="separate"/>
          </w:r>
          <w:hyperlink w:anchor="_Toc424818100" w:history="1">
            <w:r w:rsidR="00374CA3" w:rsidRPr="00D00D72">
              <w:rPr>
                <w:rStyle w:val="Hyperlnk"/>
                <w:noProof/>
              </w:rPr>
              <w:t>1.</w:t>
            </w:r>
            <w:r w:rsidR="00374CA3">
              <w:rPr>
                <w:rFonts w:asciiTheme="minorHAnsi" w:eastAsiaTheme="minorEastAsia" w:hAnsiTheme="minorHAnsi" w:cstheme="minorBidi"/>
                <w:noProof/>
                <w:lang w:eastAsia="sv-SE"/>
              </w:rPr>
              <w:tab/>
            </w:r>
            <w:r w:rsidR="00374CA3" w:rsidRPr="00D00D72">
              <w:rPr>
                <w:rStyle w:val="Hyperlnk"/>
                <w:noProof/>
              </w:rPr>
              <w:t>Désignation du nouveau directeur de l'Agence des droits fondamentaux de l'Union européenne</w:t>
            </w:r>
            <w:r w:rsidR="00374CA3">
              <w:rPr>
                <w:noProof/>
                <w:webHidden/>
              </w:rPr>
              <w:tab/>
            </w:r>
            <w:r w:rsidR="00374CA3">
              <w:rPr>
                <w:noProof/>
                <w:webHidden/>
              </w:rPr>
              <w:fldChar w:fldCharType="begin"/>
            </w:r>
            <w:r w:rsidR="00374CA3">
              <w:rPr>
                <w:noProof/>
                <w:webHidden/>
              </w:rPr>
              <w:instrText xml:space="preserve"> PAGEREF _Toc424818100 \h </w:instrText>
            </w:r>
            <w:r w:rsidR="00374CA3">
              <w:rPr>
                <w:noProof/>
                <w:webHidden/>
              </w:rPr>
            </w:r>
            <w:r w:rsidR="00374CA3">
              <w:rPr>
                <w:noProof/>
                <w:webHidden/>
              </w:rPr>
              <w:fldChar w:fldCharType="separate"/>
            </w:r>
            <w:r w:rsidR="00374CA3">
              <w:rPr>
                <w:noProof/>
                <w:webHidden/>
              </w:rPr>
              <w:t>5</w:t>
            </w:r>
            <w:r w:rsidR="00374CA3">
              <w:rPr>
                <w:noProof/>
                <w:webHidden/>
              </w:rPr>
              <w:fldChar w:fldCharType="end"/>
            </w:r>
          </w:hyperlink>
        </w:p>
        <w:p w14:paraId="0444D799"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1" w:history="1">
            <w:r w:rsidR="00374CA3" w:rsidRPr="00D00D72">
              <w:rPr>
                <w:rStyle w:val="Hyperlnk"/>
                <w:noProof/>
              </w:rPr>
              <w:t>2.</w:t>
            </w:r>
            <w:r w:rsidR="00374CA3">
              <w:rPr>
                <w:rFonts w:asciiTheme="minorHAnsi" w:eastAsiaTheme="minorEastAsia" w:hAnsiTheme="minorHAnsi" w:cstheme="minorBidi"/>
                <w:noProof/>
                <w:lang w:eastAsia="sv-SE"/>
              </w:rPr>
              <w:tab/>
            </w:r>
            <w:r w:rsidR="00374CA3" w:rsidRPr="00D00D72">
              <w:rPr>
                <w:rStyle w:val="Hyperlnk"/>
                <w:noProof/>
              </w:rPr>
              <w:t>Projet de décision du Conseil portant nomination d'un membre letton du Comité économique et social européen</w:t>
            </w:r>
            <w:r w:rsidR="00374CA3">
              <w:rPr>
                <w:noProof/>
                <w:webHidden/>
              </w:rPr>
              <w:tab/>
            </w:r>
            <w:r w:rsidR="00374CA3">
              <w:rPr>
                <w:noProof/>
                <w:webHidden/>
              </w:rPr>
              <w:fldChar w:fldCharType="begin"/>
            </w:r>
            <w:r w:rsidR="00374CA3">
              <w:rPr>
                <w:noProof/>
                <w:webHidden/>
              </w:rPr>
              <w:instrText xml:space="preserve"> PAGEREF _Toc424818101 \h </w:instrText>
            </w:r>
            <w:r w:rsidR="00374CA3">
              <w:rPr>
                <w:noProof/>
                <w:webHidden/>
              </w:rPr>
            </w:r>
            <w:r w:rsidR="00374CA3">
              <w:rPr>
                <w:noProof/>
                <w:webHidden/>
              </w:rPr>
              <w:fldChar w:fldCharType="separate"/>
            </w:r>
            <w:r w:rsidR="00374CA3">
              <w:rPr>
                <w:noProof/>
                <w:webHidden/>
              </w:rPr>
              <w:t>5</w:t>
            </w:r>
            <w:r w:rsidR="00374CA3">
              <w:rPr>
                <w:noProof/>
                <w:webHidden/>
              </w:rPr>
              <w:fldChar w:fldCharType="end"/>
            </w:r>
          </w:hyperlink>
        </w:p>
        <w:p w14:paraId="600FC3C6"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2" w:history="1">
            <w:r w:rsidR="00374CA3" w:rsidRPr="00D00D72">
              <w:rPr>
                <w:rStyle w:val="Hyperlnk"/>
                <w:noProof/>
              </w:rPr>
              <w:t>3.</w:t>
            </w:r>
            <w:r w:rsidR="00374CA3">
              <w:rPr>
                <w:rFonts w:asciiTheme="minorHAnsi" w:eastAsiaTheme="minorEastAsia" w:hAnsiTheme="minorHAnsi" w:cstheme="minorBidi"/>
                <w:noProof/>
                <w:lang w:eastAsia="sv-SE"/>
              </w:rPr>
              <w:tab/>
            </w:r>
            <w:r w:rsidR="00374CA3" w:rsidRPr="00D00D72">
              <w:rPr>
                <w:rStyle w:val="Hyperlnk"/>
                <w:noProof/>
              </w:rPr>
              <w:t>(évent.) Politique de Sécurité de l’Assurance de l’Information sur l'ingénierie de sécurité des systèmes d'information et de communication</w:t>
            </w:r>
            <w:r w:rsidR="00374CA3">
              <w:rPr>
                <w:noProof/>
                <w:webHidden/>
              </w:rPr>
              <w:tab/>
            </w:r>
            <w:r w:rsidR="00374CA3">
              <w:rPr>
                <w:noProof/>
                <w:webHidden/>
              </w:rPr>
              <w:fldChar w:fldCharType="begin"/>
            </w:r>
            <w:r w:rsidR="00374CA3">
              <w:rPr>
                <w:noProof/>
                <w:webHidden/>
              </w:rPr>
              <w:instrText xml:space="preserve"> PAGEREF _Toc424818102 \h </w:instrText>
            </w:r>
            <w:r w:rsidR="00374CA3">
              <w:rPr>
                <w:noProof/>
                <w:webHidden/>
              </w:rPr>
            </w:r>
            <w:r w:rsidR="00374CA3">
              <w:rPr>
                <w:noProof/>
                <w:webHidden/>
              </w:rPr>
              <w:fldChar w:fldCharType="separate"/>
            </w:r>
            <w:r w:rsidR="00374CA3">
              <w:rPr>
                <w:noProof/>
                <w:webHidden/>
              </w:rPr>
              <w:t>5</w:t>
            </w:r>
            <w:r w:rsidR="00374CA3">
              <w:rPr>
                <w:noProof/>
                <w:webHidden/>
              </w:rPr>
              <w:fldChar w:fldCharType="end"/>
            </w:r>
          </w:hyperlink>
        </w:p>
        <w:p w14:paraId="57D66FCD"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3" w:history="1">
            <w:r w:rsidR="00374CA3" w:rsidRPr="00D00D72">
              <w:rPr>
                <w:rStyle w:val="Hyperlnk"/>
                <w:noProof/>
              </w:rPr>
              <w:t>4.</w:t>
            </w:r>
            <w:r w:rsidR="00374CA3">
              <w:rPr>
                <w:rFonts w:asciiTheme="minorHAnsi" w:eastAsiaTheme="minorEastAsia" w:hAnsiTheme="minorHAnsi" w:cstheme="minorBidi"/>
                <w:noProof/>
                <w:lang w:eastAsia="sv-SE"/>
              </w:rPr>
              <w:tab/>
            </w:r>
            <w:r w:rsidR="00374CA3" w:rsidRPr="00D00D72">
              <w:rPr>
                <w:rStyle w:val="Hyperlnk"/>
                <w:noProof/>
              </w:rPr>
              <w:t>Utilisation d'un produit cryptographique approuvé par le Conseil aux membres non UE de l'Agence Spatiale Européenne</w:t>
            </w:r>
            <w:r w:rsidR="00374CA3">
              <w:rPr>
                <w:noProof/>
                <w:webHidden/>
              </w:rPr>
              <w:tab/>
            </w:r>
            <w:r w:rsidR="00374CA3">
              <w:rPr>
                <w:noProof/>
                <w:webHidden/>
              </w:rPr>
              <w:fldChar w:fldCharType="begin"/>
            </w:r>
            <w:r w:rsidR="00374CA3">
              <w:rPr>
                <w:noProof/>
                <w:webHidden/>
              </w:rPr>
              <w:instrText xml:space="preserve"> PAGEREF _Toc424818103 \h </w:instrText>
            </w:r>
            <w:r w:rsidR="00374CA3">
              <w:rPr>
                <w:noProof/>
                <w:webHidden/>
              </w:rPr>
            </w:r>
            <w:r w:rsidR="00374CA3">
              <w:rPr>
                <w:noProof/>
                <w:webHidden/>
              </w:rPr>
              <w:fldChar w:fldCharType="separate"/>
            </w:r>
            <w:r w:rsidR="00374CA3">
              <w:rPr>
                <w:noProof/>
                <w:webHidden/>
              </w:rPr>
              <w:t>6</w:t>
            </w:r>
            <w:r w:rsidR="00374CA3">
              <w:rPr>
                <w:noProof/>
                <w:webHidden/>
              </w:rPr>
              <w:fldChar w:fldCharType="end"/>
            </w:r>
          </w:hyperlink>
        </w:p>
        <w:p w14:paraId="588BE263"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4" w:history="1">
            <w:r w:rsidR="00374CA3" w:rsidRPr="00D00D72">
              <w:rPr>
                <w:rStyle w:val="Hyperlnk"/>
                <w:noProof/>
              </w:rPr>
              <w:t>5.</w:t>
            </w:r>
            <w:r w:rsidR="00374CA3">
              <w:rPr>
                <w:rFonts w:asciiTheme="minorHAnsi" w:eastAsiaTheme="minorEastAsia" w:hAnsiTheme="minorHAnsi" w:cstheme="minorBidi"/>
                <w:noProof/>
                <w:lang w:eastAsia="sv-SE"/>
              </w:rPr>
              <w:tab/>
            </w:r>
            <w:r w:rsidR="00374CA3" w:rsidRPr="00D00D72">
              <w:rPr>
                <w:rStyle w:val="Hyperlnk"/>
                <w:noProof/>
              </w:rPr>
              <w:t>Recommandation au Conseil concernant l'agrément d'un produit cryptographique évalué par seconde partie</w:t>
            </w:r>
            <w:r w:rsidR="00374CA3">
              <w:rPr>
                <w:noProof/>
                <w:webHidden/>
              </w:rPr>
              <w:tab/>
            </w:r>
            <w:r w:rsidR="00374CA3">
              <w:rPr>
                <w:noProof/>
                <w:webHidden/>
              </w:rPr>
              <w:fldChar w:fldCharType="begin"/>
            </w:r>
            <w:r w:rsidR="00374CA3">
              <w:rPr>
                <w:noProof/>
                <w:webHidden/>
              </w:rPr>
              <w:instrText xml:space="preserve"> PAGEREF _Toc424818104 \h </w:instrText>
            </w:r>
            <w:r w:rsidR="00374CA3">
              <w:rPr>
                <w:noProof/>
                <w:webHidden/>
              </w:rPr>
            </w:r>
            <w:r w:rsidR="00374CA3">
              <w:rPr>
                <w:noProof/>
                <w:webHidden/>
              </w:rPr>
              <w:fldChar w:fldCharType="separate"/>
            </w:r>
            <w:r w:rsidR="00374CA3">
              <w:rPr>
                <w:noProof/>
                <w:webHidden/>
              </w:rPr>
              <w:t>7</w:t>
            </w:r>
            <w:r w:rsidR="00374CA3">
              <w:rPr>
                <w:noProof/>
                <w:webHidden/>
              </w:rPr>
              <w:fldChar w:fldCharType="end"/>
            </w:r>
          </w:hyperlink>
        </w:p>
        <w:p w14:paraId="0978E4C8"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5" w:history="1">
            <w:r w:rsidR="00374CA3" w:rsidRPr="00D00D72">
              <w:rPr>
                <w:rStyle w:val="Hyperlnk"/>
                <w:noProof/>
              </w:rPr>
              <w:t>6.</w:t>
            </w:r>
            <w:r w:rsidR="00374CA3">
              <w:rPr>
                <w:rFonts w:asciiTheme="minorHAnsi" w:eastAsiaTheme="minorEastAsia" w:hAnsiTheme="minorHAnsi" w:cstheme="minorBidi"/>
                <w:noProof/>
                <w:lang w:eastAsia="sv-SE"/>
              </w:rPr>
              <w:tab/>
            </w:r>
            <w:r w:rsidR="00374CA3" w:rsidRPr="00D00D72">
              <w:rPr>
                <w:rStyle w:val="Hyperlnk"/>
                <w:noProof/>
              </w:rPr>
              <w:t>Projet de décision du Conseil portant nomination d'un membre de la Cour des Comptes</w:t>
            </w:r>
            <w:r w:rsidR="00374CA3">
              <w:rPr>
                <w:noProof/>
                <w:webHidden/>
              </w:rPr>
              <w:tab/>
            </w:r>
            <w:r w:rsidR="00374CA3">
              <w:rPr>
                <w:noProof/>
                <w:webHidden/>
              </w:rPr>
              <w:fldChar w:fldCharType="begin"/>
            </w:r>
            <w:r w:rsidR="00374CA3">
              <w:rPr>
                <w:noProof/>
                <w:webHidden/>
              </w:rPr>
              <w:instrText xml:space="preserve"> PAGEREF _Toc424818105 \h </w:instrText>
            </w:r>
            <w:r w:rsidR="00374CA3">
              <w:rPr>
                <w:noProof/>
                <w:webHidden/>
              </w:rPr>
            </w:r>
            <w:r w:rsidR="00374CA3">
              <w:rPr>
                <w:noProof/>
                <w:webHidden/>
              </w:rPr>
              <w:fldChar w:fldCharType="separate"/>
            </w:r>
            <w:r w:rsidR="00374CA3">
              <w:rPr>
                <w:noProof/>
                <w:webHidden/>
              </w:rPr>
              <w:t>7</w:t>
            </w:r>
            <w:r w:rsidR="00374CA3">
              <w:rPr>
                <w:noProof/>
                <w:webHidden/>
              </w:rPr>
              <w:fldChar w:fldCharType="end"/>
            </w:r>
          </w:hyperlink>
        </w:p>
        <w:p w14:paraId="7DED86F2"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6" w:history="1">
            <w:r w:rsidR="00374CA3" w:rsidRPr="00D00D72">
              <w:rPr>
                <w:rStyle w:val="Hyperlnk"/>
                <w:noProof/>
              </w:rPr>
              <w:t>7.</w:t>
            </w:r>
            <w:r w:rsidR="00374CA3">
              <w:rPr>
                <w:rFonts w:asciiTheme="minorHAnsi" w:eastAsiaTheme="minorEastAsia" w:hAnsiTheme="minorHAnsi" w:cstheme="minorBidi"/>
                <w:noProof/>
                <w:lang w:eastAsia="sv-SE"/>
              </w:rPr>
              <w:tab/>
            </w:r>
            <w:r w:rsidR="00374CA3" w:rsidRPr="00D00D72">
              <w:rPr>
                <w:rStyle w:val="Hyperlnk"/>
                <w:noProof/>
              </w:rPr>
              <w:t>Proposition de virement de crédits n° DEC 20/2015 à l'intérieur de la section III - Commission - du budget général pour l'exercice 2015</w:t>
            </w:r>
            <w:r w:rsidR="00374CA3">
              <w:rPr>
                <w:noProof/>
                <w:webHidden/>
              </w:rPr>
              <w:tab/>
            </w:r>
            <w:r w:rsidR="00374CA3">
              <w:rPr>
                <w:noProof/>
                <w:webHidden/>
              </w:rPr>
              <w:fldChar w:fldCharType="begin"/>
            </w:r>
            <w:r w:rsidR="00374CA3">
              <w:rPr>
                <w:noProof/>
                <w:webHidden/>
              </w:rPr>
              <w:instrText xml:space="preserve"> PAGEREF _Toc424818106 \h </w:instrText>
            </w:r>
            <w:r w:rsidR="00374CA3">
              <w:rPr>
                <w:noProof/>
                <w:webHidden/>
              </w:rPr>
            </w:r>
            <w:r w:rsidR="00374CA3">
              <w:rPr>
                <w:noProof/>
                <w:webHidden/>
              </w:rPr>
              <w:fldChar w:fldCharType="separate"/>
            </w:r>
            <w:r w:rsidR="00374CA3">
              <w:rPr>
                <w:noProof/>
                <w:webHidden/>
              </w:rPr>
              <w:t>8</w:t>
            </w:r>
            <w:r w:rsidR="00374CA3">
              <w:rPr>
                <w:noProof/>
                <w:webHidden/>
              </w:rPr>
              <w:fldChar w:fldCharType="end"/>
            </w:r>
          </w:hyperlink>
        </w:p>
        <w:p w14:paraId="1C5EFE42"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7" w:history="1">
            <w:r w:rsidR="00374CA3" w:rsidRPr="00D00D72">
              <w:rPr>
                <w:rStyle w:val="Hyperlnk"/>
                <w:noProof/>
              </w:rPr>
              <w:t>8.</w:t>
            </w:r>
            <w:r w:rsidR="00374CA3">
              <w:rPr>
                <w:rFonts w:asciiTheme="minorHAnsi" w:eastAsiaTheme="minorEastAsia" w:hAnsiTheme="minorHAnsi" w:cstheme="minorBidi"/>
                <w:noProof/>
                <w:lang w:eastAsia="sv-SE"/>
              </w:rPr>
              <w:tab/>
            </w:r>
            <w:r w:rsidR="00374CA3" w:rsidRPr="00D00D72">
              <w:rPr>
                <w:rStyle w:val="Hyperlnk"/>
                <w:noProof/>
              </w:rPr>
              <w:t>Proposition de virement de crédits n° DEC 23/2015 à l'intérieur de la section III - Commission - du budget général pour l'exercice 2015</w:t>
            </w:r>
            <w:r w:rsidR="00374CA3">
              <w:rPr>
                <w:noProof/>
                <w:webHidden/>
              </w:rPr>
              <w:tab/>
            </w:r>
            <w:r w:rsidR="00374CA3">
              <w:rPr>
                <w:noProof/>
                <w:webHidden/>
              </w:rPr>
              <w:fldChar w:fldCharType="begin"/>
            </w:r>
            <w:r w:rsidR="00374CA3">
              <w:rPr>
                <w:noProof/>
                <w:webHidden/>
              </w:rPr>
              <w:instrText xml:space="preserve"> PAGEREF _Toc424818107 \h </w:instrText>
            </w:r>
            <w:r w:rsidR="00374CA3">
              <w:rPr>
                <w:noProof/>
                <w:webHidden/>
              </w:rPr>
            </w:r>
            <w:r w:rsidR="00374CA3">
              <w:rPr>
                <w:noProof/>
                <w:webHidden/>
              </w:rPr>
              <w:fldChar w:fldCharType="separate"/>
            </w:r>
            <w:r w:rsidR="00374CA3">
              <w:rPr>
                <w:noProof/>
                <w:webHidden/>
              </w:rPr>
              <w:t>8</w:t>
            </w:r>
            <w:r w:rsidR="00374CA3">
              <w:rPr>
                <w:noProof/>
                <w:webHidden/>
              </w:rPr>
              <w:fldChar w:fldCharType="end"/>
            </w:r>
          </w:hyperlink>
        </w:p>
        <w:p w14:paraId="034CE5B3" w14:textId="77777777" w:rsidR="00374CA3" w:rsidRDefault="004F11F0">
          <w:pPr>
            <w:pStyle w:val="Innehll1"/>
            <w:tabs>
              <w:tab w:val="left" w:pos="440"/>
              <w:tab w:val="right" w:leader="dot" w:pos="9062"/>
            </w:tabs>
            <w:rPr>
              <w:rFonts w:asciiTheme="minorHAnsi" w:eastAsiaTheme="minorEastAsia" w:hAnsiTheme="minorHAnsi" w:cstheme="minorBidi"/>
              <w:noProof/>
              <w:lang w:eastAsia="sv-SE"/>
            </w:rPr>
          </w:pPr>
          <w:hyperlink w:anchor="_Toc424818108" w:history="1">
            <w:r w:rsidR="00374CA3" w:rsidRPr="00D00D72">
              <w:rPr>
                <w:rStyle w:val="Hyperlnk"/>
                <w:noProof/>
              </w:rPr>
              <w:t>9.</w:t>
            </w:r>
            <w:r w:rsidR="00374CA3">
              <w:rPr>
                <w:rFonts w:asciiTheme="minorHAnsi" w:eastAsiaTheme="minorEastAsia" w:hAnsiTheme="minorHAnsi" w:cstheme="minorBidi"/>
                <w:noProof/>
                <w:lang w:eastAsia="sv-SE"/>
              </w:rPr>
              <w:tab/>
            </w:r>
            <w:r w:rsidR="00374CA3" w:rsidRPr="00D00D72">
              <w:rPr>
                <w:rStyle w:val="Hyperlnk"/>
                <w:noProof/>
              </w:rPr>
              <w:t>Règlement délégué (UE) …/… de la Commission du 10 juin 2015 fixant, conformément au règlement (UE) nº 1303/2013 du Parlement européen et du Conseil, un taux forfaitaire pour les opérations financées par les Fonds structurels et d'investissement européens dans le secteur de la recherche, du développement et de l'innovation</w:t>
            </w:r>
            <w:r w:rsidR="00374CA3">
              <w:rPr>
                <w:noProof/>
                <w:webHidden/>
              </w:rPr>
              <w:tab/>
            </w:r>
            <w:r w:rsidR="00374CA3">
              <w:rPr>
                <w:noProof/>
                <w:webHidden/>
              </w:rPr>
              <w:fldChar w:fldCharType="begin"/>
            </w:r>
            <w:r w:rsidR="00374CA3">
              <w:rPr>
                <w:noProof/>
                <w:webHidden/>
              </w:rPr>
              <w:instrText xml:space="preserve"> PAGEREF _Toc424818108 \h </w:instrText>
            </w:r>
            <w:r w:rsidR="00374CA3">
              <w:rPr>
                <w:noProof/>
                <w:webHidden/>
              </w:rPr>
            </w:r>
            <w:r w:rsidR="00374CA3">
              <w:rPr>
                <w:noProof/>
                <w:webHidden/>
              </w:rPr>
              <w:fldChar w:fldCharType="separate"/>
            </w:r>
            <w:r w:rsidR="00374CA3">
              <w:rPr>
                <w:noProof/>
                <w:webHidden/>
              </w:rPr>
              <w:t>9</w:t>
            </w:r>
            <w:r w:rsidR="00374CA3">
              <w:rPr>
                <w:noProof/>
                <w:webHidden/>
              </w:rPr>
              <w:fldChar w:fldCharType="end"/>
            </w:r>
          </w:hyperlink>
        </w:p>
        <w:p w14:paraId="3814AE96"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09" w:history="1">
            <w:r w:rsidR="00374CA3" w:rsidRPr="00D00D72">
              <w:rPr>
                <w:rStyle w:val="Hyperlnk"/>
                <w:noProof/>
              </w:rPr>
              <w:t>10.</w:t>
            </w:r>
            <w:r w:rsidR="00374CA3">
              <w:rPr>
                <w:rFonts w:asciiTheme="minorHAnsi" w:eastAsiaTheme="minorEastAsia" w:hAnsiTheme="minorHAnsi" w:cstheme="minorBidi"/>
                <w:noProof/>
                <w:lang w:eastAsia="sv-SE"/>
              </w:rPr>
              <w:tab/>
            </w:r>
            <w:r w:rsidR="00374CA3" w:rsidRPr="00D00D72">
              <w:rPr>
                <w:rStyle w:val="Hyperlnk"/>
                <w:noProof/>
              </w:rPr>
              <w:t>Présentation d'un nouveau projet de dessin national pour une pièce grecque libellée en euros</w:t>
            </w:r>
            <w:r w:rsidR="00374CA3">
              <w:rPr>
                <w:noProof/>
                <w:webHidden/>
              </w:rPr>
              <w:tab/>
            </w:r>
            <w:r w:rsidR="00374CA3">
              <w:rPr>
                <w:noProof/>
                <w:webHidden/>
              </w:rPr>
              <w:fldChar w:fldCharType="begin"/>
            </w:r>
            <w:r w:rsidR="00374CA3">
              <w:rPr>
                <w:noProof/>
                <w:webHidden/>
              </w:rPr>
              <w:instrText xml:space="preserve"> PAGEREF _Toc424818109 \h </w:instrText>
            </w:r>
            <w:r w:rsidR="00374CA3">
              <w:rPr>
                <w:noProof/>
                <w:webHidden/>
              </w:rPr>
            </w:r>
            <w:r w:rsidR="00374CA3">
              <w:rPr>
                <w:noProof/>
                <w:webHidden/>
              </w:rPr>
              <w:fldChar w:fldCharType="separate"/>
            </w:r>
            <w:r w:rsidR="00374CA3">
              <w:rPr>
                <w:noProof/>
                <w:webHidden/>
              </w:rPr>
              <w:t>9</w:t>
            </w:r>
            <w:r w:rsidR="00374CA3">
              <w:rPr>
                <w:noProof/>
                <w:webHidden/>
              </w:rPr>
              <w:fldChar w:fldCharType="end"/>
            </w:r>
          </w:hyperlink>
        </w:p>
        <w:p w14:paraId="0C7A90EE"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0" w:history="1">
            <w:r w:rsidR="00374CA3" w:rsidRPr="00D00D72">
              <w:rPr>
                <w:rStyle w:val="Hyperlnk"/>
                <w:noProof/>
              </w:rPr>
              <w:t>11.</w:t>
            </w:r>
            <w:r w:rsidR="00374CA3">
              <w:rPr>
                <w:rFonts w:asciiTheme="minorHAnsi" w:eastAsiaTheme="minorEastAsia" w:hAnsiTheme="minorHAnsi" w:cstheme="minorBidi"/>
                <w:noProof/>
                <w:lang w:eastAsia="sv-SE"/>
              </w:rPr>
              <w:tab/>
            </w:r>
            <w:r w:rsidR="00374CA3" w:rsidRPr="00D00D72">
              <w:rPr>
                <w:rStyle w:val="Hyperlnk"/>
                <w:noProof/>
              </w:rPr>
              <w:t>(évent.) Règlement délégué (UE) …/... de la Commission du 2.7.2015 rectifiant le règlement délégué (UE) n° 625/2014 complétant le règlement (UE) n° 575/2013 du Parlement européen et du Conseil par des normes techniques de réglementation précisant les exigences pour les investisseurs, sponsors, prêteurs initiaux et établissements initiaux eu égard à l'exposition au risque de crédit transféré</w:t>
            </w:r>
            <w:r w:rsidR="00374CA3">
              <w:rPr>
                <w:noProof/>
                <w:webHidden/>
              </w:rPr>
              <w:tab/>
            </w:r>
            <w:r w:rsidR="00374CA3">
              <w:rPr>
                <w:noProof/>
                <w:webHidden/>
              </w:rPr>
              <w:fldChar w:fldCharType="begin"/>
            </w:r>
            <w:r w:rsidR="00374CA3">
              <w:rPr>
                <w:noProof/>
                <w:webHidden/>
              </w:rPr>
              <w:instrText xml:space="preserve"> PAGEREF _Toc424818110 \h </w:instrText>
            </w:r>
            <w:r w:rsidR="00374CA3">
              <w:rPr>
                <w:noProof/>
                <w:webHidden/>
              </w:rPr>
            </w:r>
            <w:r w:rsidR="00374CA3">
              <w:rPr>
                <w:noProof/>
                <w:webHidden/>
              </w:rPr>
              <w:fldChar w:fldCharType="separate"/>
            </w:r>
            <w:r w:rsidR="00374CA3">
              <w:rPr>
                <w:noProof/>
                <w:webHidden/>
              </w:rPr>
              <w:t>10</w:t>
            </w:r>
            <w:r w:rsidR="00374CA3">
              <w:rPr>
                <w:noProof/>
                <w:webHidden/>
              </w:rPr>
              <w:fldChar w:fldCharType="end"/>
            </w:r>
          </w:hyperlink>
        </w:p>
        <w:p w14:paraId="5516BC2C"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1" w:history="1">
            <w:r w:rsidR="00374CA3" w:rsidRPr="00D00D72">
              <w:rPr>
                <w:rStyle w:val="Hyperlnk"/>
                <w:noProof/>
              </w:rPr>
              <w:t>12.</w:t>
            </w:r>
            <w:r w:rsidR="00374CA3">
              <w:rPr>
                <w:rFonts w:asciiTheme="minorHAnsi" w:eastAsiaTheme="minorEastAsia" w:hAnsiTheme="minorHAnsi" w:cstheme="minorBidi"/>
                <w:noProof/>
                <w:lang w:eastAsia="sv-SE"/>
              </w:rPr>
              <w:tab/>
            </w:r>
            <w:r w:rsidR="00374CA3" w:rsidRPr="00D00D72">
              <w:rPr>
                <w:rStyle w:val="Hyperlnk"/>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la République arabe d'Égypte,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r w:rsidR="00374CA3">
              <w:rPr>
                <w:noProof/>
                <w:webHidden/>
              </w:rPr>
              <w:tab/>
            </w:r>
            <w:r w:rsidR="00374CA3">
              <w:rPr>
                <w:noProof/>
                <w:webHidden/>
              </w:rPr>
              <w:fldChar w:fldCharType="begin"/>
            </w:r>
            <w:r w:rsidR="00374CA3">
              <w:rPr>
                <w:noProof/>
                <w:webHidden/>
              </w:rPr>
              <w:instrText xml:space="preserve"> PAGEREF _Toc424818111 \h </w:instrText>
            </w:r>
            <w:r w:rsidR="00374CA3">
              <w:rPr>
                <w:noProof/>
                <w:webHidden/>
              </w:rPr>
            </w:r>
            <w:r w:rsidR="00374CA3">
              <w:rPr>
                <w:noProof/>
                <w:webHidden/>
              </w:rPr>
              <w:fldChar w:fldCharType="separate"/>
            </w:r>
            <w:r w:rsidR="00374CA3">
              <w:rPr>
                <w:noProof/>
                <w:webHidden/>
              </w:rPr>
              <w:t>10</w:t>
            </w:r>
            <w:r w:rsidR="00374CA3">
              <w:rPr>
                <w:noProof/>
                <w:webHidden/>
              </w:rPr>
              <w:fldChar w:fldCharType="end"/>
            </w:r>
          </w:hyperlink>
        </w:p>
        <w:p w14:paraId="643DC949"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2" w:history="1">
            <w:r w:rsidR="00374CA3" w:rsidRPr="00D00D72">
              <w:rPr>
                <w:rStyle w:val="Hyperlnk"/>
                <w:noProof/>
              </w:rPr>
              <w:t>13.</w:t>
            </w:r>
            <w:r w:rsidR="00374CA3">
              <w:rPr>
                <w:rFonts w:asciiTheme="minorHAnsi" w:eastAsiaTheme="minorEastAsia" w:hAnsiTheme="minorHAnsi" w:cstheme="minorBidi"/>
                <w:noProof/>
                <w:lang w:eastAsia="sv-SE"/>
              </w:rPr>
              <w:tab/>
            </w:r>
            <w:r w:rsidR="00374CA3" w:rsidRPr="00D00D72">
              <w:rPr>
                <w:rStyle w:val="Hyperlnk"/>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l'État d’Israël,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r w:rsidR="00374CA3">
              <w:rPr>
                <w:noProof/>
                <w:webHidden/>
              </w:rPr>
              <w:tab/>
            </w:r>
            <w:r w:rsidR="00374CA3">
              <w:rPr>
                <w:noProof/>
                <w:webHidden/>
              </w:rPr>
              <w:fldChar w:fldCharType="begin"/>
            </w:r>
            <w:r w:rsidR="00374CA3">
              <w:rPr>
                <w:noProof/>
                <w:webHidden/>
              </w:rPr>
              <w:instrText xml:space="preserve"> PAGEREF _Toc424818112 \h </w:instrText>
            </w:r>
            <w:r w:rsidR="00374CA3">
              <w:rPr>
                <w:noProof/>
                <w:webHidden/>
              </w:rPr>
            </w:r>
            <w:r w:rsidR="00374CA3">
              <w:rPr>
                <w:noProof/>
                <w:webHidden/>
              </w:rPr>
              <w:fldChar w:fldCharType="separate"/>
            </w:r>
            <w:r w:rsidR="00374CA3">
              <w:rPr>
                <w:noProof/>
                <w:webHidden/>
              </w:rPr>
              <w:t>11</w:t>
            </w:r>
            <w:r w:rsidR="00374CA3">
              <w:rPr>
                <w:noProof/>
                <w:webHidden/>
              </w:rPr>
              <w:fldChar w:fldCharType="end"/>
            </w:r>
          </w:hyperlink>
        </w:p>
        <w:p w14:paraId="315FE58A"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3" w:history="1">
            <w:r w:rsidR="00374CA3" w:rsidRPr="00D00D72">
              <w:rPr>
                <w:rStyle w:val="Hyperlnk"/>
                <w:noProof/>
              </w:rPr>
              <w:t>14.</w:t>
            </w:r>
            <w:r w:rsidR="00374CA3">
              <w:rPr>
                <w:rFonts w:asciiTheme="minorHAnsi" w:eastAsiaTheme="minorEastAsia" w:hAnsiTheme="minorHAnsi" w:cstheme="minorBidi"/>
                <w:noProof/>
                <w:lang w:eastAsia="sv-SE"/>
              </w:rPr>
              <w:tab/>
            </w:r>
            <w:r w:rsidR="00374CA3" w:rsidRPr="00D00D72">
              <w:rPr>
                <w:rStyle w:val="Hyperlnk"/>
                <w:noProof/>
              </w:rPr>
              <w:t xml:space="preserve">Proposition de décision du Conseil relative à la position à adopter au nom de l'Union européenne au sein du Conseil d'association institué par l'accord euro-méditerranéen établissant une association entre les Communautés européennes et leurs États membres, d'une part, et le Royaume </w:t>
            </w:r>
            <w:r w:rsidR="00374CA3" w:rsidRPr="00D00D72">
              <w:rPr>
                <w:rStyle w:val="Hyperlnk"/>
                <w:noProof/>
              </w:rPr>
              <w:lastRenderedPageBreak/>
              <w:t>hachémite de Jordanie, d'autre part, en ce qui concerne le remplacement du protocole n° 3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r w:rsidR="00374CA3">
              <w:rPr>
                <w:noProof/>
                <w:webHidden/>
              </w:rPr>
              <w:tab/>
            </w:r>
            <w:r w:rsidR="00374CA3">
              <w:rPr>
                <w:noProof/>
                <w:webHidden/>
              </w:rPr>
              <w:fldChar w:fldCharType="begin"/>
            </w:r>
            <w:r w:rsidR="00374CA3">
              <w:rPr>
                <w:noProof/>
                <w:webHidden/>
              </w:rPr>
              <w:instrText xml:space="preserve"> PAGEREF _Toc424818113 \h </w:instrText>
            </w:r>
            <w:r w:rsidR="00374CA3">
              <w:rPr>
                <w:noProof/>
                <w:webHidden/>
              </w:rPr>
            </w:r>
            <w:r w:rsidR="00374CA3">
              <w:rPr>
                <w:noProof/>
                <w:webHidden/>
              </w:rPr>
              <w:fldChar w:fldCharType="separate"/>
            </w:r>
            <w:r w:rsidR="00374CA3">
              <w:rPr>
                <w:noProof/>
                <w:webHidden/>
              </w:rPr>
              <w:t>12</w:t>
            </w:r>
            <w:r w:rsidR="00374CA3">
              <w:rPr>
                <w:noProof/>
                <w:webHidden/>
              </w:rPr>
              <w:fldChar w:fldCharType="end"/>
            </w:r>
          </w:hyperlink>
        </w:p>
        <w:p w14:paraId="46F5A7D0"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4" w:history="1">
            <w:r w:rsidR="00374CA3" w:rsidRPr="00D00D72">
              <w:rPr>
                <w:rStyle w:val="Hyperlnk"/>
                <w:noProof/>
              </w:rPr>
              <w:t>15.</w:t>
            </w:r>
            <w:r w:rsidR="00374CA3">
              <w:rPr>
                <w:rFonts w:asciiTheme="minorHAnsi" w:eastAsiaTheme="minorEastAsia" w:hAnsiTheme="minorHAnsi" w:cstheme="minorBidi"/>
                <w:noProof/>
                <w:lang w:eastAsia="sv-SE"/>
              </w:rPr>
              <w:tab/>
            </w:r>
            <w:r w:rsidR="00374CA3" w:rsidRPr="00D00D72">
              <w:rPr>
                <w:rStyle w:val="Hyperlnk"/>
                <w:noProof/>
              </w:rPr>
              <w:t>Proposition de décision du conseil relative à la position à adopter au nom de l'Union européenne au sein du comité mixte institué par 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en ce qui concerne le remplacement du protocole n° 3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r w:rsidR="00374CA3">
              <w:rPr>
                <w:noProof/>
                <w:webHidden/>
              </w:rPr>
              <w:tab/>
            </w:r>
            <w:r w:rsidR="00374CA3">
              <w:rPr>
                <w:noProof/>
                <w:webHidden/>
              </w:rPr>
              <w:fldChar w:fldCharType="begin"/>
            </w:r>
            <w:r w:rsidR="00374CA3">
              <w:rPr>
                <w:noProof/>
                <w:webHidden/>
              </w:rPr>
              <w:instrText xml:space="preserve"> PAGEREF _Toc424818114 \h </w:instrText>
            </w:r>
            <w:r w:rsidR="00374CA3">
              <w:rPr>
                <w:noProof/>
                <w:webHidden/>
              </w:rPr>
            </w:r>
            <w:r w:rsidR="00374CA3">
              <w:rPr>
                <w:noProof/>
                <w:webHidden/>
              </w:rPr>
              <w:fldChar w:fldCharType="separate"/>
            </w:r>
            <w:r w:rsidR="00374CA3">
              <w:rPr>
                <w:noProof/>
                <w:webHidden/>
              </w:rPr>
              <w:t>12</w:t>
            </w:r>
            <w:r w:rsidR="00374CA3">
              <w:rPr>
                <w:noProof/>
                <w:webHidden/>
              </w:rPr>
              <w:fldChar w:fldCharType="end"/>
            </w:r>
          </w:hyperlink>
        </w:p>
        <w:p w14:paraId="5933B7BE"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5" w:history="1">
            <w:r w:rsidR="00374CA3" w:rsidRPr="00D00D72">
              <w:rPr>
                <w:rStyle w:val="Hyperlnk"/>
                <w:noProof/>
              </w:rPr>
              <w:t>16.</w:t>
            </w:r>
            <w:r w:rsidR="00374CA3">
              <w:rPr>
                <w:rFonts w:asciiTheme="minorHAnsi" w:eastAsiaTheme="minorEastAsia" w:hAnsiTheme="minorHAnsi" w:cstheme="minorBidi"/>
                <w:noProof/>
                <w:lang w:eastAsia="sv-SE"/>
              </w:rPr>
              <w:tab/>
            </w:r>
            <w:r w:rsidR="00374CA3" w:rsidRPr="00D00D72">
              <w:rPr>
                <w:rStyle w:val="Hyperlnk"/>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la République tunisienne,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r w:rsidR="00374CA3">
              <w:rPr>
                <w:noProof/>
                <w:webHidden/>
              </w:rPr>
              <w:tab/>
            </w:r>
            <w:r w:rsidR="00374CA3">
              <w:rPr>
                <w:noProof/>
                <w:webHidden/>
              </w:rPr>
              <w:fldChar w:fldCharType="begin"/>
            </w:r>
            <w:r w:rsidR="00374CA3">
              <w:rPr>
                <w:noProof/>
                <w:webHidden/>
              </w:rPr>
              <w:instrText xml:space="preserve"> PAGEREF _Toc424818115 \h </w:instrText>
            </w:r>
            <w:r w:rsidR="00374CA3">
              <w:rPr>
                <w:noProof/>
                <w:webHidden/>
              </w:rPr>
            </w:r>
            <w:r w:rsidR="00374CA3">
              <w:rPr>
                <w:noProof/>
                <w:webHidden/>
              </w:rPr>
              <w:fldChar w:fldCharType="separate"/>
            </w:r>
            <w:r w:rsidR="00374CA3">
              <w:rPr>
                <w:noProof/>
                <w:webHidden/>
              </w:rPr>
              <w:t>13</w:t>
            </w:r>
            <w:r w:rsidR="00374CA3">
              <w:rPr>
                <w:noProof/>
                <w:webHidden/>
              </w:rPr>
              <w:fldChar w:fldCharType="end"/>
            </w:r>
          </w:hyperlink>
        </w:p>
        <w:p w14:paraId="301CE46B"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6" w:history="1">
            <w:r w:rsidR="00374CA3" w:rsidRPr="00D00D72">
              <w:rPr>
                <w:rStyle w:val="Hyperlnk"/>
                <w:noProof/>
              </w:rPr>
              <w:t>17.</w:t>
            </w:r>
            <w:r w:rsidR="00374CA3">
              <w:rPr>
                <w:rFonts w:asciiTheme="minorHAnsi" w:eastAsiaTheme="minorEastAsia" w:hAnsiTheme="minorHAnsi" w:cstheme="minorBidi"/>
                <w:noProof/>
                <w:lang w:eastAsia="sv-SE"/>
              </w:rPr>
              <w:tab/>
            </w:r>
            <w:r w:rsidR="00374CA3" w:rsidRPr="00D00D72">
              <w:rPr>
                <w:rStyle w:val="Hyperlnk"/>
                <w:noProof/>
              </w:rPr>
              <w:t>Afghanistan</w:t>
            </w:r>
            <w:r w:rsidR="00374CA3">
              <w:rPr>
                <w:noProof/>
                <w:webHidden/>
              </w:rPr>
              <w:tab/>
            </w:r>
            <w:r w:rsidR="00374CA3">
              <w:rPr>
                <w:noProof/>
                <w:webHidden/>
              </w:rPr>
              <w:fldChar w:fldCharType="begin"/>
            </w:r>
            <w:r w:rsidR="00374CA3">
              <w:rPr>
                <w:noProof/>
                <w:webHidden/>
              </w:rPr>
              <w:instrText xml:space="preserve"> PAGEREF _Toc424818116 \h </w:instrText>
            </w:r>
            <w:r w:rsidR="00374CA3">
              <w:rPr>
                <w:noProof/>
                <w:webHidden/>
              </w:rPr>
            </w:r>
            <w:r w:rsidR="00374CA3">
              <w:rPr>
                <w:noProof/>
                <w:webHidden/>
              </w:rPr>
              <w:fldChar w:fldCharType="separate"/>
            </w:r>
            <w:r w:rsidR="00374CA3">
              <w:rPr>
                <w:noProof/>
                <w:webHidden/>
              </w:rPr>
              <w:t>14</w:t>
            </w:r>
            <w:r w:rsidR="00374CA3">
              <w:rPr>
                <w:noProof/>
                <w:webHidden/>
              </w:rPr>
              <w:fldChar w:fldCharType="end"/>
            </w:r>
          </w:hyperlink>
        </w:p>
        <w:p w14:paraId="5F73A207"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7" w:history="1">
            <w:r w:rsidR="00374CA3" w:rsidRPr="00D00D72">
              <w:rPr>
                <w:rStyle w:val="Hyperlnk"/>
                <w:noProof/>
              </w:rPr>
              <w:t>18.</w:t>
            </w:r>
            <w:r w:rsidR="00374CA3">
              <w:rPr>
                <w:rFonts w:asciiTheme="minorHAnsi" w:eastAsiaTheme="minorEastAsia" w:hAnsiTheme="minorHAnsi" w:cstheme="minorBidi"/>
                <w:noProof/>
                <w:lang w:eastAsia="sv-SE"/>
              </w:rPr>
              <w:tab/>
            </w:r>
            <w:r w:rsidR="00374CA3" w:rsidRPr="00D00D72">
              <w:rPr>
                <w:rStyle w:val="Hyperlnk"/>
                <w:noProof/>
              </w:rPr>
              <w:t>Pakistan</w:t>
            </w:r>
            <w:r w:rsidR="00374CA3">
              <w:rPr>
                <w:noProof/>
                <w:webHidden/>
              </w:rPr>
              <w:tab/>
            </w:r>
            <w:r w:rsidR="00374CA3">
              <w:rPr>
                <w:noProof/>
                <w:webHidden/>
              </w:rPr>
              <w:fldChar w:fldCharType="begin"/>
            </w:r>
            <w:r w:rsidR="00374CA3">
              <w:rPr>
                <w:noProof/>
                <w:webHidden/>
              </w:rPr>
              <w:instrText xml:space="preserve"> PAGEREF _Toc424818117 \h </w:instrText>
            </w:r>
            <w:r w:rsidR="00374CA3">
              <w:rPr>
                <w:noProof/>
                <w:webHidden/>
              </w:rPr>
            </w:r>
            <w:r w:rsidR="00374CA3">
              <w:rPr>
                <w:noProof/>
                <w:webHidden/>
              </w:rPr>
              <w:fldChar w:fldCharType="separate"/>
            </w:r>
            <w:r w:rsidR="00374CA3">
              <w:rPr>
                <w:noProof/>
                <w:webHidden/>
              </w:rPr>
              <w:t>15</w:t>
            </w:r>
            <w:r w:rsidR="00374CA3">
              <w:rPr>
                <w:noProof/>
                <w:webHidden/>
              </w:rPr>
              <w:fldChar w:fldCharType="end"/>
            </w:r>
          </w:hyperlink>
        </w:p>
        <w:p w14:paraId="721BD97B"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8" w:history="1">
            <w:r w:rsidR="00374CA3" w:rsidRPr="00D00D72">
              <w:rPr>
                <w:rStyle w:val="Hyperlnk"/>
                <w:noProof/>
              </w:rPr>
              <w:t>19.</w:t>
            </w:r>
            <w:r w:rsidR="00374CA3">
              <w:rPr>
                <w:rFonts w:asciiTheme="minorHAnsi" w:eastAsiaTheme="minorEastAsia" w:hAnsiTheme="minorHAnsi" w:cstheme="minorBidi"/>
                <w:noProof/>
                <w:lang w:eastAsia="sv-SE"/>
              </w:rPr>
              <w:tab/>
            </w:r>
            <w:r w:rsidR="00374CA3" w:rsidRPr="00D00D72">
              <w:rPr>
                <w:rStyle w:val="Hyperlnk"/>
                <w:noProof/>
              </w:rPr>
              <w:t>Principaux aspects et choix fondamentaux de la PESC (partie II, point E, paragraphe 25, de l'accord interinstitutionnel du 2 décembre 2013) - 2014</w:t>
            </w:r>
            <w:r w:rsidR="00374CA3">
              <w:rPr>
                <w:noProof/>
                <w:webHidden/>
              </w:rPr>
              <w:tab/>
            </w:r>
            <w:r w:rsidR="00374CA3">
              <w:rPr>
                <w:noProof/>
                <w:webHidden/>
              </w:rPr>
              <w:fldChar w:fldCharType="begin"/>
            </w:r>
            <w:r w:rsidR="00374CA3">
              <w:rPr>
                <w:noProof/>
                <w:webHidden/>
              </w:rPr>
              <w:instrText xml:space="preserve"> PAGEREF _Toc424818118 \h </w:instrText>
            </w:r>
            <w:r w:rsidR="00374CA3">
              <w:rPr>
                <w:noProof/>
                <w:webHidden/>
              </w:rPr>
            </w:r>
            <w:r w:rsidR="00374CA3">
              <w:rPr>
                <w:noProof/>
                <w:webHidden/>
              </w:rPr>
              <w:fldChar w:fldCharType="separate"/>
            </w:r>
            <w:r w:rsidR="00374CA3">
              <w:rPr>
                <w:noProof/>
                <w:webHidden/>
              </w:rPr>
              <w:t>17</w:t>
            </w:r>
            <w:r w:rsidR="00374CA3">
              <w:rPr>
                <w:noProof/>
                <w:webHidden/>
              </w:rPr>
              <w:fldChar w:fldCharType="end"/>
            </w:r>
          </w:hyperlink>
        </w:p>
        <w:p w14:paraId="317335F3" w14:textId="3BC57A83"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19" w:history="1">
            <w:r w:rsidR="00374CA3" w:rsidRPr="00D00D72">
              <w:rPr>
                <w:rStyle w:val="Hyperlnk"/>
                <w:noProof/>
              </w:rPr>
              <w:t>20.</w:t>
            </w:r>
            <w:r w:rsidR="00374CA3">
              <w:rPr>
                <w:rFonts w:asciiTheme="minorHAnsi" w:eastAsiaTheme="minorEastAsia" w:hAnsiTheme="minorHAnsi" w:cstheme="minorBidi"/>
                <w:noProof/>
                <w:lang w:eastAsia="sv-SE"/>
              </w:rPr>
              <w:tab/>
            </w:r>
            <w:r w:rsidR="00374CA3" w:rsidRPr="00D00D72">
              <w:rPr>
                <w:rStyle w:val="Hyperlnk"/>
                <w:noProof/>
              </w:rPr>
              <w:t>= Décision d'exécution du Conseil mettant en œuvre la décision 2012/642/PESC concernant des mesures restrictives à l'encontre de la Biélorussie  = Règlement d'exécution du Conseil mettant en œuvre le règlement (CE) nº 765/2006 concernant des mesures restrictives à l'encontre de la Biélorussie</w:t>
            </w:r>
            <w:r w:rsidR="00374CA3">
              <w:rPr>
                <w:noProof/>
                <w:webHidden/>
              </w:rPr>
              <w:tab/>
            </w:r>
            <w:r w:rsidR="00E01D1F">
              <w:rPr>
                <w:noProof/>
                <w:webHidden/>
              </w:rPr>
              <w:tab/>
            </w:r>
            <w:r w:rsidR="00E01D1F">
              <w:rPr>
                <w:noProof/>
                <w:webHidden/>
              </w:rPr>
              <w:tab/>
            </w:r>
            <w:r w:rsidR="00374CA3">
              <w:rPr>
                <w:noProof/>
                <w:webHidden/>
              </w:rPr>
              <w:fldChar w:fldCharType="begin"/>
            </w:r>
            <w:r w:rsidR="00374CA3">
              <w:rPr>
                <w:noProof/>
                <w:webHidden/>
              </w:rPr>
              <w:instrText xml:space="preserve"> PAGEREF _Toc424818119 \h </w:instrText>
            </w:r>
            <w:r w:rsidR="00374CA3">
              <w:rPr>
                <w:noProof/>
                <w:webHidden/>
              </w:rPr>
            </w:r>
            <w:r w:rsidR="00374CA3">
              <w:rPr>
                <w:noProof/>
                <w:webHidden/>
              </w:rPr>
              <w:fldChar w:fldCharType="separate"/>
            </w:r>
            <w:r w:rsidR="00374CA3">
              <w:rPr>
                <w:noProof/>
                <w:webHidden/>
              </w:rPr>
              <w:t>17</w:t>
            </w:r>
            <w:r w:rsidR="00374CA3">
              <w:rPr>
                <w:noProof/>
                <w:webHidden/>
              </w:rPr>
              <w:fldChar w:fldCharType="end"/>
            </w:r>
          </w:hyperlink>
        </w:p>
        <w:p w14:paraId="2BE98545"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0" w:history="1">
            <w:r w:rsidR="00374CA3" w:rsidRPr="00D00D72">
              <w:rPr>
                <w:rStyle w:val="Hyperlnk"/>
                <w:noProof/>
              </w:rPr>
              <w:t>21.</w:t>
            </w:r>
            <w:r w:rsidR="00374CA3">
              <w:rPr>
                <w:rFonts w:asciiTheme="minorHAnsi" w:eastAsiaTheme="minorEastAsia" w:hAnsiTheme="minorHAnsi" w:cstheme="minorBidi"/>
                <w:noProof/>
                <w:lang w:eastAsia="sv-SE"/>
              </w:rPr>
              <w:tab/>
            </w:r>
            <w:r w:rsidR="00374CA3" w:rsidRPr="00D00D72">
              <w:rPr>
                <w:rStyle w:val="Hyperlnk"/>
                <w:noProof/>
              </w:rPr>
              <w:t>= Décision du Conseil portant mise à jour et modification de la liste de personnes, groupes et entités auxquels s'appliquent les articles 2, 3 et 4 de la position commune 2001/931/PESC relative à l'application de mesures spécifiques en vue de lutter contre le terrorisme, et abrogeant la décision (PESC) 2015/521 = Règlement d'exécution du Conseil mettant en œuvre l'article 2, paragraphe 3, du règlement (CE) n° 2580/2001 concernant l'adoption de mesures restrictives spécifiques à l'encontre de certaines personnes et entités dans le cadre de la lutte contre le terrorisme et abrogeant le règlement d'exécution (UE) n° 2015/513</w:t>
            </w:r>
            <w:r w:rsidR="00374CA3">
              <w:rPr>
                <w:noProof/>
                <w:webHidden/>
              </w:rPr>
              <w:tab/>
            </w:r>
            <w:r w:rsidR="00374CA3">
              <w:rPr>
                <w:noProof/>
                <w:webHidden/>
              </w:rPr>
              <w:fldChar w:fldCharType="begin"/>
            </w:r>
            <w:r w:rsidR="00374CA3">
              <w:rPr>
                <w:noProof/>
                <w:webHidden/>
              </w:rPr>
              <w:instrText xml:space="preserve"> PAGEREF _Toc424818120 \h </w:instrText>
            </w:r>
            <w:r w:rsidR="00374CA3">
              <w:rPr>
                <w:noProof/>
                <w:webHidden/>
              </w:rPr>
            </w:r>
            <w:r w:rsidR="00374CA3">
              <w:rPr>
                <w:noProof/>
                <w:webHidden/>
              </w:rPr>
              <w:fldChar w:fldCharType="separate"/>
            </w:r>
            <w:r w:rsidR="00374CA3">
              <w:rPr>
                <w:noProof/>
                <w:webHidden/>
              </w:rPr>
              <w:t>18</w:t>
            </w:r>
            <w:r w:rsidR="00374CA3">
              <w:rPr>
                <w:noProof/>
                <w:webHidden/>
              </w:rPr>
              <w:fldChar w:fldCharType="end"/>
            </w:r>
          </w:hyperlink>
        </w:p>
        <w:p w14:paraId="38AA6150"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1" w:history="1">
            <w:r w:rsidR="00374CA3" w:rsidRPr="00D00D72">
              <w:rPr>
                <w:rStyle w:val="Hyperlnk"/>
                <w:noProof/>
              </w:rPr>
              <w:t>22.</w:t>
            </w:r>
            <w:r w:rsidR="00374CA3">
              <w:rPr>
                <w:rFonts w:asciiTheme="minorHAnsi" w:eastAsiaTheme="minorEastAsia" w:hAnsiTheme="minorHAnsi" w:cstheme="minorBidi"/>
                <w:noProof/>
                <w:lang w:eastAsia="sv-SE"/>
              </w:rPr>
              <w:tab/>
            </w:r>
            <w:r w:rsidR="00374CA3" w:rsidRPr="00D00D72">
              <w:rPr>
                <w:rStyle w:val="Hyperlnk"/>
                <w:noProof/>
              </w:rPr>
              <w:t>Mesures restrictives à l'encontre de la Biélorussie</w:t>
            </w:r>
            <w:r w:rsidR="00374CA3">
              <w:rPr>
                <w:noProof/>
                <w:webHidden/>
              </w:rPr>
              <w:tab/>
            </w:r>
            <w:r w:rsidR="00374CA3">
              <w:rPr>
                <w:noProof/>
                <w:webHidden/>
              </w:rPr>
              <w:fldChar w:fldCharType="begin"/>
            </w:r>
            <w:r w:rsidR="00374CA3">
              <w:rPr>
                <w:noProof/>
                <w:webHidden/>
              </w:rPr>
              <w:instrText xml:space="preserve"> PAGEREF _Toc424818121 \h </w:instrText>
            </w:r>
            <w:r w:rsidR="00374CA3">
              <w:rPr>
                <w:noProof/>
                <w:webHidden/>
              </w:rPr>
            </w:r>
            <w:r w:rsidR="00374CA3">
              <w:rPr>
                <w:noProof/>
                <w:webHidden/>
              </w:rPr>
              <w:fldChar w:fldCharType="separate"/>
            </w:r>
            <w:r w:rsidR="00374CA3">
              <w:rPr>
                <w:noProof/>
                <w:webHidden/>
              </w:rPr>
              <w:t>19</w:t>
            </w:r>
            <w:r w:rsidR="00374CA3">
              <w:rPr>
                <w:noProof/>
                <w:webHidden/>
              </w:rPr>
              <w:fldChar w:fldCharType="end"/>
            </w:r>
          </w:hyperlink>
        </w:p>
        <w:p w14:paraId="7B640B35"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2" w:history="1">
            <w:r w:rsidR="00374CA3" w:rsidRPr="00D00D72">
              <w:rPr>
                <w:rStyle w:val="Hyperlnk"/>
                <w:noProof/>
              </w:rPr>
              <w:t>23.</w:t>
            </w:r>
            <w:r w:rsidR="00374CA3">
              <w:rPr>
                <w:rFonts w:asciiTheme="minorHAnsi" w:eastAsiaTheme="minorEastAsia" w:hAnsiTheme="minorHAnsi" w:cstheme="minorBidi"/>
                <w:noProof/>
                <w:lang w:eastAsia="sv-SE"/>
              </w:rPr>
              <w:tab/>
            </w:r>
            <w:r w:rsidR="00374CA3" w:rsidRPr="00D00D72">
              <w:rPr>
                <w:rStyle w:val="Hyperlnk"/>
                <w:noProof/>
              </w:rPr>
              <w:t>Rapport semestriel sur l'état d'avancement des travaux concernant la mise en œuvre de la stratégie de l'UE contre la prolifération des armes de destruction massive (2015/I)</w:t>
            </w:r>
            <w:r w:rsidR="00374CA3">
              <w:rPr>
                <w:noProof/>
                <w:webHidden/>
              </w:rPr>
              <w:tab/>
            </w:r>
            <w:r w:rsidR="00374CA3">
              <w:rPr>
                <w:noProof/>
                <w:webHidden/>
              </w:rPr>
              <w:fldChar w:fldCharType="begin"/>
            </w:r>
            <w:r w:rsidR="00374CA3">
              <w:rPr>
                <w:noProof/>
                <w:webHidden/>
              </w:rPr>
              <w:instrText xml:space="preserve"> PAGEREF _Toc424818122 \h </w:instrText>
            </w:r>
            <w:r w:rsidR="00374CA3">
              <w:rPr>
                <w:noProof/>
                <w:webHidden/>
              </w:rPr>
            </w:r>
            <w:r w:rsidR="00374CA3">
              <w:rPr>
                <w:noProof/>
                <w:webHidden/>
              </w:rPr>
              <w:fldChar w:fldCharType="separate"/>
            </w:r>
            <w:r w:rsidR="00374CA3">
              <w:rPr>
                <w:noProof/>
                <w:webHidden/>
              </w:rPr>
              <w:t>19</w:t>
            </w:r>
            <w:r w:rsidR="00374CA3">
              <w:rPr>
                <w:noProof/>
                <w:webHidden/>
              </w:rPr>
              <w:fldChar w:fldCharType="end"/>
            </w:r>
          </w:hyperlink>
        </w:p>
        <w:p w14:paraId="480EE597"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3" w:history="1">
            <w:r w:rsidR="00374CA3" w:rsidRPr="00D00D72">
              <w:rPr>
                <w:rStyle w:val="Hyperlnk"/>
                <w:noProof/>
              </w:rPr>
              <w:t>24.</w:t>
            </w:r>
            <w:r w:rsidR="00374CA3">
              <w:rPr>
                <w:rFonts w:asciiTheme="minorHAnsi" w:eastAsiaTheme="minorEastAsia" w:hAnsiTheme="minorHAnsi" w:cstheme="minorBidi"/>
                <w:noProof/>
                <w:lang w:eastAsia="sv-SE"/>
              </w:rPr>
              <w:tab/>
            </w:r>
            <w:r w:rsidR="00374CA3" w:rsidRPr="00D00D72">
              <w:rPr>
                <w:rStyle w:val="Hyperlnk"/>
                <w:noProof/>
              </w:rPr>
              <w:t>Projet de conclusions du Conseil sur la République Centrafricaine</w:t>
            </w:r>
            <w:r w:rsidR="00374CA3">
              <w:rPr>
                <w:noProof/>
                <w:webHidden/>
              </w:rPr>
              <w:tab/>
            </w:r>
            <w:r w:rsidR="00374CA3">
              <w:rPr>
                <w:noProof/>
                <w:webHidden/>
              </w:rPr>
              <w:fldChar w:fldCharType="begin"/>
            </w:r>
            <w:r w:rsidR="00374CA3">
              <w:rPr>
                <w:noProof/>
                <w:webHidden/>
              </w:rPr>
              <w:instrText xml:space="preserve"> PAGEREF _Toc424818123 \h </w:instrText>
            </w:r>
            <w:r w:rsidR="00374CA3">
              <w:rPr>
                <w:noProof/>
                <w:webHidden/>
              </w:rPr>
            </w:r>
            <w:r w:rsidR="00374CA3">
              <w:rPr>
                <w:noProof/>
                <w:webHidden/>
              </w:rPr>
              <w:fldChar w:fldCharType="separate"/>
            </w:r>
            <w:r w:rsidR="00374CA3">
              <w:rPr>
                <w:noProof/>
                <w:webHidden/>
              </w:rPr>
              <w:t>20</w:t>
            </w:r>
            <w:r w:rsidR="00374CA3">
              <w:rPr>
                <w:noProof/>
                <w:webHidden/>
              </w:rPr>
              <w:fldChar w:fldCharType="end"/>
            </w:r>
          </w:hyperlink>
        </w:p>
        <w:p w14:paraId="7E8ABCED"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4" w:history="1">
            <w:r w:rsidR="00374CA3" w:rsidRPr="00D00D72">
              <w:rPr>
                <w:rStyle w:val="Hyperlnk"/>
                <w:noProof/>
              </w:rPr>
              <w:t>25.</w:t>
            </w:r>
            <w:r w:rsidR="00374CA3">
              <w:rPr>
                <w:rFonts w:asciiTheme="minorHAnsi" w:eastAsiaTheme="minorEastAsia" w:hAnsiTheme="minorHAnsi" w:cstheme="minorBidi"/>
                <w:noProof/>
                <w:lang w:eastAsia="sv-SE"/>
              </w:rPr>
              <w:tab/>
            </w:r>
            <w:r w:rsidR="00374CA3" w:rsidRPr="00D00D72">
              <w:rPr>
                <w:rStyle w:val="Hyperlnk"/>
                <w:noProof/>
              </w:rPr>
              <w:t>Projet de conclusions du Conseil relatives au Mali</w:t>
            </w:r>
            <w:r w:rsidR="00374CA3">
              <w:rPr>
                <w:noProof/>
                <w:webHidden/>
              </w:rPr>
              <w:tab/>
            </w:r>
            <w:r w:rsidR="00374CA3">
              <w:rPr>
                <w:noProof/>
                <w:webHidden/>
              </w:rPr>
              <w:fldChar w:fldCharType="begin"/>
            </w:r>
            <w:r w:rsidR="00374CA3">
              <w:rPr>
                <w:noProof/>
                <w:webHidden/>
              </w:rPr>
              <w:instrText xml:space="preserve"> PAGEREF _Toc424818124 \h </w:instrText>
            </w:r>
            <w:r w:rsidR="00374CA3">
              <w:rPr>
                <w:noProof/>
                <w:webHidden/>
              </w:rPr>
            </w:r>
            <w:r w:rsidR="00374CA3">
              <w:rPr>
                <w:noProof/>
                <w:webHidden/>
              </w:rPr>
              <w:fldChar w:fldCharType="separate"/>
            </w:r>
            <w:r w:rsidR="00374CA3">
              <w:rPr>
                <w:noProof/>
                <w:webHidden/>
              </w:rPr>
              <w:t>20</w:t>
            </w:r>
            <w:r w:rsidR="00374CA3">
              <w:rPr>
                <w:noProof/>
                <w:webHidden/>
              </w:rPr>
              <w:fldChar w:fldCharType="end"/>
            </w:r>
          </w:hyperlink>
        </w:p>
        <w:p w14:paraId="2B7EBF98"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5" w:history="1">
            <w:r w:rsidR="00374CA3" w:rsidRPr="00D00D72">
              <w:rPr>
                <w:rStyle w:val="Hyperlnk"/>
                <w:noProof/>
              </w:rPr>
              <w:t>26.</w:t>
            </w:r>
            <w:r w:rsidR="00374CA3">
              <w:rPr>
                <w:rFonts w:asciiTheme="minorHAnsi" w:eastAsiaTheme="minorEastAsia" w:hAnsiTheme="minorHAnsi" w:cstheme="minorBidi"/>
                <w:noProof/>
                <w:lang w:eastAsia="sv-SE"/>
              </w:rPr>
              <w:tab/>
            </w:r>
            <w:r w:rsidR="00374CA3" w:rsidRPr="00D00D72">
              <w:rPr>
                <w:rStyle w:val="Hyperlnk"/>
                <w:noProof/>
              </w:rPr>
              <w:t>(évent.) Projet de décision du Conseil relative à la conclusion, au nom de l'Union européenne et de ses États membres, du protocole additionnel à l'accord sur le commerce, le développement et la coopération entre la Communauté européenne et ses États membres, d'une part, et la République d'Afrique du Sud, d'autre part, afin de tenir compte de l'adhésion de la République de Croatie à l'Union européenne</w:t>
            </w:r>
            <w:r w:rsidR="00374CA3">
              <w:rPr>
                <w:noProof/>
                <w:webHidden/>
              </w:rPr>
              <w:tab/>
            </w:r>
            <w:r w:rsidR="00374CA3">
              <w:rPr>
                <w:noProof/>
                <w:webHidden/>
              </w:rPr>
              <w:fldChar w:fldCharType="begin"/>
            </w:r>
            <w:r w:rsidR="00374CA3">
              <w:rPr>
                <w:noProof/>
                <w:webHidden/>
              </w:rPr>
              <w:instrText xml:space="preserve"> PAGEREF _Toc424818125 \h </w:instrText>
            </w:r>
            <w:r w:rsidR="00374CA3">
              <w:rPr>
                <w:noProof/>
                <w:webHidden/>
              </w:rPr>
            </w:r>
            <w:r w:rsidR="00374CA3">
              <w:rPr>
                <w:noProof/>
                <w:webHidden/>
              </w:rPr>
              <w:fldChar w:fldCharType="separate"/>
            </w:r>
            <w:r w:rsidR="00374CA3">
              <w:rPr>
                <w:noProof/>
                <w:webHidden/>
              </w:rPr>
              <w:t>21</w:t>
            </w:r>
            <w:r w:rsidR="00374CA3">
              <w:rPr>
                <w:noProof/>
                <w:webHidden/>
              </w:rPr>
              <w:fldChar w:fldCharType="end"/>
            </w:r>
          </w:hyperlink>
        </w:p>
        <w:p w14:paraId="3888E87C"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6" w:history="1">
            <w:r w:rsidR="00374CA3" w:rsidRPr="00D00D72">
              <w:rPr>
                <w:rStyle w:val="Hyperlnk"/>
                <w:noProof/>
              </w:rPr>
              <w:t>27.</w:t>
            </w:r>
            <w:r w:rsidR="00374CA3">
              <w:rPr>
                <w:rFonts w:asciiTheme="minorHAnsi" w:eastAsiaTheme="minorEastAsia" w:hAnsiTheme="minorHAnsi" w:cstheme="minorBidi"/>
                <w:noProof/>
                <w:lang w:eastAsia="sv-SE"/>
              </w:rPr>
              <w:tab/>
            </w:r>
            <w:r w:rsidR="00374CA3" w:rsidRPr="00D00D72">
              <w:rPr>
                <w:rStyle w:val="Hyperlnk"/>
                <w:noProof/>
              </w:rPr>
              <w:t>Proposition de Décision du Conseil établissant la position à adopter par l’Union européenne au sein du Conseil général de l’Organisation mondiale du commerce sur l’adhésion de la République du Kazakhstan à l’OMC</w:t>
            </w:r>
            <w:r w:rsidR="00374CA3">
              <w:rPr>
                <w:noProof/>
                <w:webHidden/>
              </w:rPr>
              <w:tab/>
            </w:r>
            <w:r w:rsidR="00374CA3">
              <w:rPr>
                <w:noProof/>
                <w:webHidden/>
              </w:rPr>
              <w:fldChar w:fldCharType="begin"/>
            </w:r>
            <w:r w:rsidR="00374CA3">
              <w:rPr>
                <w:noProof/>
                <w:webHidden/>
              </w:rPr>
              <w:instrText xml:space="preserve"> PAGEREF _Toc424818126 \h </w:instrText>
            </w:r>
            <w:r w:rsidR="00374CA3">
              <w:rPr>
                <w:noProof/>
                <w:webHidden/>
              </w:rPr>
            </w:r>
            <w:r w:rsidR="00374CA3">
              <w:rPr>
                <w:noProof/>
                <w:webHidden/>
              </w:rPr>
              <w:fldChar w:fldCharType="separate"/>
            </w:r>
            <w:r w:rsidR="00374CA3">
              <w:rPr>
                <w:noProof/>
                <w:webHidden/>
              </w:rPr>
              <w:t>22</w:t>
            </w:r>
            <w:r w:rsidR="00374CA3">
              <w:rPr>
                <w:noProof/>
                <w:webHidden/>
              </w:rPr>
              <w:fldChar w:fldCharType="end"/>
            </w:r>
          </w:hyperlink>
        </w:p>
        <w:p w14:paraId="774BB4B6"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7" w:history="1">
            <w:r w:rsidR="00374CA3" w:rsidRPr="00D00D72">
              <w:rPr>
                <w:rStyle w:val="Hyperlnk"/>
                <w:noProof/>
              </w:rPr>
              <w:t>28.</w:t>
            </w:r>
            <w:r w:rsidR="00374CA3">
              <w:rPr>
                <w:rFonts w:asciiTheme="minorHAnsi" w:eastAsiaTheme="minorEastAsia" w:hAnsiTheme="minorHAnsi" w:cstheme="minorBidi"/>
                <w:noProof/>
                <w:lang w:eastAsia="sv-SE"/>
              </w:rPr>
              <w:tab/>
            </w:r>
            <w:r w:rsidR="00374CA3" w:rsidRPr="00D00D72">
              <w:rPr>
                <w:rStyle w:val="Hyperlnk"/>
                <w:noProof/>
              </w:rPr>
              <w:t>Règlement délégué (UE) …/… de la Commission du 8.7.2015 complétant le règlement (UE) n° 223/2014 du Parlement européen et du Conseil par des dispositions spécifiques relatives à la notification des irrégularités en ce qui concerne le Fonds européen d'aide aux plus démunis</w:t>
            </w:r>
            <w:r w:rsidR="00374CA3">
              <w:rPr>
                <w:noProof/>
                <w:webHidden/>
              </w:rPr>
              <w:tab/>
            </w:r>
            <w:r w:rsidR="00374CA3">
              <w:rPr>
                <w:noProof/>
                <w:webHidden/>
              </w:rPr>
              <w:fldChar w:fldCharType="begin"/>
            </w:r>
            <w:r w:rsidR="00374CA3">
              <w:rPr>
                <w:noProof/>
                <w:webHidden/>
              </w:rPr>
              <w:instrText xml:space="preserve"> PAGEREF _Toc424818127 \h </w:instrText>
            </w:r>
            <w:r w:rsidR="00374CA3">
              <w:rPr>
                <w:noProof/>
                <w:webHidden/>
              </w:rPr>
            </w:r>
            <w:r w:rsidR="00374CA3">
              <w:rPr>
                <w:noProof/>
                <w:webHidden/>
              </w:rPr>
              <w:fldChar w:fldCharType="separate"/>
            </w:r>
            <w:r w:rsidR="00374CA3">
              <w:rPr>
                <w:noProof/>
                <w:webHidden/>
              </w:rPr>
              <w:t>22</w:t>
            </w:r>
            <w:r w:rsidR="00374CA3">
              <w:rPr>
                <w:noProof/>
                <w:webHidden/>
              </w:rPr>
              <w:fldChar w:fldCharType="end"/>
            </w:r>
          </w:hyperlink>
        </w:p>
        <w:p w14:paraId="2E6097E3"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8" w:history="1">
            <w:r w:rsidR="00374CA3" w:rsidRPr="00D00D72">
              <w:rPr>
                <w:rStyle w:val="Hyperlnk"/>
                <w:noProof/>
              </w:rPr>
              <w:t>29.</w:t>
            </w:r>
            <w:r w:rsidR="00374CA3">
              <w:rPr>
                <w:rFonts w:asciiTheme="minorHAnsi" w:eastAsiaTheme="minorEastAsia" w:hAnsiTheme="minorHAnsi" w:cstheme="minorBidi"/>
                <w:noProof/>
                <w:lang w:eastAsia="sv-SE"/>
              </w:rPr>
              <w:tab/>
            </w:r>
            <w:r w:rsidR="00374CA3" w:rsidRPr="00D00D72">
              <w:rPr>
                <w:rStyle w:val="Hyperlnk"/>
                <w:noProof/>
              </w:rPr>
              <w:t>Projet de décision du Conseil sur la conclusion, au nom de l'Union européenne, de la convention européenne sur la protection juridique des services à accès conditionnel et des services d'accès conditionnel</w:t>
            </w:r>
            <w:r w:rsidR="00374CA3">
              <w:rPr>
                <w:noProof/>
                <w:webHidden/>
              </w:rPr>
              <w:tab/>
            </w:r>
            <w:r w:rsidR="00374CA3">
              <w:rPr>
                <w:noProof/>
                <w:webHidden/>
              </w:rPr>
              <w:fldChar w:fldCharType="begin"/>
            </w:r>
            <w:r w:rsidR="00374CA3">
              <w:rPr>
                <w:noProof/>
                <w:webHidden/>
              </w:rPr>
              <w:instrText xml:space="preserve"> PAGEREF _Toc424818128 \h </w:instrText>
            </w:r>
            <w:r w:rsidR="00374CA3">
              <w:rPr>
                <w:noProof/>
                <w:webHidden/>
              </w:rPr>
            </w:r>
            <w:r w:rsidR="00374CA3">
              <w:rPr>
                <w:noProof/>
                <w:webHidden/>
              </w:rPr>
              <w:fldChar w:fldCharType="separate"/>
            </w:r>
            <w:r w:rsidR="00374CA3">
              <w:rPr>
                <w:noProof/>
                <w:webHidden/>
              </w:rPr>
              <w:t>23</w:t>
            </w:r>
            <w:r w:rsidR="00374CA3">
              <w:rPr>
                <w:noProof/>
                <w:webHidden/>
              </w:rPr>
              <w:fldChar w:fldCharType="end"/>
            </w:r>
          </w:hyperlink>
        </w:p>
        <w:p w14:paraId="4AAFBD5A"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29" w:history="1">
            <w:r w:rsidR="00374CA3" w:rsidRPr="00D00D72">
              <w:rPr>
                <w:rStyle w:val="Hyperlnk"/>
                <w:noProof/>
              </w:rPr>
              <w:t>30.</w:t>
            </w:r>
            <w:r w:rsidR="00374CA3">
              <w:rPr>
                <w:rFonts w:asciiTheme="minorHAnsi" w:eastAsiaTheme="minorEastAsia" w:hAnsiTheme="minorHAnsi" w:cstheme="minorBidi"/>
                <w:noProof/>
                <w:lang w:eastAsia="sv-SE"/>
              </w:rPr>
              <w:tab/>
            </w:r>
            <w:r w:rsidR="00374CA3" w:rsidRPr="00D00D72">
              <w:rPr>
                <w:rStyle w:val="Hyperlnk"/>
                <w:noProof/>
              </w:rPr>
              <w:t>Affaire portée devant la Cour de justice de l'Union européenne  Affaire C-227/15 P (Jean-Marie Cahier e.a. contre Conseil de l'Union européenne, Commission européenne et République française)</w:t>
            </w:r>
            <w:r w:rsidR="00374CA3">
              <w:rPr>
                <w:noProof/>
                <w:webHidden/>
              </w:rPr>
              <w:tab/>
            </w:r>
            <w:r w:rsidR="00374CA3">
              <w:rPr>
                <w:noProof/>
                <w:webHidden/>
              </w:rPr>
              <w:fldChar w:fldCharType="begin"/>
            </w:r>
            <w:r w:rsidR="00374CA3">
              <w:rPr>
                <w:noProof/>
                <w:webHidden/>
              </w:rPr>
              <w:instrText xml:space="preserve"> PAGEREF _Toc424818129 \h </w:instrText>
            </w:r>
            <w:r w:rsidR="00374CA3">
              <w:rPr>
                <w:noProof/>
                <w:webHidden/>
              </w:rPr>
            </w:r>
            <w:r w:rsidR="00374CA3">
              <w:rPr>
                <w:noProof/>
                <w:webHidden/>
              </w:rPr>
              <w:fldChar w:fldCharType="separate"/>
            </w:r>
            <w:r w:rsidR="00374CA3">
              <w:rPr>
                <w:noProof/>
                <w:webHidden/>
              </w:rPr>
              <w:t>24</w:t>
            </w:r>
            <w:r w:rsidR="00374CA3">
              <w:rPr>
                <w:noProof/>
                <w:webHidden/>
              </w:rPr>
              <w:fldChar w:fldCharType="end"/>
            </w:r>
          </w:hyperlink>
        </w:p>
        <w:p w14:paraId="52FFF006"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30" w:history="1">
            <w:r w:rsidR="00374CA3" w:rsidRPr="00D00D72">
              <w:rPr>
                <w:rStyle w:val="Hyperlnk"/>
                <w:noProof/>
                <w:lang w:val="fr-BE"/>
              </w:rPr>
              <w:t>31.</w:t>
            </w:r>
            <w:r w:rsidR="00374CA3">
              <w:rPr>
                <w:rFonts w:asciiTheme="minorHAnsi" w:eastAsiaTheme="minorEastAsia" w:hAnsiTheme="minorHAnsi" w:cstheme="minorBidi"/>
                <w:noProof/>
                <w:lang w:eastAsia="sv-SE"/>
              </w:rPr>
              <w:tab/>
            </w:r>
            <w:r w:rsidR="00374CA3" w:rsidRPr="00D00D72">
              <w:rPr>
                <w:rStyle w:val="Hyperlnk"/>
                <w:noProof/>
                <w:lang w:val="fr-BE"/>
              </w:rPr>
              <w:t>Règlement délégué (UE) …/... de la Commission du 8.7.2015 complétant le règlement (UE) nº 1303/2013 du Parlement européen et du Conseil par des dispositions spécifiques relatives à la notification des irrégularités en ce qui concerne le Fonds européen de développement régional, le Fonds social européen, le Fonds de cohésion et le Fonds européen pour les affaires maritimes et la pêche</w:t>
            </w:r>
            <w:r w:rsidR="00374CA3">
              <w:rPr>
                <w:noProof/>
                <w:webHidden/>
              </w:rPr>
              <w:tab/>
            </w:r>
            <w:r w:rsidR="00374CA3">
              <w:rPr>
                <w:noProof/>
                <w:webHidden/>
              </w:rPr>
              <w:fldChar w:fldCharType="begin"/>
            </w:r>
            <w:r w:rsidR="00374CA3">
              <w:rPr>
                <w:noProof/>
                <w:webHidden/>
              </w:rPr>
              <w:instrText xml:space="preserve"> PAGEREF _Toc424818130 \h </w:instrText>
            </w:r>
            <w:r w:rsidR="00374CA3">
              <w:rPr>
                <w:noProof/>
                <w:webHidden/>
              </w:rPr>
            </w:r>
            <w:r w:rsidR="00374CA3">
              <w:rPr>
                <w:noProof/>
                <w:webHidden/>
              </w:rPr>
              <w:fldChar w:fldCharType="separate"/>
            </w:r>
            <w:r w:rsidR="00374CA3">
              <w:rPr>
                <w:noProof/>
                <w:webHidden/>
              </w:rPr>
              <w:t>24</w:t>
            </w:r>
            <w:r w:rsidR="00374CA3">
              <w:rPr>
                <w:noProof/>
                <w:webHidden/>
              </w:rPr>
              <w:fldChar w:fldCharType="end"/>
            </w:r>
          </w:hyperlink>
        </w:p>
        <w:p w14:paraId="3FA7F736" w14:textId="77777777" w:rsidR="00374CA3" w:rsidRDefault="004F11F0">
          <w:pPr>
            <w:pStyle w:val="Innehll1"/>
            <w:tabs>
              <w:tab w:val="left" w:pos="660"/>
              <w:tab w:val="right" w:leader="dot" w:pos="9062"/>
            </w:tabs>
            <w:rPr>
              <w:rFonts w:asciiTheme="minorHAnsi" w:eastAsiaTheme="minorEastAsia" w:hAnsiTheme="minorHAnsi" w:cstheme="minorBidi"/>
              <w:noProof/>
              <w:lang w:eastAsia="sv-SE"/>
            </w:rPr>
          </w:pPr>
          <w:hyperlink w:anchor="_Toc424818131" w:history="1">
            <w:r w:rsidR="00374CA3" w:rsidRPr="00D00D72">
              <w:rPr>
                <w:rStyle w:val="Hyperlnk"/>
                <w:noProof/>
              </w:rPr>
              <w:t>32.</w:t>
            </w:r>
            <w:r w:rsidR="00374CA3">
              <w:rPr>
                <w:rFonts w:asciiTheme="minorHAnsi" w:eastAsiaTheme="minorEastAsia" w:hAnsiTheme="minorHAnsi" w:cstheme="minorBidi"/>
                <w:noProof/>
                <w:lang w:eastAsia="sv-SE"/>
              </w:rPr>
              <w:tab/>
            </w:r>
            <w:r w:rsidR="00374CA3" w:rsidRPr="00D00D72">
              <w:rPr>
                <w:rStyle w:val="Hyperlnk"/>
                <w:noProof/>
                <w:lang w:val="fr-BE"/>
              </w:rPr>
              <w:t>L</w:t>
            </w:r>
            <w:r w:rsidR="00374CA3" w:rsidRPr="00D00D72">
              <w:rPr>
                <w:rStyle w:val="Hyperlnk"/>
                <w:noProof/>
                <w:lang w:val="fr-FR"/>
              </w:rPr>
              <w:t>a position de l'Union européenne et ses Etats Membres en vue de la deuxième Réunion des Signataires du Mémorandum d'Entente sur la Conservation des Requins Migrateurs</w:t>
            </w:r>
            <w:r w:rsidR="00374CA3">
              <w:rPr>
                <w:noProof/>
                <w:webHidden/>
              </w:rPr>
              <w:tab/>
            </w:r>
            <w:r w:rsidR="00374CA3">
              <w:rPr>
                <w:noProof/>
                <w:webHidden/>
              </w:rPr>
              <w:fldChar w:fldCharType="begin"/>
            </w:r>
            <w:r w:rsidR="00374CA3">
              <w:rPr>
                <w:noProof/>
                <w:webHidden/>
              </w:rPr>
              <w:instrText xml:space="preserve"> PAGEREF _Toc424818131 \h </w:instrText>
            </w:r>
            <w:r w:rsidR="00374CA3">
              <w:rPr>
                <w:noProof/>
                <w:webHidden/>
              </w:rPr>
            </w:r>
            <w:r w:rsidR="00374CA3">
              <w:rPr>
                <w:noProof/>
                <w:webHidden/>
              </w:rPr>
              <w:fldChar w:fldCharType="separate"/>
            </w:r>
            <w:r w:rsidR="00374CA3">
              <w:rPr>
                <w:noProof/>
                <w:webHidden/>
              </w:rPr>
              <w:t>25</w:t>
            </w:r>
            <w:r w:rsidR="00374CA3">
              <w:rPr>
                <w:noProof/>
                <w:webHidden/>
              </w:rPr>
              <w:fldChar w:fldCharType="end"/>
            </w:r>
          </w:hyperlink>
        </w:p>
        <w:p w14:paraId="0D01B7C3" w14:textId="77777777" w:rsidR="009A6809" w:rsidRPr="00374CA3" w:rsidRDefault="009A6809" w:rsidP="009A6809">
          <w:pPr>
            <w:spacing w:after="0"/>
          </w:pPr>
          <w:r w:rsidRPr="00374CA3">
            <w:rPr>
              <w:b/>
              <w:bCs/>
              <w:noProof/>
            </w:rPr>
            <w:fldChar w:fldCharType="end"/>
          </w:r>
        </w:p>
      </w:sdtContent>
    </w:sdt>
    <w:p w14:paraId="0D01B7C4" w14:textId="77777777" w:rsidR="009A6809" w:rsidRPr="00374CA3" w:rsidRDefault="009A6809" w:rsidP="009A6809">
      <w:pPr>
        <w:spacing w:after="0"/>
        <w:ind w:left="0"/>
      </w:pPr>
      <w:r w:rsidRPr="00374CA3">
        <w:br w:type="page"/>
      </w:r>
    </w:p>
    <w:p w14:paraId="0D01B7C5" w14:textId="77777777" w:rsidR="009A6809" w:rsidRPr="00374CA3" w:rsidRDefault="009A6809" w:rsidP="009A6809">
      <w:pPr>
        <w:pStyle w:val="Rubrik1"/>
        <w:numPr>
          <w:ilvl w:val="0"/>
          <w:numId w:val="0"/>
        </w:numPr>
        <w:spacing w:before="0"/>
      </w:pPr>
      <w:bookmarkStart w:id="1" w:name="_Toc364854645"/>
    </w:p>
    <w:p w14:paraId="0D01B7C6" w14:textId="77777777" w:rsidR="009A6809" w:rsidRPr="00374CA3" w:rsidRDefault="009A6809" w:rsidP="009A6809">
      <w:pPr>
        <w:pStyle w:val="Rubrik1"/>
        <w:spacing w:before="0"/>
      </w:pPr>
      <w:bookmarkStart w:id="2" w:name="_Toc424818100"/>
      <w:r w:rsidRPr="00374CA3">
        <w:rPr>
          <w:noProof/>
        </w:rPr>
        <w:t>Désignation du nouveau directeur de l'Agence des droits fondamentaux de l'Union européenne</w:t>
      </w:r>
      <w:bookmarkEnd w:id="2"/>
    </w:p>
    <w:p w14:paraId="43B5C2C9" w14:textId="77777777" w:rsidR="009A6809" w:rsidRPr="00374CA3" w:rsidRDefault="009A6809" w:rsidP="009A6809">
      <w:pPr>
        <w:spacing w:after="0"/>
        <w:rPr>
          <w:lang w:val="en-US"/>
        </w:rPr>
      </w:pPr>
      <w:r w:rsidRPr="00374CA3">
        <w:rPr>
          <w:noProof/>
          <w:lang w:val="en-US"/>
        </w:rPr>
        <w:t>=</w:t>
      </w:r>
      <w:r w:rsidRPr="00374CA3">
        <w:rPr>
          <w:lang w:val="en-US"/>
        </w:rPr>
        <w:t>Procédure au Conseil</w:t>
      </w:r>
    </w:p>
    <w:p w14:paraId="6BD72793" w14:textId="77777777" w:rsidR="00BA4D8B" w:rsidRPr="00374CA3" w:rsidRDefault="00BA4D8B" w:rsidP="009A6809">
      <w:pPr>
        <w:spacing w:after="0"/>
        <w:rPr>
          <w:lang w:val="en-US"/>
        </w:rPr>
      </w:pPr>
    </w:p>
    <w:p w14:paraId="0D01B7C7" w14:textId="38797D96" w:rsidR="009A6809" w:rsidRPr="00374CA3" w:rsidRDefault="009A6809" w:rsidP="009A6809">
      <w:pPr>
        <w:spacing w:after="0"/>
        <w:rPr>
          <w:lang w:val="en-US"/>
        </w:rPr>
      </w:pPr>
      <w:r w:rsidRPr="00374CA3">
        <w:rPr>
          <w:lang w:val="en-US"/>
        </w:rPr>
        <w:t>10103/1/15 REV 1 FREMP 140 JAI 484 10433/15 FREMP 147 JAI 518</w:t>
      </w:r>
      <w:r w:rsidRPr="00374CA3">
        <w:rPr>
          <w:lang w:val="en-US"/>
        </w:rPr>
        <w:br/>
      </w:r>
    </w:p>
    <w:p w14:paraId="0D01B7C8" w14:textId="77777777" w:rsidR="009A6809" w:rsidRPr="00374CA3" w:rsidRDefault="009A6809" w:rsidP="009A6809">
      <w:pPr>
        <w:spacing w:after="0"/>
        <w:rPr>
          <w:noProof/>
        </w:rPr>
      </w:pPr>
      <w:r w:rsidRPr="00374CA3">
        <w:rPr>
          <w:b/>
        </w:rPr>
        <w:t>Ansvarigt statsråd</w:t>
      </w:r>
      <w:r w:rsidRPr="00374CA3">
        <w:rPr>
          <w:b/>
        </w:rPr>
        <w:br/>
      </w:r>
      <w:r w:rsidRPr="00374CA3">
        <w:rPr>
          <w:noProof/>
        </w:rPr>
        <w:t>Alice Bah Kuhnke</w:t>
      </w:r>
    </w:p>
    <w:p w14:paraId="4E28A754" w14:textId="77777777" w:rsidR="009A6809" w:rsidRPr="00374CA3" w:rsidRDefault="009A6809" w:rsidP="009A6809">
      <w:pPr>
        <w:spacing w:after="0"/>
      </w:pPr>
    </w:p>
    <w:p w14:paraId="0D01B7CB"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Rådet föreslås godkänna förslaget till procedur gällande utnämning av direktör för EU:s Byrå för grundläggande rättigheter (Fundamental Rights Agency/FRA). </w:t>
      </w:r>
    </w:p>
    <w:p w14:paraId="570CFBFA" w14:textId="77777777" w:rsidR="009A6809" w:rsidRPr="00374CA3" w:rsidRDefault="009A6809" w:rsidP="009A6809">
      <w:pPr>
        <w:spacing w:after="0"/>
      </w:pPr>
    </w:p>
    <w:p w14:paraId="0D01B7CC" w14:textId="42FFD690" w:rsidR="003C341F" w:rsidRPr="00374CA3" w:rsidRDefault="009A6809" w:rsidP="009A6809">
      <w:pPr>
        <w:spacing w:after="0"/>
      </w:pPr>
      <w:r w:rsidRPr="00374CA3">
        <w:rPr>
          <w:b/>
          <w:bCs/>
        </w:rPr>
        <w:t>Hur regeringen ställer sig till den blivande A-punkten:</w:t>
      </w:r>
      <w:r w:rsidR="00BA4D8B" w:rsidRPr="00374CA3">
        <w:rPr>
          <w:b/>
          <w:bCs/>
        </w:rPr>
        <w:t xml:space="preserve"> </w:t>
      </w:r>
      <w:r w:rsidRPr="00374CA3">
        <w:t xml:space="preserve">Regeringen kan stödja förslaget till procedur. </w:t>
      </w:r>
    </w:p>
    <w:p w14:paraId="70A4E7AB" w14:textId="77777777" w:rsidR="009A6809" w:rsidRPr="00374CA3" w:rsidRDefault="009A6809" w:rsidP="009A6809">
      <w:pPr>
        <w:spacing w:after="0"/>
      </w:pPr>
    </w:p>
    <w:p w14:paraId="0D01B7CD" w14:textId="57831ED9" w:rsidR="003C341F" w:rsidRPr="00374CA3" w:rsidRDefault="009A6809" w:rsidP="009A6809">
      <w:pPr>
        <w:spacing w:after="0"/>
      </w:pPr>
      <w:r w:rsidRPr="00374CA3">
        <w:rPr>
          <w:b/>
          <w:bCs/>
        </w:rPr>
        <w:t xml:space="preserve">Bakgrund: </w:t>
      </w:r>
      <w:r w:rsidRPr="00374CA3">
        <w:t>En ny direktör för EU:s Byrå för grundläggande rättigheter (FRA) ska utses. Ordförandeskapet föreslår en procedur för hur utnämningen av kandidat ska gå till.</w:t>
      </w:r>
    </w:p>
    <w:p w14:paraId="28AB87BD" w14:textId="77777777" w:rsidR="009A6809" w:rsidRPr="00374CA3" w:rsidRDefault="009A6809" w:rsidP="009A6809">
      <w:pPr>
        <w:spacing w:after="0"/>
      </w:pPr>
    </w:p>
    <w:p w14:paraId="7C9080ED" w14:textId="77777777" w:rsidR="009A6809" w:rsidRPr="00374CA3" w:rsidRDefault="009A6809" w:rsidP="009A6809">
      <w:pPr>
        <w:spacing w:after="0"/>
      </w:pPr>
    </w:p>
    <w:p w14:paraId="0D01B7CF" w14:textId="77777777" w:rsidR="009A6809" w:rsidRPr="00374CA3" w:rsidRDefault="009A6809" w:rsidP="009A6809">
      <w:pPr>
        <w:pStyle w:val="Rubrik1"/>
        <w:spacing w:before="0"/>
      </w:pPr>
      <w:bookmarkStart w:id="3" w:name="_Toc424818101"/>
      <w:r w:rsidRPr="00374CA3">
        <w:rPr>
          <w:noProof/>
        </w:rPr>
        <w:t>Projet de décision du Conseil portant nomination d'un membre letton du Comité économique et social européen</w:t>
      </w:r>
      <w:bookmarkEnd w:id="3"/>
    </w:p>
    <w:p w14:paraId="7FC41AA7" w14:textId="77777777" w:rsidR="009A6809" w:rsidRPr="00374CA3" w:rsidRDefault="009A6809" w:rsidP="009A6809">
      <w:pPr>
        <w:spacing w:after="0"/>
        <w:rPr>
          <w:lang w:val="en-US"/>
        </w:rPr>
      </w:pPr>
      <w:r w:rsidRPr="00374CA3">
        <w:rPr>
          <w:noProof/>
          <w:lang w:val="en-US"/>
        </w:rPr>
        <w:t>=</w:t>
      </w:r>
      <w:r w:rsidRPr="00374CA3">
        <w:rPr>
          <w:lang w:val="en-US"/>
        </w:rPr>
        <w:t>Adoption</w:t>
      </w:r>
    </w:p>
    <w:p w14:paraId="05276E1F" w14:textId="77777777" w:rsidR="009A6809" w:rsidRPr="00374CA3" w:rsidRDefault="009A6809" w:rsidP="009A6809">
      <w:pPr>
        <w:spacing w:after="0"/>
        <w:rPr>
          <w:lang w:val="en-US"/>
        </w:rPr>
      </w:pPr>
    </w:p>
    <w:p w14:paraId="0D01B7D0" w14:textId="621D3E57" w:rsidR="009A6809" w:rsidRPr="00374CA3" w:rsidRDefault="009A6809" w:rsidP="009A6809">
      <w:pPr>
        <w:spacing w:after="0"/>
        <w:rPr>
          <w:lang w:val="en-US"/>
        </w:rPr>
      </w:pPr>
      <w:r w:rsidRPr="00374CA3">
        <w:rPr>
          <w:lang w:val="en-US"/>
        </w:rPr>
        <w:t xml:space="preserve">10767/15 CES 2710764/15 </w:t>
      </w:r>
      <w:r w:rsidR="00374CA3" w:rsidRPr="00374CA3">
        <w:rPr>
          <w:lang w:val="en-US"/>
        </w:rPr>
        <w:t>CES</w:t>
      </w:r>
      <w:r w:rsidRPr="00374CA3">
        <w:rPr>
          <w:lang w:val="en-US"/>
        </w:rPr>
        <w:t xml:space="preserve"> 26</w:t>
      </w:r>
      <w:r w:rsidRPr="00374CA3">
        <w:rPr>
          <w:lang w:val="en-US"/>
        </w:rPr>
        <w:br/>
      </w:r>
    </w:p>
    <w:p w14:paraId="0D01B7D1" w14:textId="77777777" w:rsidR="009A6809" w:rsidRPr="00374CA3" w:rsidRDefault="009A6809" w:rsidP="009A6809">
      <w:pPr>
        <w:spacing w:after="0"/>
        <w:rPr>
          <w:noProof/>
        </w:rPr>
      </w:pPr>
      <w:r w:rsidRPr="00374CA3">
        <w:rPr>
          <w:b/>
        </w:rPr>
        <w:t>Ansvarigt statsråd</w:t>
      </w:r>
      <w:r w:rsidRPr="00374CA3">
        <w:rPr>
          <w:b/>
        </w:rPr>
        <w:br/>
      </w:r>
      <w:r w:rsidRPr="00374CA3">
        <w:rPr>
          <w:noProof/>
        </w:rPr>
        <w:t>Ardalan Shekarabi</w:t>
      </w:r>
    </w:p>
    <w:p w14:paraId="54B84AD7" w14:textId="77777777" w:rsidR="009A6809" w:rsidRPr="00374CA3" w:rsidRDefault="009A6809" w:rsidP="009A6809">
      <w:pPr>
        <w:spacing w:after="0"/>
      </w:pPr>
    </w:p>
    <w:p w14:paraId="0D01B7D4" w14:textId="77777777" w:rsidR="009A6809" w:rsidRPr="00374CA3" w:rsidRDefault="009A6809" w:rsidP="009A6809">
      <w:pPr>
        <w:spacing w:after="0"/>
      </w:pPr>
      <w:r w:rsidRPr="00374CA3">
        <w:rPr>
          <w:b/>
        </w:rPr>
        <w:t>Annotering</w:t>
      </w:r>
      <w:r w:rsidRPr="00374CA3">
        <w:rPr>
          <w:b/>
        </w:rPr>
        <w:br/>
      </w:r>
      <w:r w:rsidRPr="00374CA3">
        <w:t>Föranleder ingen annotering.</w:t>
      </w:r>
    </w:p>
    <w:p w14:paraId="119122C0" w14:textId="11ABD5FD" w:rsidR="009A6809" w:rsidRPr="00374CA3" w:rsidRDefault="009A6809" w:rsidP="009A6809">
      <w:pPr>
        <w:spacing w:after="0"/>
      </w:pPr>
    </w:p>
    <w:p w14:paraId="35C640AC" w14:textId="77777777" w:rsidR="009A6809" w:rsidRPr="00374CA3" w:rsidRDefault="009A6809" w:rsidP="009A6809">
      <w:pPr>
        <w:spacing w:after="0"/>
      </w:pPr>
    </w:p>
    <w:p w14:paraId="0D01B7D5" w14:textId="77777777" w:rsidR="009A6809" w:rsidRPr="00374CA3" w:rsidRDefault="009A6809" w:rsidP="009A6809">
      <w:pPr>
        <w:pStyle w:val="Rubrik1"/>
        <w:spacing w:before="0"/>
      </w:pPr>
      <w:bookmarkStart w:id="4" w:name="_Toc424818102"/>
      <w:r w:rsidRPr="00374CA3">
        <w:rPr>
          <w:noProof/>
        </w:rPr>
        <w:t>(évent.) Politique de Sécurité de l’Assurance de l’Information sur l'ingénierie de sécurité des systèmes d'information et de communication</w:t>
      </w:r>
      <w:bookmarkEnd w:id="4"/>
    </w:p>
    <w:p w14:paraId="0D01B7D6" w14:textId="768184D4" w:rsidR="009A6809" w:rsidRPr="00374CA3" w:rsidRDefault="009A6809" w:rsidP="009A6809">
      <w:pPr>
        <w:spacing w:after="0"/>
        <w:rPr>
          <w:lang w:val="en-US"/>
        </w:rPr>
      </w:pPr>
      <w:r w:rsidRPr="00374CA3">
        <w:rPr>
          <w:lang w:val="en-US"/>
        </w:rPr>
        <w:br/>
      </w:r>
      <w:r w:rsidRPr="00374CA3">
        <w:rPr>
          <w:noProof/>
          <w:lang w:val="en-US"/>
        </w:rPr>
        <w:t>10416</w:t>
      </w:r>
      <w:r w:rsidRPr="00374CA3">
        <w:rPr>
          <w:lang w:val="en-US"/>
        </w:rPr>
        <w:t>/15 CSCI 43 CSC 162</w:t>
      </w:r>
    </w:p>
    <w:p w14:paraId="1E13BE8A" w14:textId="77777777" w:rsidR="009A6809" w:rsidRPr="00374CA3" w:rsidRDefault="009A6809" w:rsidP="009A6809">
      <w:pPr>
        <w:spacing w:after="0"/>
        <w:rPr>
          <w:lang w:val="en-US"/>
        </w:rPr>
      </w:pPr>
    </w:p>
    <w:p w14:paraId="0D01B7D7"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085082AB" w14:textId="77777777" w:rsidR="009A6809" w:rsidRPr="00374CA3" w:rsidRDefault="009A6809" w:rsidP="009A6809">
      <w:pPr>
        <w:spacing w:after="0"/>
      </w:pPr>
    </w:p>
    <w:p w14:paraId="0D01B7DB" w14:textId="7EF1A6EF" w:rsidR="003C341F"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Rådet föreslås på rekommendation av dess säkerhetskommitté (10416/15) att godkänna den bifogade policyn ”Information Assurance Security Policy on Communication and Information System Security Engineering”.</w:t>
      </w:r>
    </w:p>
    <w:p w14:paraId="0D01B7DC" w14:textId="2877817A" w:rsidR="003C341F" w:rsidRPr="00374CA3" w:rsidRDefault="009A6809" w:rsidP="009A6809">
      <w:pPr>
        <w:spacing w:after="0"/>
      </w:pPr>
      <w:r w:rsidRPr="00374CA3">
        <w:br/>
      </w:r>
      <w:r w:rsidRPr="00374CA3">
        <w:rPr>
          <w:b/>
          <w:bCs/>
        </w:rPr>
        <w:t xml:space="preserve">Hur regeringen ställer sig till den blivande A-punkten: </w:t>
      </w:r>
      <w:r w:rsidRPr="00374CA3">
        <w:t xml:space="preserve">Regeringen avser rösta ja till att Rådet godkänner den bifogade policyn ”Information Assurance Security Policy on Communication and Information System Security Engineering”. </w:t>
      </w:r>
    </w:p>
    <w:p w14:paraId="0D01B7DE" w14:textId="2CFA75EE" w:rsidR="003C341F" w:rsidRPr="00374CA3" w:rsidRDefault="009A6809" w:rsidP="009A6809">
      <w:pPr>
        <w:spacing w:after="0"/>
      </w:pPr>
      <w:r w:rsidRPr="00374CA3">
        <w:br/>
      </w:r>
      <w:r w:rsidRPr="00374CA3">
        <w:rPr>
          <w:b/>
          <w:bCs/>
        </w:rPr>
        <w:t>Bakgrund:</w:t>
      </w:r>
      <w:r w:rsidRPr="00374CA3">
        <w:t xml:space="preserve"> I rådets beslut om säkerhetsbestämmelser för skydd av säkerhetsskyddsklassificerade EU-uppgifter anges följande: "När så krävs ska rådet på rekommendation av säkerhetskommittén godkänna säkerhetsstrategier där åtgärder för genomförande av detta beslut fastställs." (jfr artikel 6.1). Rådets säkerhetskommitté har enats om att rekommendera denna policy gällande ”Information Assurance Security Policy on Communication and Information System Security Engineering”.</w:t>
      </w:r>
    </w:p>
    <w:p w14:paraId="0D01B7DF" w14:textId="77777777" w:rsidR="009A6809" w:rsidRPr="00374CA3" w:rsidRDefault="009A6809" w:rsidP="009A6809">
      <w:pPr>
        <w:spacing w:after="0"/>
        <w:rPr>
          <w:noProof/>
        </w:rPr>
      </w:pPr>
    </w:p>
    <w:p w14:paraId="63D6A6A3" w14:textId="77777777" w:rsidR="009A6809" w:rsidRPr="00374CA3" w:rsidRDefault="009A6809" w:rsidP="009A6809">
      <w:pPr>
        <w:spacing w:after="0"/>
        <w:rPr>
          <w:noProof/>
        </w:rPr>
      </w:pPr>
    </w:p>
    <w:p w14:paraId="0D01B7E0" w14:textId="0C16C2BB" w:rsidR="009A6809" w:rsidRPr="004F11F0" w:rsidRDefault="009A6809" w:rsidP="009A6809">
      <w:pPr>
        <w:pStyle w:val="Rubrik1"/>
        <w:spacing w:before="0"/>
        <w:rPr>
          <w:lang w:val="en-US"/>
        </w:rPr>
      </w:pPr>
      <w:bookmarkStart w:id="5" w:name="_Toc424818103"/>
      <w:r w:rsidRPr="004F11F0">
        <w:rPr>
          <w:noProof/>
          <w:lang w:val="en-US"/>
        </w:rPr>
        <w:t>Utilisation d'un produit cryptographique approuvé par le Conseil aux membres non UE de l'Agence Spatiale Européenne</w:t>
      </w:r>
      <w:bookmarkEnd w:id="5"/>
      <w:r w:rsidRPr="004F11F0">
        <w:rPr>
          <w:noProof/>
          <w:lang w:val="en-US"/>
        </w:rPr>
        <w:t xml:space="preserve"> </w:t>
      </w:r>
    </w:p>
    <w:p w14:paraId="0D01B7E1" w14:textId="5D00E7B8" w:rsidR="009A6809" w:rsidRPr="004F11F0" w:rsidRDefault="009A6809" w:rsidP="009A6809">
      <w:pPr>
        <w:spacing w:after="0"/>
      </w:pPr>
      <w:r w:rsidRPr="004F11F0">
        <w:br/>
      </w:r>
      <w:r w:rsidRPr="004F11F0">
        <w:rPr>
          <w:noProof/>
        </w:rPr>
        <w:t>10214</w:t>
      </w:r>
      <w:r w:rsidRPr="004F11F0">
        <w:t>/15 CSCI 40 CSC 157 RESTREINT UE</w:t>
      </w:r>
    </w:p>
    <w:p w14:paraId="68E96627" w14:textId="77777777" w:rsidR="009A6809" w:rsidRPr="004F11F0" w:rsidRDefault="009A6809" w:rsidP="009A6809">
      <w:pPr>
        <w:spacing w:after="0"/>
      </w:pPr>
    </w:p>
    <w:p w14:paraId="0D01B7E2"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456FBFE7" w14:textId="77777777" w:rsidR="009A6809" w:rsidRPr="00374CA3" w:rsidRDefault="009A6809" w:rsidP="009A6809">
      <w:pPr>
        <w:spacing w:after="0"/>
      </w:pPr>
    </w:p>
    <w:p w14:paraId="09361CA8"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Rådet föreslås på rekommendation av dess säkerhetskommitté (10214/15 R-UE/EU-R) att godkänna tilldelning och nyttjande av en av rådet godkända kryptoprodukter till Europeiska rymdorganisationens (ESA) medlemmar utanför EU. </w:t>
      </w:r>
    </w:p>
    <w:p w14:paraId="0D01B7E6" w14:textId="2A531D01" w:rsidR="003C341F" w:rsidRPr="00374CA3" w:rsidRDefault="009A6809" w:rsidP="009A6809">
      <w:pPr>
        <w:spacing w:after="0"/>
      </w:pPr>
      <w:r w:rsidRPr="00374CA3">
        <w:br/>
      </w:r>
      <w:r w:rsidRPr="00374CA3">
        <w:rPr>
          <w:b/>
          <w:bCs/>
        </w:rPr>
        <w:t xml:space="preserve">Hur regeringen ställer sig till den blivande A-punkten: </w:t>
      </w:r>
      <w:r w:rsidRPr="00374CA3">
        <w:t xml:space="preserve">Regeringen avser rösta ja till Rådet godkänner tilldelning och nyttjande av en av rådet godkända kryptoprodukter till Europeiska rymdorganisationens (ESA) medlemmar utanför EU. </w:t>
      </w:r>
    </w:p>
    <w:p w14:paraId="0D01B7E9" w14:textId="0E47EB61" w:rsidR="003C341F" w:rsidRPr="00374CA3" w:rsidRDefault="009A6809" w:rsidP="00C834DA">
      <w:pPr>
        <w:spacing w:after="0"/>
      </w:pPr>
      <w:r w:rsidRPr="00374CA3">
        <w:br/>
      </w:r>
      <w:r w:rsidRPr="00374CA3">
        <w:rPr>
          <w:b/>
          <w:bCs/>
        </w:rPr>
        <w:t xml:space="preserve">Bakgrund: </w:t>
      </w:r>
      <w:r w:rsidRPr="00374CA3">
        <w:t>I informationssäkerhetsstrategin för kryptering (ST 10745/11 RESTREINT UE/EU RESTRICTED) fastställs normer för krypteringsmekanismer, kryptoprodukter och krypteringssystem för att skydda säkerhetsskyddsklassificerade EU-uppgifter med utgångspunkt</w:t>
      </w:r>
      <w:r w:rsidR="00C834DA" w:rsidRPr="00374CA3">
        <w:t xml:space="preserve"> i rådets säkerhetsbestämmelser</w:t>
      </w:r>
      <w:r w:rsidRPr="00374CA3">
        <w:t>. ESA planerar att ansluta Norge och Schweiz till Galileo SINA NETWORK som distribuerar dokument från ESA, EU och nationella dokument som har en säkerhetsskyddsklassificeringsnivå upp till och med SECRET UE/EU SECRET. Eftersom detta inte är i är i överensstämmelse med informationssäkerhetsstrategin för kryptering har Tyskland, såsom den medlemstat som producerar den kryptoprodukt som nyttjas i GALILEO SINA MISSION (kryptoprodukten SINA box P) begärt undantag för strategin.</w:t>
      </w:r>
    </w:p>
    <w:p w14:paraId="433FFEA5" w14:textId="77777777" w:rsidR="00C834DA" w:rsidRPr="00374CA3" w:rsidRDefault="00C834DA" w:rsidP="009A6809">
      <w:pPr>
        <w:spacing w:after="0"/>
      </w:pPr>
    </w:p>
    <w:p w14:paraId="0D01B7EA" w14:textId="77777777" w:rsidR="003C341F" w:rsidRPr="00374CA3" w:rsidRDefault="009A6809" w:rsidP="009A6809">
      <w:pPr>
        <w:spacing w:after="0"/>
      </w:pPr>
      <w:r w:rsidRPr="00374CA3">
        <w:rPr>
          <w:i/>
          <w:iCs/>
        </w:rPr>
        <w:t>Rådet säkerhetskommitté har enats om att rekommendera att rådet:</w:t>
      </w:r>
    </w:p>
    <w:p w14:paraId="0D01B7EB" w14:textId="77777777" w:rsidR="003C341F" w:rsidRPr="00374CA3" w:rsidRDefault="009A6809" w:rsidP="009A6809">
      <w:pPr>
        <w:spacing w:after="0"/>
      </w:pPr>
      <w:r w:rsidRPr="00374CA3">
        <w:rPr>
          <w:b/>
          <w:bCs/>
        </w:rPr>
        <w:t>a</w:t>
      </w:r>
      <w:r w:rsidRPr="00374CA3">
        <w:t xml:space="preserve">) godkänner att kryptoprodukten SINA box P tilldelas Norge och Schweiz endast för nätverket GALILEO SINA MISSION, så länge avtalen mellan dessa mottagande parter och EU gällande säkerhetsförfarande gäller, </w:t>
      </w:r>
    </w:p>
    <w:p w14:paraId="0D01B7EC" w14:textId="77777777" w:rsidR="003C341F" w:rsidRPr="00374CA3" w:rsidRDefault="009A6809" w:rsidP="009A6809">
      <w:pPr>
        <w:spacing w:after="0"/>
      </w:pPr>
      <w:r w:rsidRPr="00374CA3">
        <w:rPr>
          <w:b/>
          <w:bCs/>
        </w:rPr>
        <w:t>b</w:t>
      </w:r>
      <w:r w:rsidRPr="00374CA3">
        <w:t>) noterar att en kryptoprodukt konfigurerad och godkänd för skydd av säkerhetsskyddsklassificerade EU-uppgifter upp till och med nivån SECRET UE/EU SECRET inom EU och EUs medlemstater, följaktligen i detta undantagsfall får tilldelas och nyttjas av Norge och Schweiz, och</w:t>
      </w:r>
    </w:p>
    <w:p w14:paraId="0D01B7ED" w14:textId="38161FB9" w:rsidR="003C341F" w:rsidRPr="00374CA3" w:rsidRDefault="009A6809" w:rsidP="009A6809">
      <w:pPr>
        <w:spacing w:after="0"/>
      </w:pPr>
      <w:r w:rsidRPr="00374CA3">
        <w:br/>
      </w:r>
      <w:r w:rsidRPr="00374CA3">
        <w:rPr>
          <w:b/>
          <w:bCs/>
        </w:rPr>
        <w:t>c</w:t>
      </w:r>
      <w:r w:rsidRPr="00374CA3">
        <w:t>) noterar att detta inte är prejudicerande för framtida beslut om EUs skydd av säkerhetsskyddsklassifi</w:t>
      </w:r>
      <w:r w:rsidR="00BA4D8B" w:rsidRPr="00374CA3">
        <w:t>c</w:t>
      </w:r>
      <w:r w:rsidRPr="00374CA3">
        <w:t>erade uppgifter i elektroniskt format, i synnerhet när det gäller kryptoprodukter som används för att skydda säkerhetsskyddsklassificerade EU-uppgifter i tredje land.</w:t>
      </w:r>
    </w:p>
    <w:p w14:paraId="3414AE98" w14:textId="77777777" w:rsidR="009A6809" w:rsidRPr="00374CA3" w:rsidRDefault="009A6809" w:rsidP="009A6809">
      <w:pPr>
        <w:spacing w:after="0"/>
      </w:pPr>
    </w:p>
    <w:p w14:paraId="0D01B7EE" w14:textId="77777777" w:rsidR="003C341F" w:rsidRPr="00374CA3" w:rsidRDefault="003C341F" w:rsidP="009A6809">
      <w:pPr>
        <w:spacing w:after="0"/>
      </w:pPr>
    </w:p>
    <w:p w14:paraId="0D01B7EF" w14:textId="40015F75" w:rsidR="009A6809" w:rsidRPr="004F11F0" w:rsidRDefault="009A6809" w:rsidP="009A6809">
      <w:pPr>
        <w:pStyle w:val="Rubrik1"/>
        <w:spacing w:before="0"/>
        <w:rPr>
          <w:lang w:val="en-US"/>
        </w:rPr>
      </w:pPr>
      <w:bookmarkStart w:id="6" w:name="_Toc424818104"/>
      <w:r w:rsidRPr="004F11F0">
        <w:rPr>
          <w:noProof/>
          <w:lang w:val="en-US"/>
        </w:rPr>
        <w:t>Recommandation au Conseil concernant l'agrément d'un produit cryptographique évalué par seconde partie</w:t>
      </w:r>
      <w:bookmarkEnd w:id="6"/>
    </w:p>
    <w:p w14:paraId="6E2EA76F" w14:textId="77777777" w:rsidR="00191DF2" w:rsidRPr="00374CA3" w:rsidRDefault="00191DF2" w:rsidP="009A6809">
      <w:pPr>
        <w:spacing w:after="0"/>
        <w:rPr>
          <w:noProof/>
          <w:lang w:val="en-US"/>
        </w:rPr>
      </w:pPr>
    </w:p>
    <w:p w14:paraId="0D01B7F1" w14:textId="2B6F6564" w:rsidR="009A6809" w:rsidRPr="004F11F0" w:rsidRDefault="009A6809" w:rsidP="009A6809">
      <w:pPr>
        <w:spacing w:after="0"/>
      </w:pPr>
      <w:r w:rsidRPr="004F11F0">
        <w:rPr>
          <w:noProof/>
        </w:rPr>
        <w:t>9811</w:t>
      </w:r>
      <w:r w:rsidRPr="004F11F0">
        <w:t>/15 CSCI 34 CSC 141 RESTREINT UE</w:t>
      </w:r>
      <w:r w:rsidRPr="004F11F0">
        <w:br/>
      </w:r>
    </w:p>
    <w:p w14:paraId="0D01B7F2"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5E25A3B8" w14:textId="77777777" w:rsidR="00C834DA" w:rsidRPr="00374CA3" w:rsidRDefault="00C834DA" w:rsidP="009A6809">
      <w:pPr>
        <w:spacing w:after="0"/>
        <w:rPr>
          <w:b/>
        </w:rPr>
      </w:pPr>
    </w:p>
    <w:p w14:paraId="0D01B7F6" w14:textId="282A534D" w:rsidR="003C341F" w:rsidRPr="00374CA3" w:rsidRDefault="009A6809" w:rsidP="009A6809">
      <w:pPr>
        <w:spacing w:after="0"/>
      </w:pPr>
      <w:r w:rsidRPr="00374CA3">
        <w:rPr>
          <w:b/>
        </w:rPr>
        <w:t>Annotering</w:t>
      </w:r>
      <w:r w:rsidRPr="00374CA3">
        <w:rPr>
          <w:b/>
        </w:rPr>
        <w:br/>
      </w:r>
      <w:r w:rsidR="00C834DA" w:rsidRPr="00374CA3">
        <w:rPr>
          <w:b/>
          <w:bCs/>
        </w:rPr>
        <w:t>Avsikt med behandlingen i rådet:</w:t>
      </w:r>
      <w:r w:rsidRPr="00374CA3">
        <w:rPr>
          <w:b/>
          <w:bCs/>
        </w:rPr>
        <w:t xml:space="preserve"> </w:t>
      </w:r>
      <w:r w:rsidRPr="00374CA3">
        <w:t>Rådet föreslås på rekommendation av dess säkerhetskommitté (informationssäkring) (9811/15 R-UE/EU-R) att godkänna användningen av den franska kryptoprodukten GRCP IOV (Ground Reciever Chain Public Regulated Service – In Orbit Validation) för att skydda säkerhetsskyddsklassificerade EU-up</w:t>
      </w:r>
      <w:r w:rsidR="00C834DA" w:rsidRPr="00374CA3">
        <w:t xml:space="preserve">pgifter upp till och med nivån </w:t>
      </w:r>
      <w:r w:rsidRPr="00374CA3">
        <w:t>SECRET UE/EU SECRET i enlighet med Artikel 10.6, varvid utvärderarens rekommendationer ska beaktas.</w:t>
      </w:r>
    </w:p>
    <w:p w14:paraId="647CF0AF" w14:textId="77777777" w:rsidR="00C834DA" w:rsidRPr="00374CA3" w:rsidRDefault="00C834DA" w:rsidP="009A6809">
      <w:pPr>
        <w:spacing w:after="0"/>
      </w:pPr>
    </w:p>
    <w:p w14:paraId="0D01B7F7" w14:textId="0B869997" w:rsidR="003C341F" w:rsidRPr="00374CA3" w:rsidRDefault="009A6809" w:rsidP="009A6809">
      <w:pPr>
        <w:spacing w:after="0"/>
      </w:pPr>
      <w:r w:rsidRPr="00374CA3">
        <w:rPr>
          <w:b/>
          <w:bCs/>
        </w:rPr>
        <w:t>Hur regeringen ställer sig till den blivande A-punkten:</w:t>
      </w:r>
      <w:r w:rsidR="00C834DA" w:rsidRPr="00374CA3">
        <w:rPr>
          <w:b/>
          <w:bCs/>
        </w:rPr>
        <w:t xml:space="preserve"> </w:t>
      </w:r>
      <w:r w:rsidRPr="00374CA3">
        <w:t>Regeringen avser rösta ja till Rådet att godkänna den fr</w:t>
      </w:r>
      <w:r w:rsidR="00C834DA" w:rsidRPr="00374CA3">
        <w:t>anska kryptoprodukten GRCP IOV </w:t>
      </w:r>
      <w:r w:rsidRPr="00374CA3">
        <w:t>i enlighet med artikel 10.6, varvid utvärderarens rekommendationer ska beaktas.</w:t>
      </w:r>
    </w:p>
    <w:p w14:paraId="7587CA34" w14:textId="577C6D7B" w:rsidR="00C834DA" w:rsidRPr="00374CA3" w:rsidRDefault="009A6809" w:rsidP="009A6809">
      <w:pPr>
        <w:spacing w:after="0"/>
      </w:pPr>
      <w:r w:rsidRPr="00374CA3">
        <w:br/>
      </w:r>
      <w:r w:rsidRPr="00374CA3">
        <w:rPr>
          <w:b/>
          <w:bCs/>
        </w:rPr>
        <w:t>Bakgrund:</w:t>
      </w:r>
      <w:r w:rsidR="00C834DA" w:rsidRPr="00374CA3">
        <w:rPr>
          <w:b/>
          <w:bCs/>
        </w:rPr>
        <w:t xml:space="preserve"> </w:t>
      </w:r>
      <w:r w:rsidRPr="00374CA3">
        <w:t>I rådets säkerhetsbestämmelser (artikel 10.6) står följande att läsa</w:t>
      </w:r>
      <w:r w:rsidR="00374CA3" w:rsidRPr="00374CA3">
        <w:t xml:space="preserve">: </w:t>
      </w:r>
      <w:r w:rsidRPr="00374CA3">
        <w:t>Om de säkerhetsskyddsklassificerade EU-uppgifterna skyddas med hjälp av kryptoprodukter, ska sådana produkte</w:t>
      </w:r>
      <w:r w:rsidR="00C834DA" w:rsidRPr="00374CA3">
        <w:t>r godkännas på följande sätt</w:t>
      </w:r>
      <w:r w:rsidR="00374CA3" w:rsidRPr="00374CA3">
        <w:t>:</w:t>
      </w:r>
    </w:p>
    <w:p w14:paraId="0D01B7F8" w14:textId="75652526" w:rsidR="003C341F" w:rsidRPr="00374CA3" w:rsidRDefault="009A6809" w:rsidP="009A6809">
      <w:pPr>
        <w:spacing w:after="0"/>
      </w:pPr>
      <w:r w:rsidRPr="00374CA3">
        <w:br/>
        <w:t>Konfidentialiteten för uppgifter på säkerhetsskyddsklassificeringsnivån SECRET UE/EU SECRET och högre ska skyddas genom kryptoprodukter som har godkänts av rådet i egenskap av kryptogodkännande myndighet på rekommendation av säkerhetskommittén.</w:t>
      </w:r>
    </w:p>
    <w:p w14:paraId="0D01B7F9" w14:textId="77777777" w:rsidR="003C341F" w:rsidRPr="00374CA3" w:rsidRDefault="009A6809" w:rsidP="009A6809">
      <w:pPr>
        <w:spacing w:after="0"/>
      </w:pPr>
      <w:r w:rsidRPr="00374CA3">
        <w:br/>
        <w:t>Rådets säkerhetskommitté (informationssäkring) har bekräftat att de nödvändiga förutsättningarna för ett sådant godkännande i enlighet med punkt 26 i bilaga IV till rådets säkerhetsbestämmelser uppfylls av den franska kryptoprodukten GRCP IOV.</w:t>
      </w:r>
    </w:p>
    <w:p w14:paraId="0D01B7FA" w14:textId="77777777" w:rsidR="009A6809" w:rsidRPr="00374CA3" w:rsidRDefault="009A6809" w:rsidP="009A6809">
      <w:pPr>
        <w:spacing w:after="0"/>
        <w:rPr>
          <w:noProof/>
        </w:rPr>
      </w:pPr>
    </w:p>
    <w:p w14:paraId="444F112D" w14:textId="77777777" w:rsidR="00C834DA" w:rsidRPr="00374CA3" w:rsidRDefault="00C834DA" w:rsidP="009A6809">
      <w:pPr>
        <w:spacing w:after="0"/>
        <w:rPr>
          <w:noProof/>
        </w:rPr>
      </w:pPr>
    </w:p>
    <w:p w14:paraId="0D01B7FB" w14:textId="77777777" w:rsidR="009A6809" w:rsidRPr="00374CA3" w:rsidRDefault="009A6809" w:rsidP="009A6809">
      <w:pPr>
        <w:pStyle w:val="Rubrik1"/>
        <w:spacing w:before="0"/>
      </w:pPr>
      <w:bookmarkStart w:id="7" w:name="_Toc424818105"/>
      <w:r w:rsidRPr="00374CA3">
        <w:rPr>
          <w:noProof/>
        </w:rPr>
        <w:t>Projet de décision du Conseil portant nomination d'un membre de la Cour des Comptes</w:t>
      </w:r>
      <w:bookmarkEnd w:id="7"/>
    </w:p>
    <w:p w14:paraId="781DA155" w14:textId="77777777" w:rsidR="00C834DA" w:rsidRPr="00374CA3" w:rsidRDefault="009A6809" w:rsidP="009A6809">
      <w:pPr>
        <w:spacing w:after="0"/>
        <w:rPr>
          <w:lang w:val="en-US"/>
        </w:rPr>
      </w:pPr>
      <w:r w:rsidRPr="00374CA3">
        <w:rPr>
          <w:noProof/>
          <w:lang w:val="en-US"/>
        </w:rPr>
        <w:t>=</w:t>
      </w:r>
      <w:r w:rsidRPr="00374CA3">
        <w:rPr>
          <w:lang w:val="en-US"/>
        </w:rPr>
        <w:t xml:space="preserve"> Adoption</w:t>
      </w:r>
    </w:p>
    <w:p w14:paraId="73EC92AA" w14:textId="77777777" w:rsidR="00C834DA" w:rsidRPr="00374CA3" w:rsidRDefault="00C834DA" w:rsidP="009A6809">
      <w:pPr>
        <w:spacing w:after="0"/>
        <w:rPr>
          <w:lang w:val="en-US"/>
        </w:rPr>
      </w:pPr>
    </w:p>
    <w:p w14:paraId="0D01B7FC" w14:textId="55C36B9B" w:rsidR="009A6809" w:rsidRPr="00374CA3" w:rsidRDefault="009A6809" w:rsidP="009A6809">
      <w:pPr>
        <w:spacing w:after="0"/>
        <w:rPr>
          <w:lang w:val="en-US"/>
        </w:rPr>
      </w:pPr>
      <w:r w:rsidRPr="00374CA3">
        <w:rPr>
          <w:lang w:val="en-US"/>
        </w:rPr>
        <w:t>10610/15 INST 234 CMPT 7 9459/15 INST 182 CMPT 3</w:t>
      </w:r>
      <w:r w:rsidRPr="00374CA3">
        <w:rPr>
          <w:lang w:val="en-US"/>
        </w:rPr>
        <w:br/>
      </w:r>
    </w:p>
    <w:p w14:paraId="0D01B7FD" w14:textId="77777777" w:rsidR="009A6809" w:rsidRPr="00374CA3" w:rsidRDefault="009A6809" w:rsidP="009A6809">
      <w:pPr>
        <w:spacing w:after="0"/>
        <w:rPr>
          <w:noProof/>
        </w:rPr>
      </w:pPr>
      <w:r w:rsidRPr="00374CA3">
        <w:rPr>
          <w:b/>
        </w:rPr>
        <w:t>Ansvarigt statsråd</w:t>
      </w:r>
      <w:r w:rsidRPr="00374CA3">
        <w:rPr>
          <w:b/>
        </w:rPr>
        <w:br/>
      </w:r>
      <w:r w:rsidRPr="00374CA3">
        <w:rPr>
          <w:noProof/>
        </w:rPr>
        <w:t>Magdalena Andersson</w:t>
      </w:r>
    </w:p>
    <w:p w14:paraId="5841052F" w14:textId="77777777" w:rsidR="009D2517" w:rsidRPr="00374CA3" w:rsidRDefault="009D2517" w:rsidP="009A6809">
      <w:pPr>
        <w:spacing w:after="0"/>
      </w:pPr>
    </w:p>
    <w:p w14:paraId="0D01B800" w14:textId="77777777" w:rsidR="009A6809" w:rsidRPr="00374CA3" w:rsidRDefault="009A6809" w:rsidP="009A6809">
      <w:pPr>
        <w:spacing w:after="0"/>
      </w:pPr>
      <w:r w:rsidRPr="00374CA3">
        <w:rPr>
          <w:b/>
        </w:rPr>
        <w:t>Annotering</w:t>
      </w:r>
      <w:r w:rsidRPr="00374CA3">
        <w:rPr>
          <w:b/>
        </w:rPr>
        <w:br/>
      </w:r>
      <w:r w:rsidRPr="00374CA3">
        <w:t>Föranleder ingen annotering.</w:t>
      </w:r>
    </w:p>
    <w:p w14:paraId="15A6D728" w14:textId="0C438D7E" w:rsidR="00C834DA" w:rsidRPr="00374CA3" w:rsidRDefault="00C834DA" w:rsidP="009A6809">
      <w:pPr>
        <w:spacing w:after="0"/>
      </w:pPr>
    </w:p>
    <w:p w14:paraId="0034FFBC" w14:textId="77777777" w:rsidR="00C834DA" w:rsidRPr="00374CA3" w:rsidRDefault="00C834DA" w:rsidP="009A6809">
      <w:pPr>
        <w:spacing w:after="0"/>
      </w:pPr>
    </w:p>
    <w:p w14:paraId="0D01B801" w14:textId="77777777" w:rsidR="009A6809" w:rsidRPr="00374CA3" w:rsidRDefault="009A6809" w:rsidP="009A6809">
      <w:pPr>
        <w:pStyle w:val="Rubrik1"/>
        <w:spacing w:before="0"/>
      </w:pPr>
      <w:bookmarkStart w:id="8" w:name="_Toc424818106"/>
      <w:r w:rsidRPr="00374CA3">
        <w:rPr>
          <w:noProof/>
        </w:rPr>
        <w:t>Proposition de virement de crédits n° DEC 20/2015 à l'intérieur de la section III - Commission - du budget général pour l'exercice 2015</w:t>
      </w:r>
      <w:bookmarkEnd w:id="8"/>
    </w:p>
    <w:p w14:paraId="0D01B802" w14:textId="77777777" w:rsidR="009A6809" w:rsidRPr="00374CA3" w:rsidRDefault="009A6809" w:rsidP="009A6809">
      <w:pPr>
        <w:spacing w:after="0"/>
        <w:rPr>
          <w:lang w:val="en-US"/>
        </w:rPr>
      </w:pPr>
      <w:r w:rsidRPr="00374CA3">
        <w:rPr>
          <w:lang w:val="en-US"/>
        </w:rPr>
        <w:br/>
      </w:r>
      <w:r w:rsidRPr="00374CA3">
        <w:rPr>
          <w:noProof/>
          <w:lang w:val="en-US"/>
        </w:rPr>
        <w:t>10755</w:t>
      </w:r>
      <w:r w:rsidRPr="00374CA3">
        <w:rPr>
          <w:lang w:val="en-US"/>
        </w:rPr>
        <w:t>/15 FIN 507 INST 241 PE-L 44</w:t>
      </w:r>
    </w:p>
    <w:p w14:paraId="73AF03E7" w14:textId="77777777" w:rsidR="00C834DA" w:rsidRPr="00374CA3" w:rsidRDefault="00C834DA" w:rsidP="009A6809">
      <w:pPr>
        <w:spacing w:after="0"/>
        <w:rPr>
          <w:lang w:val="en-US"/>
        </w:rPr>
      </w:pPr>
    </w:p>
    <w:p w14:paraId="0D01B803" w14:textId="77777777" w:rsidR="009A6809" w:rsidRPr="00374CA3" w:rsidRDefault="009A6809" w:rsidP="009A6809">
      <w:pPr>
        <w:spacing w:after="0"/>
      </w:pPr>
      <w:r w:rsidRPr="00374CA3">
        <w:rPr>
          <w:b/>
        </w:rPr>
        <w:t>Ansvarigt statsråd</w:t>
      </w:r>
      <w:r w:rsidRPr="00374CA3">
        <w:rPr>
          <w:b/>
        </w:rPr>
        <w:br/>
      </w:r>
      <w:r w:rsidRPr="00374CA3">
        <w:rPr>
          <w:noProof/>
        </w:rPr>
        <w:t>Magdalena Andersson</w:t>
      </w:r>
    </w:p>
    <w:p w14:paraId="286CF723" w14:textId="77777777" w:rsidR="00C834DA" w:rsidRPr="00374CA3" w:rsidRDefault="00C834DA" w:rsidP="009A6809">
      <w:pPr>
        <w:spacing w:after="0"/>
        <w:rPr>
          <w:b/>
        </w:rPr>
      </w:pPr>
    </w:p>
    <w:p w14:paraId="0D01B806"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Att med kvalificerad majoritet godkänna överföring av medel.  </w:t>
      </w:r>
    </w:p>
    <w:p w14:paraId="239CA899" w14:textId="77777777" w:rsidR="00C834DA" w:rsidRPr="00374CA3" w:rsidRDefault="00C834DA" w:rsidP="009A6809">
      <w:pPr>
        <w:spacing w:after="0"/>
        <w:rPr>
          <w:b/>
          <w:bCs/>
        </w:rPr>
      </w:pPr>
    </w:p>
    <w:p w14:paraId="0D01B807"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7A4F774E" w14:textId="77777777" w:rsidR="00C834DA" w:rsidRPr="00374CA3" w:rsidRDefault="00C834DA" w:rsidP="009A6809">
      <w:pPr>
        <w:spacing w:after="0"/>
        <w:rPr>
          <w:b/>
          <w:bCs/>
        </w:rPr>
      </w:pPr>
    </w:p>
    <w:p w14:paraId="0D01B808" w14:textId="2C74298F" w:rsidR="003C341F" w:rsidRPr="00374CA3" w:rsidRDefault="009A6809" w:rsidP="009A6809">
      <w:pPr>
        <w:spacing w:after="0"/>
      </w:pPr>
      <w:r w:rsidRPr="00374CA3">
        <w:rPr>
          <w:b/>
          <w:bCs/>
        </w:rPr>
        <w:t xml:space="preserve">Bakgrund: </w:t>
      </w:r>
      <w:r w:rsidRPr="00374CA3">
        <w:t>EU tecknade den 16 oktober med Republiken Guinea-</w:t>
      </w:r>
      <w:r w:rsidR="00374CA3" w:rsidRPr="00374CA3">
        <w:t>Bissau</w:t>
      </w:r>
      <w:r w:rsidRPr="00374CA3">
        <w:t xml:space="preserve"> och den 20 oktober 2014 med Republiken Senegal partnerskapsavtal för hållbart fiske. Det innebär att motsvarande åtagande- och betalningsbemyndiganden beh</w:t>
      </w:r>
      <w:r w:rsidR="00C834DA" w:rsidRPr="00374CA3">
        <w:t>över frigöras från reserven. Kommissionen</w:t>
      </w:r>
      <w:r w:rsidRPr="00374CA3">
        <w:t xml:space="preserve"> föreslår därför att totalt 10 938 000 euro i betalnings- och åtagandeanslag överförs från anslaget 40 02 41 Differentierade anslag (reserven) till anslaget 11 03 01 Avtal om hållbart fiske. Av dessa medel avser 9 200 000 euro partnerskapsavtalet med Republiken Guinea-Bissau och 1 738 00 euro partnerskapsavtalet med Republiken Senegal. </w:t>
      </w:r>
    </w:p>
    <w:p w14:paraId="3991248F" w14:textId="08793AD7" w:rsidR="00C834DA" w:rsidRPr="00374CA3" w:rsidRDefault="00C834DA" w:rsidP="00C834DA">
      <w:pPr>
        <w:spacing w:after="0"/>
      </w:pPr>
    </w:p>
    <w:p w14:paraId="0D01B809" w14:textId="77777777" w:rsidR="009A6809" w:rsidRPr="00374CA3" w:rsidRDefault="009A6809" w:rsidP="009A6809">
      <w:pPr>
        <w:spacing w:after="0"/>
        <w:rPr>
          <w:noProof/>
        </w:rPr>
      </w:pPr>
    </w:p>
    <w:p w14:paraId="0D01B80A" w14:textId="77777777" w:rsidR="009A6809" w:rsidRPr="00374CA3" w:rsidRDefault="009A6809" w:rsidP="009A6809">
      <w:pPr>
        <w:pStyle w:val="Rubrik1"/>
        <w:spacing w:before="0"/>
      </w:pPr>
      <w:bookmarkStart w:id="9" w:name="_Toc424818107"/>
      <w:r w:rsidRPr="00374CA3">
        <w:rPr>
          <w:noProof/>
        </w:rPr>
        <w:t>Proposition de virement de crédits n° DEC 23/2015 à l'intérieur de la section III - Commission - du budget général pour l'exercice 2015</w:t>
      </w:r>
      <w:bookmarkEnd w:id="9"/>
    </w:p>
    <w:p w14:paraId="0D01B80B" w14:textId="708A4964" w:rsidR="009A6809" w:rsidRPr="00374CA3" w:rsidRDefault="009A6809" w:rsidP="009A6809">
      <w:pPr>
        <w:spacing w:after="0"/>
        <w:rPr>
          <w:lang w:val="en-US"/>
        </w:rPr>
      </w:pPr>
      <w:r w:rsidRPr="00374CA3">
        <w:rPr>
          <w:lang w:val="en-US"/>
        </w:rPr>
        <w:br/>
      </w:r>
      <w:r w:rsidRPr="00374CA3">
        <w:rPr>
          <w:noProof/>
          <w:lang w:val="en-US"/>
        </w:rPr>
        <w:t>10812</w:t>
      </w:r>
      <w:r w:rsidRPr="00374CA3">
        <w:rPr>
          <w:lang w:val="en-US"/>
        </w:rPr>
        <w:t>/15 FIN 515 INST 242 PE-L 45</w:t>
      </w:r>
    </w:p>
    <w:p w14:paraId="640A0C64" w14:textId="77777777" w:rsidR="00C834DA" w:rsidRPr="00374CA3" w:rsidRDefault="00C834DA" w:rsidP="009A6809">
      <w:pPr>
        <w:spacing w:after="0"/>
        <w:rPr>
          <w:lang w:val="en-US"/>
        </w:rPr>
      </w:pPr>
    </w:p>
    <w:p w14:paraId="0D01B80C" w14:textId="77777777" w:rsidR="009A6809" w:rsidRPr="00374CA3" w:rsidRDefault="009A6809" w:rsidP="009A6809">
      <w:pPr>
        <w:spacing w:after="0"/>
        <w:rPr>
          <w:noProof/>
        </w:rPr>
      </w:pPr>
      <w:r w:rsidRPr="00374CA3">
        <w:rPr>
          <w:b/>
        </w:rPr>
        <w:t>Ansvarigt statsråd</w:t>
      </w:r>
      <w:r w:rsidRPr="00374CA3">
        <w:rPr>
          <w:b/>
        </w:rPr>
        <w:br/>
      </w:r>
      <w:r w:rsidRPr="00374CA3">
        <w:rPr>
          <w:noProof/>
        </w:rPr>
        <w:t>Magdalena Andersson</w:t>
      </w:r>
    </w:p>
    <w:p w14:paraId="04FB5D32" w14:textId="77777777" w:rsidR="00C834DA" w:rsidRPr="00374CA3" w:rsidRDefault="00C834DA" w:rsidP="009A6809">
      <w:pPr>
        <w:spacing w:after="0"/>
      </w:pPr>
    </w:p>
    <w:p w14:paraId="0D01B80F" w14:textId="77777777"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Att med kvalificerad majoritet godkänna förslaget till överföring.  </w:t>
      </w:r>
    </w:p>
    <w:p w14:paraId="5A3E8CFE" w14:textId="77777777" w:rsidR="00C834DA" w:rsidRPr="00374CA3" w:rsidRDefault="00C834DA" w:rsidP="009A6809">
      <w:pPr>
        <w:spacing w:after="0"/>
      </w:pPr>
    </w:p>
    <w:p w14:paraId="4F6A83C2" w14:textId="77777777" w:rsidR="00C834DA" w:rsidRPr="00374CA3" w:rsidRDefault="009A6809" w:rsidP="009A6809">
      <w:pPr>
        <w:spacing w:after="0"/>
      </w:pPr>
      <w:r w:rsidRPr="00374CA3">
        <w:rPr>
          <w:b/>
          <w:bCs/>
        </w:rPr>
        <w:t>Hur regeringen ställer sig till den blivande A-punkten:</w:t>
      </w:r>
      <w:r w:rsidRPr="00374CA3">
        <w:t xml:space="preserve"> Regeringen avser rösta ja.</w:t>
      </w:r>
    </w:p>
    <w:p w14:paraId="0D01B810" w14:textId="444D98E5" w:rsidR="003C341F" w:rsidRPr="00374CA3" w:rsidRDefault="009A6809" w:rsidP="009A6809">
      <w:pPr>
        <w:spacing w:after="0"/>
      </w:pPr>
      <w:r w:rsidRPr="00374CA3">
        <w:t xml:space="preserve"> </w:t>
      </w:r>
    </w:p>
    <w:p w14:paraId="0D01B811" w14:textId="5CDE7AC9" w:rsidR="003C341F" w:rsidRPr="00374CA3" w:rsidRDefault="009A6809" w:rsidP="009A6809">
      <w:pPr>
        <w:spacing w:after="0"/>
      </w:pPr>
      <w:r w:rsidRPr="00374CA3">
        <w:rPr>
          <w:b/>
          <w:bCs/>
        </w:rPr>
        <w:t>Bakgrund:</w:t>
      </w:r>
      <w:r w:rsidR="00C834DA" w:rsidRPr="00374CA3">
        <w:t xml:space="preserve"> Kommissionen</w:t>
      </w:r>
      <w:r w:rsidRPr="00374CA3">
        <w:t xml:space="preserve"> föreslår att sammanlagt 15 500 000 euro i betalningsanslag överförs från anslaget för utvärdering och revision av bistånd (210801 Evaluation of the results of Union aid and follow-up and audit measures) samt Instrumentet för industrialiserade länder (2109 ICI+)</w:t>
      </w:r>
      <w:r w:rsidR="00C834DA" w:rsidRPr="00374CA3">
        <w:t xml:space="preserve"> </w:t>
      </w:r>
      <w:r w:rsidRPr="00374CA3">
        <w:t>till Instr</w:t>
      </w:r>
      <w:r w:rsidR="00C834DA" w:rsidRPr="00374CA3">
        <w:t>umentet för utvecklingsbistånd </w:t>
      </w:r>
      <w:r w:rsidRPr="00374CA3">
        <w:t>(2102 Development Cooperation Instrument)</w:t>
      </w:r>
      <w:r w:rsidR="00C834DA" w:rsidRPr="00374CA3">
        <w:t>.</w:t>
      </w:r>
      <w:r w:rsidRPr="00374CA3">
        <w:t xml:space="preserve"> </w:t>
      </w:r>
      <w:r w:rsidR="00E3762D" w:rsidRPr="00374CA3">
        <w:t>Anledningen är att medlen på anslagen för utvärdering och revision av bistånd (210801 Evaluation of the results of Union aid and follow-up and audit measures) samt Instrumentet för industrialiserade länder (2109 ICI+) inte bedöms komma att gå åt medan anslagna medlen för Instrumentet för utvecklingsbistånd bedöms ta slut under sommaren.</w:t>
      </w:r>
    </w:p>
    <w:p w14:paraId="5EB15327" w14:textId="77777777" w:rsidR="00E3762D" w:rsidRPr="00374CA3" w:rsidRDefault="00E3762D" w:rsidP="009A6809">
      <w:pPr>
        <w:spacing w:after="0"/>
      </w:pPr>
    </w:p>
    <w:p w14:paraId="0D01B812" w14:textId="77777777" w:rsidR="009A6809" w:rsidRPr="00374CA3" w:rsidRDefault="009A6809" w:rsidP="009A6809">
      <w:pPr>
        <w:spacing w:after="0"/>
        <w:rPr>
          <w:noProof/>
        </w:rPr>
      </w:pPr>
    </w:p>
    <w:p w14:paraId="0D01B813" w14:textId="77777777" w:rsidR="009A6809" w:rsidRPr="00374CA3" w:rsidRDefault="009A6809" w:rsidP="009A6809">
      <w:pPr>
        <w:pStyle w:val="Rubrik1"/>
        <w:spacing w:before="0"/>
      </w:pPr>
      <w:bookmarkStart w:id="10" w:name="_Toc424818108"/>
      <w:r w:rsidRPr="00374CA3">
        <w:rPr>
          <w:noProof/>
        </w:rPr>
        <w:t>Règlement délégué (UE) …/… de la Commission du 10 juin 2015 fixant, conformément au règlement (UE) nº 1303/2013 du Parlement européen et du Conseil, un taux forfaitaire pour les opérations financées par les Fonds structurels et d'investissement européens dans le secteur de la recherche, du développement et de l'innovation</w:t>
      </w:r>
      <w:bookmarkEnd w:id="10"/>
    </w:p>
    <w:p w14:paraId="23F4690B" w14:textId="77777777" w:rsidR="00C834DA" w:rsidRPr="00374CA3" w:rsidRDefault="009A6809" w:rsidP="009A6809">
      <w:pPr>
        <w:spacing w:after="0"/>
        <w:rPr>
          <w:lang w:val="en-US"/>
        </w:rPr>
      </w:pPr>
      <w:r w:rsidRPr="00374CA3">
        <w:rPr>
          <w:noProof/>
          <w:lang w:val="en-US"/>
        </w:rPr>
        <w:t>=</w:t>
      </w:r>
      <w:r w:rsidRPr="00374CA3">
        <w:rPr>
          <w:lang w:val="en-US"/>
        </w:rPr>
        <w:t xml:space="preserve">Intention de ne pas exprimer d'objection à l'égard d'un acte délégué </w:t>
      </w:r>
    </w:p>
    <w:p w14:paraId="347CBA58" w14:textId="77777777" w:rsidR="00C834DA" w:rsidRPr="00374CA3" w:rsidRDefault="00C834DA" w:rsidP="009A6809">
      <w:pPr>
        <w:spacing w:after="0"/>
        <w:rPr>
          <w:lang w:val="en-US"/>
        </w:rPr>
      </w:pPr>
    </w:p>
    <w:p w14:paraId="368A4F3B" w14:textId="1BC81D70" w:rsidR="009D2517" w:rsidRPr="00374CA3" w:rsidRDefault="009A6809" w:rsidP="009A6809">
      <w:pPr>
        <w:spacing w:after="0"/>
        <w:rPr>
          <w:lang w:val="en-US"/>
        </w:rPr>
      </w:pPr>
      <w:r w:rsidRPr="00374CA3">
        <w:rPr>
          <w:lang w:val="en-US"/>
        </w:rPr>
        <w:t>10437/15 FSTR 36 FC 38 REGIO 51 SOC 431 AGRISTR 51 PECHE 230</w:t>
      </w:r>
      <w:r w:rsidR="00374CA3" w:rsidRPr="00374CA3">
        <w:rPr>
          <w:lang w:val="en-US"/>
        </w:rPr>
        <w:t xml:space="preserve"> CADREFIN 30 EMPL 280 DELACT 77</w:t>
      </w:r>
    </w:p>
    <w:p w14:paraId="1AC4E15C" w14:textId="77777777" w:rsidR="00374CA3" w:rsidRPr="00374CA3" w:rsidRDefault="00374CA3" w:rsidP="00374CA3">
      <w:pPr>
        <w:spacing w:after="0"/>
        <w:rPr>
          <w:lang w:val="es-ES"/>
        </w:rPr>
      </w:pPr>
      <w:r w:rsidRPr="00374CA3">
        <w:rPr>
          <w:lang w:val="es-ES"/>
        </w:rPr>
        <w:t xml:space="preserve">10044/15 FSTR 34 FC 36 REGIO 48 SOC 419 EMPL 273 RECH 198 </w:t>
      </w:r>
    </w:p>
    <w:p w14:paraId="0E065912" w14:textId="77777777" w:rsidR="00374CA3" w:rsidRPr="00374CA3" w:rsidRDefault="00374CA3" w:rsidP="00374CA3">
      <w:pPr>
        <w:spacing w:after="0"/>
        <w:rPr>
          <w:lang w:val="fr-BE"/>
        </w:rPr>
      </w:pPr>
      <w:r w:rsidRPr="00374CA3">
        <w:rPr>
          <w:lang w:val="fr-FR"/>
        </w:rPr>
        <w:t>ERAC 1 DELACT 70</w:t>
      </w:r>
    </w:p>
    <w:p w14:paraId="58BB600D" w14:textId="77777777" w:rsidR="009D2517" w:rsidRPr="004F11F0" w:rsidRDefault="009D2517" w:rsidP="009A6809">
      <w:pPr>
        <w:spacing w:after="0"/>
      </w:pPr>
    </w:p>
    <w:p w14:paraId="0D01B815" w14:textId="77777777" w:rsidR="009A6809" w:rsidRPr="00374CA3" w:rsidRDefault="009A6809" w:rsidP="009A6809">
      <w:pPr>
        <w:spacing w:after="0"/>
        <w:rPr>
          <w:noProof/>
        </w:rPr>
      </w:pPr>
      <w:r w:rsidRPr="00374CA3">
        <w:rPr>
          <w:b/>
        </w:rPr>
        <w:t>Ansvarigt statsråd</w:t>
      </w:r>
      <w:r w:rsidRPr="00374CA3">
        <w:rPr>
          <w:b/>
        </w:rPr>
        <w:br/>
      </w:r>
      <w:r w:rsidRPr="00374CA3">
        <w:rPr>
          <w:noProof/>
        </w:rPr>
        <w:t>Sven-Erik Bucht</w:t>
      </w:r>
    </w:p>
    <w:p w14:paraId="5E93CFC5" w14:textId="77777777" w:rsidR="00C834DA" w:rsidRPr="00374CA3" w:rsidRDefault="00C834DA" w:rsidP="009A6809">
      <w:pPr>
        <w:spacing w:after="0"/>
      </w:pPr>
    </w:p>
    <w:p w14:paraId="0D01B818" w14:textId="59363D16" w:rsidR="009A6809" w:rsidRPr="00374CA3" w:rsidRDefault="009A6809" w:rsidP="009A6809">
      <w:pPr>
        <w:spacing w:after="0"/>
        <w:rPr>
          <w:bCs/>
        </w:rPr>
      </w:pPr>
      <w:r w:rsidRPr="00374CA3">
        <w:rPr>
          <w:b/>
        </w:rPr>
        <w:t>Annotering</w:t>
      </w:r>
      <w:r w:rsidRPr="00374CA3">
        <w:rPr>
          <w:b/>
        </w:rPr>
        <w:br/>
      </w:r>
      <w:r w:rsidRPr="00374CA3">
        <w:rPr>
          <w:b/>
          <w:bCs/>
        </w:rPr>
        <w:t>Avsikt med behandlingen i rådet:</w:t>
      </w:r>
      <w:r w:rsidRPr="00374CA3">
        <w:t xml:space="preserve"> </w:t>
      </w:r>
      <w:r w:rsidR="00374CA3">
        <w:rPr>
          <w:bCs/>
        </w:rPr>
        <w:t>A</w:t>
      </w:r>
      <w:r w:rsidRPr="00374CA3">
        <w:rPr>
          <w:bCs/>
        </w:rPr>
        <w:t xml:space="preserve">tt inte </w:t>
      </w:r>
      <w:r w:rsidR="00374CA3">
        <w:rPr>
          <w:bCs/>
        </w:rPr>
        <w:t>invända mot</w:t>
      </w:r>
      <w:r w:rsidRPr="00374CA3">
        <w:rPr>
          <w:bCs/>
        </w:rPr>
        <w:t xml:space="preserve"> den delegerade akten. </w:t>
      </w:r>
    </w:p>
    <w:p w14:paraId="436C931D" w14:textId="77777777" w:rsidR="00C834DA" w:rsidRPr="00374CA3" w:rsidRDefault="00C834DA" w:rsidP="009A6809">
      <w:pPr>
        <w:spacing w:after="0"/>
      </w:pPr>
    </w:p>
    <w:p w14:paraId="0D01B819" w14:textId="77777777" w:rsidR="003C341F" w:rsidRPr="00374CA3" w:rsidRDefault="009A6809" w:rsidP="009A6809">
      <w:pPr>
        <w:spacing w:after="0"/>
      </w:pPr>
      <w:r w:rsidRPr="00374CA3">
        <w:rPr>
          <w:b/>
          <w:bCs/>
        </w:rPr>
        <w:t>Hur regeringen ställer sig till den blivande A-punkten:</w:t>
      </w:r>
      <w:r w:rsidRPr="00374CA3">
        <w:t xml:space="preserve"> </w:t>
      </w:r>
      <w:r w:rsidRPr="00374CA3">
        <w:rPr>
          <w:bCs/>
        </w:rPr>
        <w:t>Regeringen avser att rösta ja till förslaget.</w:t>
      </w:r>
      <w:r w:rsidRPr="00374CA3">
        <w:t xml:space="preserve"> </w:t>
      </w:r>
    </w:p>
    <w:p w14:paraId="489FDA79" w14:textId="77777777" w:rsidR="00C834DA" w:rsidRPr="00374CA3" w:rsidRDefault="00C834DA" w:rsidP="009A6809">
      <w:pPr>
        <w:spacing w:after="0"/>
      </w:pPr>
    </w:p>
    <w:p w14:paraId="0D01B81A" w14:textId="77777777" w:rsidR="003C341F" w:rsidRPr="00374CA3" w:rsidRDefault="009A6809" w:rsidP="009A6809">
      <w:pPr>
        <w:spacing w:after="0"/>
      </w:pPr>
      <w:r w:rsidRPr="00374CA3">
        <w:rPr>
          <w:b/>
          <w:bCs/>
        </w:rPr>
        <w:t xml:space="preserve">Bakgrund: </w:t>
      </w:r>
      <w:r w:rsidRPr="00374CA3">
        <w:rPr>
          <w:bCs/>
        </w:rPr>
        <w:t>De grundläggande bestämmelserna för inkomstgenererande insatser fastställs i artiklarna 61 och 65 i förordning 1303/2013. För att förenkla förvaltningen har kommissionen befogenhet att anta delegerade akter för andra sektorer än de som redan finns fastställda i bilaga V till förordning 1303/2013. Kommissionen gav en extern konsult i uppdrag att samla in historiska data för att ha en tillförlitlig grund för att fastställa en schablon för forskning, utveckling och innovation. I samma uppdrag ingick också att belysa sektorerna IKT och energieffektivitet, för dessa områden uppvisades dock så stora skillnader att kommissionen inte kunde fastställa några schabloner för dessa områden. När det gäller sektorn forskning, utveckling och innovation visar resultatet att det finns en tillförlitlig grund att fastställa en schablonsats på 20 procent.</w:t>
      </w:r>
      <w:r w:rsidRPr="00374CA3">
        <w:rPr>
          <w:b/>
          <w:bCs/>
        </w:rPr>
        <w:t xml:space="preserve">    </w:t>
      </w:r>
    </w:p>
    <w:p w14:paraId="0D01B81B" w14:textId="77777777" w:rsidR="009A6809" w:rsidRPr="00374CA3" w:rsidRDefault="009A6809" w:rsidP="009A6809">
      <w:pPr>
        <w:spacing w:after="0"/>
        <w:rPr>
          <w:noProof/>
        </w:rPr>
      </w:pPr>
    </w:p>
    <w:p w14:paraId="6B195F2C" w14:textId="77777777" w:rsidR="00C834DA" w:rsidRPr="00374CA3" w:rsidRDefault="00C834DA" w:rsidP="009A6809">
      <w:pPr>
        <w:spacing w:after="0"/>
        <w:rPr>
          <w:noProof/>
        </w:rPr>
      </w:pPr>
    </w:p>
    <w:p w14:paraId="0D01B81C" w14:textId="77777777" w:rsidR="009A6809" w:rsidRPr="00374CA3" w:rsidRDefault="009A6809" w:rsidP="009A6809">
      <w:pPr>
        <w:pStyle w:val="Rubrik1"/>
        <w:spacing w:before="0"/>
      </w:pPr>
      <w:bookmarkStart w:id="11" w:name="_Toc424818109"/>
      <w:r w:rsidRPr="00374CA3">
        <w:rPr>
          <w:noProof/>
        </w:rPr>
        <w:t>Présentation d'un nouveau projet de dessin national pour une pièce grecque libellée en euros</w:t>
      </w:r>
      <w:bookmarkEnd w:id="11"/>
    </w:p>
    <w:p w14:paraId="0D01B81D" w14:textId="6AC77203" w:rsidR="009A6809" w:rsidRPr="004F11F0" w:rsidRDefault="009A6809" w:rsidP="009A6809">
      <w:pPr>
        <w:spacing w:after="0"/>
      </w:pPr>
      <w:r w:rsidRPr="004F11F0">
        <w:br/>
      </w:r>
      <w:r w:rsidRPr="004F11F0">
        <w:rPr>
          <w:noProof/>
        </w:rPr>
        <w:t>10587</w:t>
      </w:r>
      <w:r w:rsidRPr="004F11F0">
        <w:t>/15 ECOFIN 581 UEM 284</w:t>
      </w:r>
    </w:p>
    <w:p w14:paraId="0DBEC63B" w14:textId="77777777" w:rsidR="00C834DA" w:rsidRPr="004F11F0" w:rsidRDefault="00C834DA" w:rsidP="009A6809">
      <w:pPr>
        <w:spacing w:after="0"/>
      </w:pPr>
    </w:p>
    <w:p w14:paraId="0D01B81E" w14:textId="77777777" w:rsidR="009A6809" w:rsidRPr="00374CA3" w:rsidRDefault="009A6809" w:rsidP="009A6809">
      <w:pPr>
        <w:spacing w:after="0"/>
      </w:pPr>
      <w:r w:rsidRPr="00374CA3">
        <w:rPr>
          <w:b/>
        </w:rPr>
        <w:t>Ansvarigt statsråd</w:t>
      </w:r>
      <w:r w:rsidRPr="00374CA3">
        <w:rPr>
          <w:b/>
        </w:rPr>
        <w:br/>
      </w:r>
      <w:r w:rsidRPr="00374CA3">
        <w:rPr>
          <w:noProof/>
        </w:rPr>
        <w:t>Per Bolund</w:t>
      </w:r>
    </w:p>
    <w:p w14:paraId="5B91F4B3" w14:textId="77777777" w:rsidR="00C834DA" w:rsidRPr="00374CA3" w:rsidRDefault="00C834DA" w:rsidP="009A6809">
      <w:pPr>
        <w:spacing w:after="0"/>
        <w:rPr>
          <w:b/>
        </w:rPr>
      </w:pPr>
    </w:p>
    <w:p w14:paraId="0D01B821" w14:textId="77777777" w:rsidR="009A6809" w:rsidRPr="00374CA3" w:rsidRDefault="009A6809" w:rsidP="009A6809">
      <w:pPr>
        <w:spacing w:after="0"/>
      </w:pPr>
      <w:r w:rsidRPr="00374CA3">
        <w:rPr>
          <w:b/>
        </w:rPr>
        <w:t>Annotering</w:t>
      </w:r>
      <w:r w:rsidRPr="00374CA3">
        <w:rPr>
          <w:b/>
        </w:rPr>
        <w:br/>
      </w:r>
      <w:r w:rsidRPr="00374CA3">
        <w:t>Föranleder ingen annotering.</w:t>
      </w:r>
    </w:p>
    <w:p w14:paraId="0F036E79" w14:textId="2525377F" w:rsidR="00C834DA" w:rsidRPr="00374CA3" w:rsidRDefault="00C834DA" w:rsidP="009A6809">
      <w:pPr>
        <w:spacing w:after="0"/>
      </w:pPr>
    </w:p>
    <w:p w14:paraId="12DF8CB2" w14:textId="77777777" w:rsidR="006B6557" w:rsidRPr="00374CA3" w:rsidRDefault="006B6557" w:rsidP="009A6809">
      <w:pPr>
        <w:spacing w:after="0"/>
      </w:pPr>
    </w:p>
    <w:p w14:paraId="0D01B822" w14:textId="77777777" w:rsidR="009A6809" w:rsidRPr="00374CA3" w:rsidRDefault="009A6809" w:rsidP="009A6809">
      <w:pPr>
        <w:pStyle w:val="Rubrik1"/>
        <w:spacing w:before="0"/>
      </w:pPr>
      <w:bookmarkStart w:id="12" w:name="_Toc424818110"/>
      <w:r w:rsidRPr="00374CA3">
        <w:rPr>
          <w:noProof/>
        </w:rPr>
        <w:t>(évent.) Règlement délégué (UE) …/... de la Commission du 2.7.2015 rectifiant le règlement délégué (UE) n° 625/2014 complétant le règlement (UE) n° 575/2013 du Parlement européen et du Conseil par des normes techniques de réglementation précisant les exigences pour les investisseurs, sponsors, prêteurs initiaux et établissements initiaux eu égard à l'exposition au risque de crédit transféré</w:t>
      </w:r>
      <w:bookmarkEnd w:id="12"/>
      <w:r w:rsidRPr="00374CA3">
        <w:rPr>
          <w:noProof/>
        </w:rPr>
        <w:t xml:space="preserve"> </w:t>
      </w:r>
    </w:p>
    <w:p w14:paraId="6E4A1BBF" w14:textId="77777777" w:rsidR="00C834DA" w:rsidRPr="00374CA3" w:rsidRDefault="009A6809" w:rsidP="009A6809">
      <w:pPr>
        <w:spacing w:after="0"/>
        <w:rPr>
          <w:lang w:val="en-US"/>
        </w:rPr>
      </w:pPr>
      <w:r w:rsidRPr="00374CA3">
        <w:rPr>
          <w:noProof/>
          <w:lang w:val="en-US"/>
        </w:rPr>
        <w:t>=</w:t>
      </w:r>
      <w:r w:rsidRPr="00374CA3">
        <w:rPr>
          <w:lang w:val="en-US"/>
        </w:rPr>
        <w:t>Intention de ne pas exprimer d'objection à l'égard d'un acte délégué</w:t>
      </w:r>
    </w:p>
    <w:p w14:paraId="0D01B823" w14:textId="78EFBEF4" w:rsidR="009A6809" w:rsidRPr="00374CA3" w:rsidRDefault="009A6809" w:rsidP="009A6809">
      <w:pPr>
        <w:spacing w:after="0"/>
        <w:rPr>
          <w:lang w:val="en-US"/>
        </w:rPr>
      </w:pPr>
      <w:r w:rsidRPr="00374CA3">
        <w:rPr>
          <w:lang w:val="en-US"/>
        </w:rPr>
        <w:br/>
      </w:r>
      <w:r w:rsidRPr="00374CA3">
        <w:rPr>
          <w:noProof/>
          <w:lang w:val="en-US"/>
        </w:rPr>
        <w:t>10542</w:t>
      </w:r>
      <w:r w:rsidRPr="00374CA3">
        <w:rPr>
          <w:lang w:val="en-US"/>
        </w:rPr>
        <w:t>/15 EF 137 ECOFIN 580 DELACT 82</w:t>
      </w:r>
      <w:r w:rsidR="006B6557" w:rsidRPr="00374CA3">
        <w:rPr>
          <w:lang w:val="en-US"/>
        </w:rPr>
        <w:t xml:space="preserve"> </w:t>
      </w:r>
      <w:r w:rsidRPr="00374CA3">
        <w:rPr>
          <w:lang w:val="en-US"/>
        </w:rPr>
        <w:t xml:space="preserve">10540/15 EF 136 ECOFIN 579 DELACT 80 </w:t>
      </w:r>
    </w:p>
    <w:p w14:paraId="437BC4DB" w14:textId="77777777" w:rsidR="00C834DA" w:rsidRPr="00374CA3" w:rsidRDefault="00C834DA" w:rsidP="009A6809">
      <w:pPr>
        <w:spacing w:after="0"/>
        <w:rPr>
          <w:lang w:val="en-US"/>
        </w:rPr>
      </w:pPr>
    </w:p>
    <w:p w14:paraId="0D01B824" w14:textId="77777777" w:rsidR="009A6809" w:rsidRPr="00374CA3" w:rsidRDefault="009A6809" w:rsidP="009A6809">
      <w:pPr>
        <w:spacing w:after="0"/>
      </w:pPr>
      <w:r w:rsidRPr="00374CA3">
        <w:rPr>
          <w:b/>
        </w:rPr>
        <w:t>Ansvarigt statsråd</w:t>
      </w:r>
      <w:r w:rsidRPr="00374CA3">
        <w:rPr>
          <w:b/>
        </w:rPr>
        <w:br/>
      </w:r>
      <w:r w:rsidRPr="00374CA3">
        <w:rPr>
          <w:noProof/>
        </w:rPr>
        <w:t>Per Bolund</w:t>
      </w:r>
    </w:p>
    <w:p w14:paraId="670384CA" w14:textId="77777777" w:rsidR="00C834DA" w:rsidRPr="00374CA3" w:rsidRDefault="00C834DA" w:rsidP="009A6809">
      <w:pPr>
        <w:spacing w:after="0"/>
        <w:rPr>
          <w:b/>
        </w:rPr>
      </w:pPr>
    </w:p>
    <w:p w14:paraId="0D01B827" w14:textId="37D90DDC"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Rådet föreslås avstå från möjligheten att invända mot en del</w:t>
      </w:r>
      <w:r w:rsidR="009D2517" w:rsidRPr="00374CA3">
        <w:t>egerad akt som har antagits av k</w:t>
      </w:r>
      <w:r w:rsidRPr="00374CA3">
        <w:t xml:space="preserve">ommissionen. </w:t>
      </w:r>
    </w:p>
    <w:p w14:paraId="455C10C9" w14:textId="77777777" w:rsidR="00C834DA" w:rsidRPr="00374CA3" w:rsidRDefault="00C834DA" w:rsidP="009A6809">
      <w:pPr>
        <w:spacing w:after="0"/>
      </w:pPr>
    </w:p>
    <w:p w14:paraId="0D01B828" w14:textId="77777777" w:rsidR="003C341F" w:rsidRPr="00374CA3" w:rsidRDefault="009A6809" w:rsidP="009A6809">
      <w:pPr>
        <w:spacing w:after="0"/>
      </w:pPr>
      <w:r w:rsidRPr="00374CA3">
        <w:rPr>
          <w:b/>
          <w:bCs/>
        </w:rPr>
        <w:t xml:space="preserve">Hur regeringen ställer sig till den blivande A-punkten: </w:t>
      </w:r>
      <w:r w:rsidRPr="00374CA3">
        <w:t xml:space="preserve">Regeringen avser att rösta ja. </w:t>
      </w:r>
    </w:p>
    <w:p w14:paraId="614B2444" w14:textId="616FC2D4" w:rsidR="00C834DA" w:rsidRPr="00374CA3" w:rsidRDefault="00191DF2" w:rsidP="00191DF2">
      <w:pPr>
        <w:tabs>
          <w:tab w:val="left" w:pos="2370"/>
        </w:tabs>
        <w:spacing w:after="0"/>
        <w:rPr>
          <w:b/>
          <w:bCs/>
        </w:rPr>
      </w:pPr>
      <w:r w:rsidRPr="00374CA3">
        <w:rPr>
          <w:b/>
          <w:bCs/>
        </w:rPr>
        <w:tab/>
      </w:r>
    </w:p>
    <w:p w14:paraId="0D01B829" w14:textId="03E1746F" w:rsidR="003C341F" w:rsidRPr="00374CA3" w:rsidRDefault="009A6809" w:rsidP="009A6809">
      <w:pPr>
        <w:spacing w:after="0"/>
      </w:pPr>
      <w:r w:rsidRPr="00374CA3">
        <w:rPr>
          <w:b/>
          <w:bCs/>
        </w:rPr>
        <w:t xml:space="preserve">Bakgrund: </w:t>
      </w:r>
      <w:r w:rsidR="00BA4D8B" w:rsidRPr="00374CA3">
        <w:t>Kommissionen har den 2 juli 2015 antagit en de</w:t>
      </w:r>
      <w:r w:rsidR="00A2490A" w:rsidRPr="00374CA3">
        <w:t>legerad förordning som</w:t>
      </w:r>
      <w:r w:rsidR="00BA4D8B" w:rsidRPr="00374CA3">
        <w:t xml:space="preserve"> reviderar en tidigare antagen delegerad förordning. Revideringarna syftar huvudsakligen till att rätta vissa redaktionella misstag i de olika språkversionerna av den delegerade förordningen (EU) nr 625/2014 som kompletterar Europaparlamentets och rådets förordning (EU) nr 575/2013 om tillsynskrav för kreditinstitut och värdepappersföretag. </w:t>
      </w:r>
    </w:p>
    <w:p w14:paraId="54F17A01" w14:textId="77777777" w:rsidR="006B6557" w:rsidRPr="00374CA3" w:rsidRDefault="006B6557" w:rsidP="009A6809">
      <w:pPr>
        <w:spacing w:after="0"/>
      </w:pPr>
    </w:p>
    <w:p w14:paraId="0D01B82A" w14:textId="77777777" w:rsidR="009A6809" w:rsidRPr="00374CA3" w:rsidRDefault="009A6809" w:rsidP="009A6809">
      <w:pPr>
        <w:spacing w:after="0"/>
        <w:rPr>
          <w:noProof/>
        </w:rPr>
      </w:pPr>
    </w:p>
    <w:p w14:paraId="0D01B82B" w14:textId="77777777" w:rsidR="009A6809" w:rsidRPr="00374CA3" w:rsidRDefault="009A6809" w:rsidP="009A6809">
      <w:pPr>
        <w:pStyle w:val="Rubrik1"/>
        <w:spacing w:before="0"/>
      </w:pPr>
      <w:bookmarkStart w:id="13" w:name="_Toc424818111"/>
      <w:r w:rsidRPr="00374CA3">
        <w:rPr>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la République arabe d'Égypte,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bookmarkEnd w:id="13"/>
    </w:p>
    <w:p w14:paraId="0D01B82C" w14:textId="1254C4C5" w:rsidR="009A6809" w:rsidRPr="004F11F0" w:rsidRDefault="009A6809" w:rsidP="009A6809">
      <w:pPr>
        <w:spacing w:after="0"/>
      </w:pPr>
      <w:r w:rsidRPr="004F11F0">
        <w:br/>
      </w:r>
      <w:r w:rsidRPr="004F11F0">
        <w:rPr>
          <w:noProof/>
        </w:rPr>
        <w:t>10721</w:t>
      </w:r>
      <w:r w:rsidRPr="004F11F0">
        <w:t>/15 MAMA 93 MED 30 CFSP/PESC 361 EG 5 8417/15 MAMA 20 MED 18 CFSP/PESC 90 EG 4 UD 97</w:t>
      </w:r>
    </w:p>
    <w:p w14:paraId="3BDC6D2A" w14:textId="77777777" w:rsidR="006B6557" w:rsidRPr="004F11F0" w:rsidRDefault="006B6557" w:rsidP="009A6809">
      <w:pPr>
        <w:spacing w:after="0"/>
      </w:pPr>
    </w:p>
    <w:p w14:paraId="0D01B82D"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12592587" w14:textId="77777777" w:rsidR="006B6557" w:rsidRPr="00374CA3" w:rsidRDefault="006B6557" w:rsidP="009A6809">
      <w:pPr>
        <w:spacing w:after="0"/>
        <w:rPr>
          <w:b/>
        </w:rPr>
      </w:pPr>
    </w:p>
    <w:p w14:paraId="0D01B830"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Att anta ståndpunkt som ska intas på Europeiska unionens vägnar i det associeringsråd som inrättats genom Europa–Medelhavsavtalet om upprättande av en associering mellan Europeiska gemenskaperna och deras medlemsstater, å ena sidan, och Egypten, å andra sidan, beträffande ersättande av protokoll 4 till det avtalet, om definition av begreppet ursprungsprodukter och om metoder för administrativt samarbete, med ett nytt protokoll, som vad gäller ursprungsregler hänvisar till den regionala konventionen om Europa–Medelhavstäckande regler om förmånsursprung.  </w:t>
      </w:r>
    </w:p>
    <w:p w14:paraId="5B6DCA20" w14:textId="77777777" w:rsidR="006B6557" w:rsidRPr="00374CA3" w:rsidRDefault="006B6557" w:rsidP="009A6809">
      <w:pPr>
        <w:spacing w:after="0"/>
        <w:rPr>
          <w:b/>
          <w:bCs/>
        </w:rPr>
      </w:pPr>
    </w:p>
    <w:p w14:paraId="0D01B831"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1EDB1D8D" w14:textId="77777777" w:rsidR="006B6557" w:rsidRPr="00374CA3" w:rsidRDefault="006B6557" w:rsidP="009A6809">
      <w:pPr>
        <w:spacing w:after="0"/>
        <w:rPr>
          <w:b/>
          <w:bCs/>
        </w:rPr>
      </w:pPr>
    </w:p>
    <w:p w14:paraId="0D01B832" w14:textId="77777777" w:rsidR="003C341F" w:rsidRPr="00374CA3" w:rsidRDefault="009A6809" w:rsidP="009A6809">
      <w:pPr>
        <w:spacing w:after="0"/>
      </w:pPr>
      <w:r w:rsidRPr="00374CA3">
        <w:rPr>
          <w:b/>
          <w:bCs/>
        </w:rPr>
        <w:t xml:space="preserve">Bakgrund: </w:t>
      </w:r>
      <w:r w:rsidRPr="00374CA3">
        <w:t>Definitionen av ursprungsprodukter i Europa-Medelhavsavtalet måste justeras i ljuset av att Egypten har undertecknat den regionala konventionen om Europa-Medelhavstäckande regler om förmånsursprung. Denna justering ska ske genom ett ersättande av nuvarande protokoll 4 med ett nytt protokoll i Europa-Medelhavsavtalet som hänvisar till konventionen. Beslutet kommer att fattas på ett stabiliserings- och associationsråd.</w:t>
      </w:r>
    </w:p>
    <w:p w14:paraId="0971BAE9" w14:textId="77777777" w:rsidR="006B6557" w:rsidRPr="00374CA3" w:rsidRDefault="006B6557" w:rsidP="009A6809">
      <w:pPr>
        <w:spacing w:after="0"/>
      </w:pPr>
    </w:p>
    <w:p w14:paraId="0D01B833" w14:textId="77777777" w:rsidR="009A6809" w:rsidRPr="00374CA3" w:rsidRDefault="009A6809" w:rsidP="009A6809">
      <w:pPr>
        <w:spacing w:after="0"/>
        <w:rPr>
          <w:noProof/>
        </w:rPr>
      </w:pPr>
    </w:p>
    <w:p w14:paraId="0D01B834" w14:textId="77777777" w:rsidR="009A6809" w:rsidRPr="00374CA3" w:rsidRDefault="009A6809" w:rsidP="009A6809">
      <w:pPr>
        <w:pStyle w:val="Rubrik1"/>
        <w:spacing w:before="0"/>
      </w:pPr>
      <w:bookmarkStart w:id="14" w:name="_Toc424818112"/>
      <w:r w:rsidRPr="00374CA3">
        <w:rPr>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l'État d’Israël,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bookmarkEnd w:id="14"/>
    </w:p>
    <w:p w14:paraId="0D01B835" w14:textId="0BE9F8DE" w:rsidR="009A6809" w:rsidRPr="004F11F0" w:rsidRDefault="009A6809" w:rsidP="009A6809">
      <w:pPr>
        <w:spacing w:after="0"/>
      </w:pPr>
      <w:r w:rsidRPr="004F11F0">
        <w:br/>
      </w:r>
      <w:r w:rsidRPr="004F11F0">
        <w:rPr>
          <w:noProof/>
        </w:rPr>
        <w:t>10722</w:t>
      </w:r>
      <w:r w:rsidRPr="004F11F0">
        <w:t xml:space="preserve">/15 MAMA 94 MED 31 CFSP/PESC 362 ISR 4 8404/15 MAMA 19 MED 17 CSDP/PSDC 225 ISR 3 UD 96 </w:t>
      </w:r>
    </w:p>
    <w:p w14:paraId="31044579" w14:textId="77777777" w:rsidR="006B6557" w:rsidRPr="004F11F0" w:rsidRDefault="006B6557" w:rsidP="009A6809">
      <w:pPr>
        <w:spacing w:after="0"/>
      </w:pPr>
    </w:p>
    <w:p w14:paraId="0D01B836"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41EF0D18" w14:textId="77777777" w:rsidR="006B6557" w:rsidRPr="00374CA3" w:rsidRDefault="006B6557" w:rsidP="009A6809">
      <w:pPr>
        <w:spacing w:after="0"/>
      </w:pPr>
    </w:p>
    <w:p w14:paraId="0D01B839" w14:textId="77777777"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Att anta ståndpunkt som ska intas på Europeiska unionens vägnar i det associeringsråd som inrättats genom Europa–Medelhavsavtalet om upprättande av en associering mellan Europeiska gemenskaperna och deras medlemsstater, å ena sidan, och Israel, å andra sidan, beträffande ersättande av protokoll 4 till det avtalet, om definition av begreppet ursprungsprodukter och om metoder för administrativt samarbete, med ett nytt protokoll, som vad gäller ursprungsregler hänvisar till den regionala konventionen om Europa–Medelhavstäckande regler om förmånsursprung. </w:t>
      </w:r>
    </w:p>
    <w:p w14:paraId="26141272" w14:textId="77777777" w:rsidR="006B6557" w:rsidRPr="00374CA3" w:rsidRDefault="006B6557" w:rsidP="009A6809">
      <w:pPr>
        <w:spacing w:after="0"/>
      </w:pPr>
    </w:p>
    <w:p w14:paraId="0D01B83A"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5B72062C" w14:textId="77777777" w:rsidR="006B6557" w:rsidRPr="00374CA3" w:rsidRDefault="006B6557" w:rsidP="009A6809">
      <w:pPr>
        <w:spacing w:after="0"/>
        <w:rPr>
          <w:b/>
          <w:bCs/>
        </w:rPr>
      </w:pPr>
    </w:p>
    <w:p w14:paraId="0D01B83B" w14:textId="2EEBC862" w:rsidR="003C341F" w:rsidRPr="00374CA3" w:rsidRDefault="009A6809" w:rsidP="009A6809">
      <w:pPr>
        <w:spacing w:after="0"/>
      </w:pPr>
      <w:r w:rsidRPr="00374CA3">
        <w:rPr>
          <w:b/>
          <w:bCs/>
        </w:rPr>
        <w:t xml:space="preserve">Bakgrund: </w:t>
      </w:r>
      <w:r w:rsidRPr="00374CA3">
        <w:t>Definitionen av ursprungsprodukter i Europa-Medelhavsavtalet måste justeras i ljuset av att Israel har undertecknat den regionala konventionen om Europa-Medelhavstäckande regler om förmånsursprung. Denna justering ska ske genom ett ersättande av nuvarande protokoll 4 med ett nytt protokoll i Europa-Medelhavsavtalet som hänvisar till konventionen. Beslutet kommer att fattas på ett stabiliserings- och associationsråd.</w:t>
      </w:r>
    </w:p>
    <w:p w14:paraId="0D01B83C" w14:textId="77777777" w:rsidR="009A6809" w:rsidRPr="00374CA3" w:rsidRDefault="009A6809" w:rsidP="009A6809">
      <w:pPr>
        <w:spacing w:after="0"/>
        <w:rPr>
          <w:noProof/>
        </w:rPr>
      </w:pPr>
    </w:p>
    <w:p w14:paraId="0D01B83D" w14:textId="155DCAF2" w:rsidR="009A6809" w:rsidRPr="00374CA3" w:rsidRDefault="009A6809" w:rsidP="009A6809">
      <w:pPr>
        <w:pStyle w:val="Rubrik1"/>
        <w:spacing w:before="0"/>
      </w:pPr>
      <w:r w:rsidRPr="00374CA3">
        <w:rPr>
          <w:noProof/>
        </w:rPr>
        <w:t xml:space="preserve"> </w:t>
      </w:r>
      <w:bookmarkStart w:id="15" w:name="_Toc424818113"/>
      <w:r w:rsidRPr="00374CA3">
        <w:rPr>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le Royaume hachémite de Jordanie, d'autre part, en ce qui concerne le remplacement du protocole n° 3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bookmarkEnd w:id="15"/>
    </w:p>
    <w:p w14:paraId="1AE7DDB8" w14:textId="77777777" w:rsidR="00191DF2" w:rsidRPr="004F11F0" w:rsidRDefault="00191DF2" w:rsidP="009A6809">
      <w:pPr>
        <w:spacing w:after="0"/>
        <w:rPr>
          <w:noProof/>
        </w:rPr>
      </w:pPr>
    </w:p>
    <w:p w14:paraId="0D01B83F" w14:textId="1CF58F7C" w:rsidR="009A6809" w:rsidRPr="004F11F0" w:rsidRDefault="009A6809" w:rsidP="009A6809">
      <w:pPr>
        <w:spacing w:after="0"/>
      </w:pPr>
      <w:r w:rsidRPr="004F11F0">
        <w:rPr>
          <w:noProof/>
        </w:rPr>
        <w:t>10717</w:t>
      </w:r>
      <w:r w:rsidRPr="004F11F0">
        <w:t>/15 MAMA 90 MED 27 CFSP/PESC 358 RHJ 10 UD 153 WTO 145</w:t>
      </w:r>
      <w:r w:rsidR="009D2517" w:rsidRPr="004F11F0">
        <w:t xml:space="preserve"> </w:t>
      </w:r>
      <w:r w:rsidRPr="004F11F0">
        <w:t>8421/15 MAMA 21 MED 19 CFSP/PESC 91 RHJ 9 UD 98 WTO 97</w:t>
      </w:r>
      <w:r w:rsidRPr="004F11F0">
        <w:br/>
      </w:r>
    </w:p>
    <w:p w14:paraId="0D01B840"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1C71E99C" w14:textId="77777777" w:rsidR="006B6557" w:rsidRPr="00374CA3" w:rsidRDefault="006B6557" w:rsidP="009A6809">
      <w:pPr>
        <w:spacing w:after="0"/>
      </w:pPr>
    </w:p>
    <w:p w14:paraId="0D01B843" w14:textId="6D474B22"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Att anta ståndpunkt som ska intas på Europeiska unionens vägnar i det associeringsråd som inrättats genom Europa–Medelhavsavtalet om upprättande av en associering mellan Europeiska gemenskaperna och deras medlemsstater, å ena sidan, och Jordanien, å andra sidan, beträffande ersättande av protokoll 3 till det avtalet, om definition av begreppet ursprungsprodukter och om metoder för administrativt samarbete, med ett nytt protokoll, som vad gäller ursprungsregler hänvisar till den regionala konventionen om Europa–Medelhavstäc</w:t>
      </w:r>
      <w:r w:rsidR="006B6557" w:rsidRPr="00374CA3">
        <w:t>kande regler om förmånsursprung.</w:t>
      </w:r>
    </w:p>
    <w:p w14:paraId="0B3143AD" w14:textId="77777777" w:rsidR="006B6557" w:rsidRPr="00374CA3" w:rsidRDefault="006B6557" w:rsidP="009A6809">
      <w:pPr>
        <w:spacing w:after="0"/>
      </w:pPr>
    </w:p>
    <w:p w14:paraId="0D01B844"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76EFF4F3" w14:textId="77777777" w:rsidR="006B6557" w:rsidRPr="00374CA3" w:rsidRDefault="006B6557" w:rsidP="009A6809">
      <w:pPr>
        <w:spacing w:after="0"/>
      </w:pPr>
    </w:p>
    <w:p w14:paraId="0D01B845" w14:textId="77777777" w:rsidR="003C341F" w:rsidRPr="00374CA3" w:rsidRDefault="009A6809" w:rsidP="009A6809">
      <w:pPr>
        <w:spacing w:after="0"/>
      </w:pPr>
      <w:r w:rsidRPr="00374CA3">
        <w:rPr>
          <w:b/>
          <w:bCs/>
        </w:rPr>
        <w:t xml:space="preserve">Bakgrund: </w:t>
      </w:r>
      <w:r w:rsidRPr="00374CA3">
        <w:t>Definitionen av ursprungsprodukter i Europa-Medelhavsavtalet måste justeras i ljuset av att Jordanien har undertecknat den regionala konventionen om Europa-Medelhavstäckande regler om förmånsursprung. Denna justering ska ske genom ett ersättande av nuvarande protokoll 3 med ett nytt protokoll i Europa-Medelhavsavtalet som hänvisar till konventionen. Beslutet kommer att fattas på ett stabiliserings- och associationsråd.</w:t>
      </w:r>
    </w:p>
    <w:p w14:paraId="0D01B846" w14:textId="77777777" w:rsidR="009A6809" w:rsidRPr="00374CA3" w:rsidRDefault="009A6809" w:rsidP="009A6809">
      <w:pPr>
        <w:spacing w:after="0"/>
        <w:rPr>
          <w:noProof/>
        </w:rPr>
      </w:pPr>
    </w:p>
    <w:p w14:paraId="631A438C" w14:textId="77777777" w:rsidR="006B6557" w:rsidRPr="00374CA3" w:rsidRDefault="006B6557" w:rsidP="009A6809">
      <w:pPr>
        <w:spacing w:after="0"/>
        <w:rPr>
          <w:noProof/>
        </w:rPr>
      </w:pPr>
    </w:p>
    <w:p w14:paraId="0D01B847" w14:textId="77777777" w:rsidR="009A6809" w:rsidRPr="00374CA3" w:rsidRDefault="009A6809" w:rsidP="009A6809">
      <w:pPr>
        <w:pStyle w:val="Rubrik1"/>
        <w:spacing w:before="0"/>
      </w:pPr>
      <w:bookmarkStart w:id="16" w:name="_Toc424818114"/>
      <w:r w:rsidRPr="00374CA3">
        <w:rPr>
          <w:noProof/>
        </w:rPr>
        <w:t>Proposition de décision du conseil relative à la position à adopter au nom de l'Union européenne au sein du comité mixte institué par l'accord d'association euro-méditerranéen intérimaire relatif aux échanges et à la coopération entre la Communauté européenne, d'une part, et l'Organisation de libération de la Palestine (OLP), agissant pour le compte de l'Autorité palestinienne de la Cisjordanie et de la bande de Gaza, d'autre part, en ce qui concerne le remplacement du protocole n° 3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bookmarkEnd w:id="16"/>
    </w:p>
    <w:p w14:paraId="0D01B848" w14:textId="492A1FA8" w:rsidR="009A6809" w:rsidRPr="004F11F0" w:rsidRDefault="009A6809" w:rsidP="009A6809">
      <w:pPr>
        <w:spacing w:after="0"/>
      </w:pPr>
      <w:r w:rsidRPr="004F11F0">
        <w:br/>
      </w:r>
      <w:r w:rsidRPr="004F11F0">
        <w:rPr>
          <w:noProof/>
        </w:rPr>
        <w:t>10720</w:t>
      </w:r>
      <w:r w:rsidRPr="004F11F0">
        <w:t>/15 MAMA 92 MED 29 CFSP/PESC 360 PA 2 8452/15 MAMA 23 MED 21 CSDP/PSDC 232 PA 1 UD 99</w:t>
      </w:r>
    </w:p>
    <w:p w14:paraId="25E47A07" w14:textId="77777777" w:rsidR="006B6557" w:rsidRPr="004F11F0" w:rsidRDefault="006B6557" w:rsidP="009A6809">
      <w:pPr>
        <w:spacing w:after="0"/>
      </w:pPr>
    </w:p>
    <w:p w14:paraId="0D01B849"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69E2F3AE" w14:textId="77777777" w:rsidR="006B6557" w:rsidRPr="00374CA3" w:rsidRDefault="006B6557" w:rsidP="009A6809">
      <w:pPr>
        <w:spacing w:after="0"/>
        <w:rPr>
          <w:b/>
        </w:rPr>
      </w:pPr>
    </w:p>
    <w:p w14:paraId="0D01B84C" w14:textId="77777777"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Att anta ståndpunkt som ska intas på Europeiska unionens vägnar i det associeringsråd som inrättats genom Europa–Medelhavsavtalet om upprättande av en associering mellan Europeiska gemenskaperna och deras medlemsstater, å ena sidan, och Palestina, å andra sidan, beträffande ersättande av protokoll 3 till det avtalet, om definition av begreppet ursprungsprodukter och om metoder för administrativt samarbete, med ett nytt protokoll, som vad gäller ursprungsregler hänvisar till den regionala konventionen om Europa–Medelhavstäckande regler om förmånsursprung. </w:t>
      </w:r>
    </w:p>
    <w:p w14:paraId="3421B29D" w14:textId="77777777" w:rsidR="006B6557" w:rsidRPr="00374CA3" w:rsidRDefault="006B6557" w:rsidP="009A6809">
      <w:pPr>
        <w:spacing w:after="0"/>
      </w:pPr>
    </w:p>
    <w:p w14:paraId="0D01B84D" w14:textId="0AA5D2F1" w:rsidR="003C341F" w:rsidRPr="00374CA3" w:rsidRDefault="009A6809" w:rsidP="009A6809">
      <w:pPr>
        <w:spacing w:after="0"/>
      </w:pPr>
      <w:r w:rsidRPr="00374CA3">
        <w:rPr>
          <w:b/>
          <w:bCs/>
        </w:rPr>
        <w:t>Hur regeringen ställer sig till den blivande A-punkten:</w:t>
      </w:r>
      <w:r w:rsidRPr="00374CA3">
        <w:t xml:space="preserve"> </w:t>
      </w:r>
      <w:r w:rsidR="003C0D7D" w:rsidRPr="00374CA3">
        <w:t>Regeringen avser rösta ja.</w:t>
      </w:r>
    </w:p>
    <w:p w14:paraId="21E3C25D" w14:textId="77777777" w:rsidR="006B6557" w:rsidRPr="00374CA3" w:rsidRDefault="006B6557" w:rsidP="009A6809">
      <w:pPr>
        <w:spacing w:after="0"/>
        <w:rPr>
          <w:b/>
          <w:bCs/>
        </w:rPr>
      </w:pPr>
    </w:p>
    <w:p w14:paraId="0D01B84E" w14:textId="77777777" w:rsidR="003C341F" w:rsidRPr="00374CA3" w:rsidRDefault="009A6809" w:rsidP="009A6809">
      <w:pPr>
        <w:spacing w:after="0"/>
      </w:pPr>
      <w:r w:rsidRPr="00374CA3">
        <w:rPr>
          <w:b/>
          <w:bCs/>
        </w:rPr>
        <w:t xml:space="preserve">Bakgrund: </w:t>
      </w:r>
      <w:r w:rsidRPr="00374CA3">
        <w:t>Definitionen av ursprungsprodukter i Europa-Medelhavsavtalet måste justeras i ljuset av att Palestina har undertecknat den regionala konventionen om Europa-Medelhavstäckande regler om förmånsursprung. Denna justering ska ske genom ett ersättande av nuvarande protokoll 3 med ett nytt protokoll i Europa-Medelhavsavtalet som hänvisar till konventionen. Beslutet kommer att fattas på ett stabiliserings- och associationsråd.</w:t>
      </w:r>
    </w:p>
    <w:p w14:paraId="3D4B5A7E" w14:textId="77777777" w:rsidR="006B6557" w:rsidRPr="00374CA3" w:rsidRDefault="006B6557" w:rsidP="009A6809">
      <w:pPr>
        <w:spacing w:after="0"/>
      </w:pPr>
    </w:p>
    <w:p w14:paraId="0D01B84F" w14:textId="77777777" w:rsidR="009A6809" w:rsidRPr="00374CA3" w:rsidRDefault="009A6809" w:rsidP="009A6809">
      <w:pPr>
        <w:spacing w:after="0"/>
        <w:rPr>
          <w:noProof/>
        </w:rPr>
      </w:pPr>
    </w:p>
    <w:p w14:paraId="0D01B850" w14:textId="77777777" w:rsidR="009A6809" w:rsidRPr="00374CA3" w:rsidRDefault="009A6809" w:rsidP="009A6809">
      <w:pPr>
        <w:pStyle w:val="Rubrik1"/>
        <w:spacing w:before="0"/>
      </w:pPr>
      <w:bookmarkStart w:id="17" w:name="_Toc424818115"/>
      <w:r w:rsidRPr="00374CA3">
        <w:rPr>
          <w:noProof/>
        </w:rPr>
        <w:t>Proposition de décision du Conseil relative à la position à adopter au nom de l’Union européenne au sein du Conseil d’association institué par l’accord euro-méditerranéen établissant une association entre les Communautés européennes et leurs États membres, d’une part, et la République tunisienne, d’autre part, en ce qui concerne le remplacement du protocole n° 4 de cet accord, relatif à la définition de la notion de «produits originaires» et aux méthodes de coopération administrative, par un nouveau protocole qui, pour ce qui est des règles d’origine, fait référence à la convention régionale sur les règles d’origine préférentielles paneuro-méditerranéennes</w:t>
      </w:r>
      <w:bookmarkEnd w:id="17"/>
    </w:p>
    <w:p w14:paraId="0D01B851" w14:textId="3195BEAD" w:rsidR="009A6809" w:rsidRPr="004F11F0" w:rsidRDefault="009A6809" w:rsidP="009A6809">
      <w:pPr>
        <w:spacing w:after="0"/>
      </w:pPr>
      <w:r w:rsidRPr="004F11F0">
        <w:br/>
      </w:r>
      <w:r w:rsidRPr="004F11F0">
        <w:rPr>
          <w:noProof/>
        </w:rPr>
        <w:t>10719</w:t>
      </w:r>
      <w:r w:rsidRPr="004F11F0">
        <w:t xml:space="preserve">/15 MAMA 91 MED 28 CFSP/PESC 359 TU 11 8426/15 MAMA 22 MED 20 CFSP/PESC 92 TU 10 </w:t>
      </w:r>
    </w:p>
    <w:p w14:paraId="2CC235C6" w14:textId="77777777" w:rsidR="006B6557" w:rsidRPr="004F11F0" w:rsidRDefault="006B6557" w:rsidP="009A6809">
      <w:pPr>
        <w:spacing w:after="0"/>
      </w:pPr>
    </w:p>
    <w:p w14:paraId="0D01B852"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45D9FCAE" w14:textId="77777777" w:rsidR="006B6557" w:rsidRPr="00374CA3" w:rsidRDefault="006B6557" w:rsidP="009A6809">
      <w:pPr>
        <w:spacing w:after="0"/>
      </w:pPr>
    </w:p>
    <w:p w14:paraId="0D01B855" w14:textId="1DCDC80E"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Att anta ståndpunkt som ska intas på Europeiska unionens vägnar i det associeringsråd som inrättats genom Europa–Medelhavsavtalet om upprättande av en associering mellan Europeiska gemenskaperna och deras medlemsstater, å ena sidan, och Tunisien, å andra sidan, beträffande ersättande av protokoll 4 till det avtalet, om definition av begreppet ursprungsprodukter och om metoder för administrativt samarbete, med ett nytt protokoll, som vad gäller ursprungsregler hänvisar till den regionala konventionen om Europa–Medelhavstäc</w:t>
      </w:r>
      <w:r w:rsidR="006B6557" w:rsidRPr="00374CA3">
        <w:t>kande regler om förmånsursprung.</w:t>
      </w:r>
    </w:p>
    <w:p w14:paraId="6C0A4EB6" w14:textId="77777777" w:rsidR="006B6557" w:rsidRPr="00374CA3" w:rsidRDefault="006B6557" w:rsidP="009A6809">
      <w:pPr>
        <w:spacing w:after="0"/>
      </w:pPr>
    </w:p>
    <w:p w14:paraId="0D01B856"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5388AC36" w14:textId="77777777" w:rsidR="006B6557" w:rsidRPr="00374CA3" w:rsidRDefault="006B6557" w:rsidP="009A6809">
      <w:pPr>
        <w:spacing w:after="0"/>
        <w:rPr>
          <w:b/>
          <w:bCs/>
        </w:rPr>
      </w:pPr>
    </w:p>
    <w:p w14:paraId="0D01B857" w14:textId="77777777" w:rsidR="003C341F" w:rsidRPr="00374CA3" w:rsidRDefault="009A6809" w:rsidP="009A6809">
      <w:pPr>
        <w:spacing w:after="0"/>
      </w:pPr>
      <w:r w:rsidRPr="00374CA3">
        <w:rPr>
          <w:b/>
          <w:bCs/>
        </w:rPr>
        <w:t>Bakgrund</w:t>
      </w:r>
      <w:r w:rsidRPr="00374CA3">
        <w:t>: Definitionen av ursprungsprodukter i Europa-Medelhavsavtalet måste justeras i ljuset av att Tunisien har undertecknat den regionala konventionen om Europa-Medelhavstäckande regler om förmånsursprung. Denna justering ska ske genom ett ersättande av nuvarande protokoll 4 med ett nytt protokoll i Europa-Medelhavsavtalet som hänvisar till konventionen. Beslutet kommer att fattas på ett stabiliserings- och associationsråd.</w:t>
      </w:r>
    </w:p>
    <w:p w14:paraId="0D01B858" w14:textId="77777777" w:rsidR="009A6809" w:rsidRPr="00374CA3" w:rsidRDefault="009A6809" w:rsidP="009A6809">
      <w:pPr>
        <w:spacing w:after="0"/>
        <w:rPr>
          <w:noProof/>
        </w:rPr>
      </w:pPr>
    </w:p>
    <w:p w14:paraId="7A808F4F" w14:textId="77777777" w:rsidR="006B6557" w:rsidRPr="00374CA3" w:rsidRDefault="006B6557" w:rsidP="009A6809">
      <w:pPr>
        <w:spacing w:after="0"/>
        <w:rPr>
          <w:noProof/>
        </w:rPr>
      </w:pPr>
    </w:p>
    <w:p w14:paraId="0D01B859" w14:textId="77777777" w:rsidR="009A6809" w:rsidRPr="00374CA3" w:rsidRDefault="009A6809" w:rsidP="009A6809">
      <w:pPr>
        <w:pStyle w:val="Rubrik1"/>
        <w:spacing w:before="0"/>
      </w:pPr>
      <w:bookmarkStart w:id="18" w:name="_Toc424818116"/>
      <w:r w:rsidRPr="00374CA3">
        <w:rPr>
          <w:noProof/>
        </w:rPr>
        <w:t>Afghanistan</w:t>
      </w:r>
      <w:bookmarkEnd w:id="18"/>
    </w:p>
    <w:p w14:paraId="01DEBAAD" w14:textId="0FED8112" w:rsidR="006B6557" w:rsidRPr="00374CA3" w:rsidRDefault="009A6809" w:rsidP="006B6557">
      <w:pPr>
        <w:pStyle w:val="Liststycke"/>
        <w:numPr>
          <w:ilvl w:val="0"/>
          <w:numId w:val="4"/>
        </w:numPr>
        <w:rPr>
          <w:lang w:val="en-US"/>
        </w:rPr>
      </w:pPr>
      <w:r w:rsidRPr="00374CA3">
        <w:rPr>
          <w:noProof/>
          <w:lang w:val="en-US"/>
        </w:rPr>
        <w:t>=</w:t>
      </w:r>
      <w:r w:rsidRPr="00374CA3">
        <w:rPr>
          <w:lang w:val="en-US"/>
        </w:rPr>
        <w:t>Projet de conclusions du Conseil sur l'Afghanistan</w:t>
      </w:r>
    </w:p>
    <w:p w14:paraId="0D01B85A" w14:textId="044FC57B" w:rsidR="009A6809" w:rsidRPr="00374CA3" w:rsidRDefault="009A6809" w:rsidP="009A6809">
      <w:pPr>
        <w:spacing w:after="0"/>
        <w:rPr>
          <w:lang w:val="en-US"/>
        </w:rPr>
      </w:pPr>
      <w:r w:rsidRPr="00374CA3">
        <w:rPr>
          <w:lang w:val="en-US"/>
        </w:rPr>
        <w:t>10734/15 ASIE 35 COASI 93 CFSP/PESC 367 CIVCOM 132 COHOM 72 JAI 540 COPS 214</w:t>
      </w:r>
      <w:r w:rsidRPr="00374CA3">
        <w:rPr>
          <w:lang w:val="en-US"/>
        </w:rPr>
        <w:br/>
      </w:r>
    </w:p>
    <w:p w14:paraId="0D01B85B"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4762AA8F" w14:textId="77777777" w:rsidR="006B6557" w:rsidRPr="00374CA3" w:rsidRDefault="006B6557" w:rsidP="009A6809">
      <w:pPr>
        <w:spacing w:after="0"/>
        <w:rPr>
          <w:b/>
        </w:rPr>
      </w:pPr>
    </w:p>
    <w:p w14:paraId="0D01B85E"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Anta rådsslutsatser om Afghanistan. </w:t>
      </w:r>
    </w:p>
    <w:p w14:paraId="101381C1" w14:textId="77777777" w:rsidR="006B6557" w:rsidRPr="00374CA3" w:rsidRDefault="006B6557" w:rsidP="009A6809">
      <w:pPr>
        <w:spacing w:after="0"/>
        <w:rPr>
          <w:b/>
          <w:bCs/>
        </w:rPr>
      </w:pPr>
    </w:p>
    <w:p w14:paraId="0D01B85F" w14:textId="77777777" w:rsidR="003C341F" w:rsidRPr="00374CA3" w:rsidRDefault="009A6809" w:rsidP="009A6809">
      <w:pPr>
        <w:spacing w:after="0"/>
      </w:pPr>
      <w:r w:rsidRPr="00374CA3">
        <w:rPr>
          <w:b/>
          <w:bCs/>
        </w:rPr>
        <w:t>Hur regeringen ställer sig till den blivande A-punkten:</w:t>
      </w:r>
      <w:r w:rsidRPr="00374CA3">
        <w:t xml:space="preserve"> Regeringen avser att rösta ja. </w:t>
      </w:r>
    </w:p>
    <w:p w14:paraId="7F94F817" w14:textId="77777777" w:rsidR="006B6557" w:rsidRPr="00374CA3" w:rsidRDefault="006B6557" w:rsidP="006B6557">
      <w:pPr>
        <w:spacing w:after="0"/>
        <w:rPr>
          <w:b/>
          <w:bCs/>
        </w:rPr>
      </w:pPr>
    </w:p>
    <w:p w14:paraId="0D01B861" w14:textId="10FE8A7C" w:rsidR="003C341F" w:rsidRPr="00374CA3" w:rsidRDefault="009A6809" w:rsidP="006B6557">
      <w:pPr>
        <w:spacing w:after="0"/>
      </w:pPr>
      <w:r w:rsidRPr="00374CA3">
        <w:rPr>
          <w:b/>
          <w:bCs/>
        </w:rPr>
        <w:t>Bakgrund:</w:t>
      </w:r>
      <w:r w:rsidR="006B6557" w:rsidRPr="00374CA3">
        <w:t xml:space="preserve"> </w:t>
      </w:r>
      <w:r w:rsidRPr="00374CA3">
        <w:t xml:space="preserve">Rådsslutsatserna välkomnar den första implementeringsrapporten om EU:s Afghanistanstrategi och välkomnar parafferingen av CAPD-avtalet mellan EU och Afghanistan. Rådsslutsatserna skickar en signal till den afghanska regeringen om behovet av implementering av de reformer som regeringen förbundit sig att genomföra. Samtidigt noterar rådsslutsatserna att översynen av Tokyoramverket, som reglerar flera av dessa åtaganden, bör resultera i ett strategiskt dokument med tydligare koppling till olika incitamentsbaserade finansieringsmekanismer (där delar av ett biståndsbelopp blir tillgängliga om samarbetspartnern har uppnått vissa förutbestämda resultat). </w:t>
      </w:r>
    </w:p>
    <w:p w14:paraId="3BF97072" w14:textId="77777777" w:rsidR="006B6557" w:rsidRPr="00374CA3" w:rsidRDefault="006B6557" w:rsidP="006B6557">
      <w:pPr>
        <w:spacing w:after="0"/>
      </w:pPr>
    </w:p>
    <w:p w14:paraId="0D01B862" w14:textId="77777777" w:rsidR="003C341F" w:rsidRPr="00374CA3" w:rsidRDefault="009A6809" w:rsidP="009A6809">
      <w:pPr>
        <w:spacing w:after="0"/>
      </w:pPr>
      <w:r w:rsidRPr="00374CA3">
        <w:t xml:space="preserve">I övrigt välkomnar rådsslutsatserna de framsteg som på senare tid skett i de regionala relationerna och den MR-dialog mellan EU och Afghanistan som genomfördes i juni. Man noterar behovet av kvinnors deltagande i politiska processer, inklusive fredsprocessen. De fortsatta terroristattackerna fördöms. EU uppmuntrar den afghanska regeringen att vidta mer effektiva åtgärder för att hantera de ökade migrationsströmmarna från Afghanistan, samtidigt som man bekräftar att EU:s finansiella stöd fortsatt kommer att rikta sig mot att dämpa migrationens grundorsaker. Rådsslutsatserna uttrycker även stöd för regionalt ekonomiskt samarbete och kommissionen uppmanas att undersöka möjligheterna till att göra finansiering från EIB (Europeiska investeringsbanken) tillgänglig för Afghanistan. Slutligen noteras de afghanska säkerhetsstyrkornas betydelse och EU:s vilja att baserat på lärdomar från EUPOL fortsatt bistå Afghanistan i professionaliseringen av dess civila polis.   </w:t>
      </w:r>
    </w:p>
    <w:p w14:paraId="0D01B863" w14:textId="77777777" w:rsidR="003C341F" w:rsidRPr="00374CA3" w:rsidRDefault="009A6809" w:rsidP="009A6809">
      <w:pPr>
        <w:spacing w:after="0"/>
      </w:pPr>
      <w:r w:rsidRPr="00374CA3">
        <w:br/>
        <w:t>I förhandlingarna om rådsslutsatserna har Sverige drivit frågan om en starkare koppling mellan Tokyoramverket och incitamentsbaserad finansiering, i syfte att driva på den afghanska reformprocessen. Sverige har även påpekat behovet av kvinnligt deltagande i fredsprocessen och i övriga viktiga politiska processer, påpekat behovet av en fortsatt stark FN-närvaro, samt föreslagit ett erkännande av Afghanistans regionala diplomatiska ansträngningar. Sverige har fått gehör för alla dessa frågor som på olika sätt är reflekterade i rådsslutsatserna.</w:t>
      </w:r>
    </w:p>
    <w:p w14:paraId="0D01B864" w14:textId="77777777" w:rsidR="003C341F" w:rsidRPr="00374CA3" w:rsidRDefault="003C341F" w:rsidP="009A6809">
      <w:pPr>
        <w:spacing w:after="0"/>
      </w:pPr>
    </w:p>
    <w:p w14:paraId="141624EB" w14:textId="55BA7792" w:rsidR="006B6557" w:rsidRPr="004F11F0" w:rsidRDefault="009A6809" w:rsidP="009D2517">
      <w:pPr>
        <w:pStyle w:val="Liststycke"/>
        <w:numPr>
          <w:ilvl w:val="0"/>
          <w:numId w:val="4"/>
        </w:numPr>
      </w:pPr>
      <w:r w:rsidRPr="004F11F0">
        <w:rPr>
          <w:noProof/>
        </w:rPr>
        <w:t>=</w:t>
      </w:r>
      <w:r w:rsidRPr="004F11F0">
        <w:t>Examen de la stratégie de l'UE sur Afghanistan</w:t>
      </w:r>
    </w:p>
    <w:p w14:paraId="07A21FED" w14:textId="77777777" w:rsidR="006B6557" w:rsidRPr="004F11F0" w:rsidRDefault="006B6557" w:rsidP="006B6557">
      <w:pPr>
        <w:pStyle w:val="Liststycke"/>
        <w:spacing w:after="0"/>
        <w:ind w:left="1074"/>
      </w:pPr>
    </w:p>
    <w:p w14:paraId="0D01B867" w14:textId="45B6768A" w:rsidR="009A6809" w:rsidRPr="00374CA3" w:rsidRDefault="009A6809" w:rsidP="006B6557">
      <w:pPr>
        <w:spacing w:after="0"/>
        <w:rPr>
          <w:lang w:val="en-US"/>
        </w:rPr>
      </w:pPr>
      <w:r w:rsidRPr="00374CA3">
        <w:rPr>
          <w:lang w:val="en-US"/>
        </w:rPr>
        <w:t>2014-201610748/15 ASIE 37 COASI 95 CFSP/PESC 372 RELEX 574 COTER 103 JAI 543 POLGEN 114 COHOM 73 COHAFA 67 CIVCOM 135 DEVGEN 119</w:t>
      </w:r>
      <w:r w:rsidRPr="00374CA3">
        <w:rPr>
          <w:lang w:val="en-US"/>
        </w:rPr>
        <w:br/>
      </w:r>
    </w:p>
    <w:p w14:paraId="0D01B868"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6C6B6770" w14:textId="77777777" w:rsidR="006B6557" w:rsidRPr="00374CA3" w:rsidRDefault="006B6557" w:rsidP="009A6809">
      <w:pPr>
        <w:spacing w:after="0"/>
        <w:rPr>
          <w:b/>
        </w:rPr>
      </w:pPr>
    </w:p>
    <w:p w14:paraId="0D01B86B"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Godkänna implementeringsrapporten om EU-strategin för Afghanistan.</w:t>
      </w:r>
      <w:r w:rsidRPr="00374CA3">
        <w:rPr>
          <w:b/>
          <w:bCs/>
        </w:rPr>
        <w:t xml:space="preserve"> </w:t>
      </w:r>
    </w:p>
    <w:p w14:paraId="3812C7BA" w14:textId="77777777" w:rsidR="006B6557" w:rsidRPr="00374CA3" w:rsidRDefault="006B6557" w:rsidP="009A6809">
      <w:pPr>
        <w:spacing w:after="0"/>
        <w:rPr>
          <w:b/>
          <w:bCs/>
        </w:rPr>
      </w:pPr>
    </w:p>
    <w:p w14:paraId="0D01B86C" w14:textId="77777777" w:rsidR="003C341F" w:rsidRPr="00374CA3" w:rsidRDefault="009A6809" w:rsidP="009A6809">
      <w:pPr>
        <w:spacing w:after="0"/>
      </w:pPr>
      <w:r w:rsidRPr="00374CA3">
        <w:rPr>
          <w:b/>
          <w:bCs/>
        </w:rPr>
        <w:t>Hur regeringen ställer sig till den blivande A-punkten:</w:t>
      </w:r>
      <w:r w:rsidRPr="00374CA3">
        <w:t xml:space="preserve"> Regeringen avser att rösta ja. </w:t>
      </w:r>
    </w:p>
    <w:p w14:paraId="78FA76EA" w14:textId="77777777" w:rsidR="006B6557" w:rsidRPr="00374CA3" w:rsidRDefault="006B6557" w:rsidP="009A6809">
      <w:pPr>
        <w:spacing w:after="0"/>
        <w:rPr>
          <w:b/>
          <w:bCs/>
        </w:rPr>
      </w:pPr>
    </w:p>
    <w:p w14:paraId="0D01B86E" w14:textId="47679282" w:rsidR="003C341F" w:rsidRPr="00374CA3" w:rsidRDefault="009A6809" w:rsidP="006B6557">
      <w:pPr>
        <w:spacing w:after="0"/>
      </w:pPr>
      <w:r w:rsidRPr="00374CA3">
        <w:rPr>
          <w:b/>
          <w:bCs/>
        </w:rPr>
        <w:t xml:space="preserve">Bakgrund: </w:t>
      </w:r>
      <w:r w:rsidRPr="00374CA3">
        <w:t xml:space="preserve">Rådsslutsatserna om Afghanistan som ska antas den 20 juli förs fram med anledning av den nyligen presenterade </w:t>
      </w:r>
      <w:r w:rsidRPr="00374CA3">
        <w:rPr>
          <w:i/>
          <w:iCs/>
        </w:rPr>
        <w:t xml:space="preserve">Heads of Mission </w:t>
      </w:r>
      <w:r w:rsidRPr="00374CA3">
        <w:t xml:space="preserve">(HoM) rapporten om implementeringen av den i juni 2014 antagna EU-strategin för Afghanistan. EU-strategin bygger vidare på den handlingsplan för Afghanistan och Pakistan som togs fram under det svenska ordförandeskapet hösten 2009. HoM-rapporten, tillsammans med en uppdatering av den implementeringsplan som etablerades som komplement till 2009 års handlingsplan, har förhandlats i Kabul. </w:t>
      </w:r>
    </w:p>
    <w:p w14:paraId="186208B8" w14:textId="77777777" w:rsidR="006B6557" w:rsidRPr="00374CA3" w:rsidRDefault="006B6557" w:rsidP="009A6809">
      <w:pPr>
        <w:spacing w:after="0"/>
      </w:pPr>
    </w:p>
    <w:p w14:paraId="0D01B870" w14:textId="26732EF8" w:rsidR="003C341F" w:rsidRPr="00374CA3" w:rsidRDefault="009A6809" w:rsidP="006B6557">
      <w:pPr>
        <w:spacing w:after="0"/>
      </w:pPr>
      <w:r w:rsidRPr="00374CA3">
        <w:t>Rapporten noterar en mycket ojämn implementering, vilket till stora delar beror på det segdragna efterspelet till presidentvalet, vilket tog mycket kraft från såväl den afghanska regeringen som det internationella samfundet. Rådsslutsatserna välkomnar och endosserar HoM-rapporten.</w:t>
      </w:r>
      <w:r w:rsidR="00E20150" w:rsidRPr="00374CA3">
        <w:t xml:space="preserve"> </w:t>
      </w:r>
    </w:p>
    <w:p w14:paraId="45E98A56" w14:textId="77777777" w:rsidR="00E20150" w:rsidRPr="00374CA3" w:rsidRDefault="00E20150" w:rsidP="006B6557">
      <w:pPr>
        <w:spacing w:after="0"/>
      </w:pPr>
    </w:p>
    <w:p w14:paraId="0D01B871" w14:textId="77777777" w:rsidR="003C341F" w:rsidRPr="00374CA3" w:rsidRDefault="003C341F" w:rsidP="009A6809">
      <w:pPr>
        <w:spacing w:after="0"/>
      </w:pPr>
    </w:p>
    <w:p w14:paraId="0D01B872" w14:textId="77777777" w:rsidR="009A6809" w:rsidRPr="00374CA3" w:rsidRDefault="009A6809" w:rsidP="009A6809">
      <w:pPr>
        <w:pStyle w:val="Rubrik1"/>
        <w:spacing w:before="0"/>
      </w:pPr>
      <w:bookmarkStart w:id="19" w:name="_Toc424818117"/>
      <w:r w:rsidRPr="00374CA3">
        <w:rPr>
          <w:noProof/>
        </w:rPr>
        <w:t>Pakistan</w:t>
      </w:r>
      <w:bookmarkEnd w:id="19"/>
    </w:p>
    <w:p w14:paraId="0D01B87E" w14:textId="3B8FA9B4" w:rsidR="009A6809" w:rsidRPr="00374CA3" w:rsidRDefault="009A6809" w:rsidP="0064792D">
      <w:pPr>
        <w:pStyle w:val="Liststycke"/>
        <w:numPr>
          <w:ilvl w:val="0"/>
          <w:numId w:val="6"/>
        </w:numPr>
        <w:spacing w:after="0"/>
        <w:rPr>
          <w:lang w:val="en-US"/>
        </w:rPr>
      </w:pPr>
      <w:r w:rsidRPr="00374CA3">
        <w:rPr>
          <w:lang w:val="en-US"/>
        </w:rPr>
        <w:t>Projet de conclusions du Conseil sur le Pakistan</w:t>
      </w:r>
      <w:r w:rsidRPr="00374CA3">
        <w:rPr>
          <w:lang w:val="en-US"/>
        </w:rPr>
        <w:br/>
      </w:r>
      <w:r w:rsidRPr="00374CA3">
        <w:rPr>
          <w:noProof/>
          <w:lang w:val="en-US"/>
        </w:rPr>
        <w:t>10737</w:t>
      </w:r>
      <w:r w:rsidRPr="00374CA3">
        <w:rPr>
          <w:lang w:val="en-US"/>
        </w:rPr>
        <w:t>/15 ASIE 36 COASI 94 COPS 215 CFSP/PESC 368</w:t>
      </w:r>
    </w:p>
    <w:p w14:paraId="7EE53E30" w14:textId="77777777" w:rsidR="0064792D" w:rsidRPr="00374CA3" w:rsidRDefault="0064792D" w:rsidP="0064792D">
      <w:pPr>
        <w:pStyle w:val="Liststycke"/>
        <w:spacing w:after="0"/>
        <w:ind w:left="1074"/>
        <w:rPr>
          <w:lang w:val="en-US"/>
        </w:rPr>
      </w:pPr>
    </w:p>
    <w:p w14:paraId="0D01B87F"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582A6CA2" w14:textId="77777777" w:rsidR="0064792D" w:rsidRPr="00374CA3" w:rsidRDefault="0064792D" w:rsidP="009A6809">
      <w:pPr>
        <w:spacing w:after="0"/>
        <w:rPr>
          <w:b/>
        </w:rPr>
      </w:pPr>
    </w:p>
    <w:p w14:paraId="0D01B882"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Anta rådsslutsatser om Pakistan. </w:t>
      </w:r>
    </w:p>
    <w:p w14:paraId="2B452993" w14:textId="77777777" w:rsidR="0064792D" w:rsidRPr="00374CA3" w:rsidRDefault="0064792D" w:rsidP="009A6809">
      <w:pPr>
        <w:spacing w:after="0"/>
      </w:pPr>
    </w:p>
    <w:p w14:paraId="0D01B883" w14:textId="77777777" w:rsidR="003C341F" w:rsidRPr="00374CA3" w:rsidRDefault="009A6809" w:rsidP="009A6809">
      <w:pPr>
        <w:spacing w:after="0"/>
      </w:pPr>
      <w:r w:rsidRPr="00374CA3">
        <w:rPr>
          <w:b/>
          <w:bCs/>
        </w:rPr>
        <w:t xml:space="preserve">Hur regeringen ställer sig till den blivande A-punkten: </w:t>
      </w:r>
      <w:r w:rsidRPr="00374CA3">
        <w:t xml:space="preserve">Regeringen avser att rösta ja. </w:t>
      </w:r>
    </w:p>
    <w:p w14:paraId="6111C789" w14:textId="77777777" w:rsidR="0064792D" w:rsidRPr="00374CA3" w:rsidRDefault="0064792D" w:rsidP="0064792D">
      <w:pPr>
        <w:spacing w:after="0"/>
        <w:rPr>
          <w:b/>
          <w:bCs/>
        </w:rPr>
      </w:pPr>
    </w:p>
    <w:p w14:paraId="0D01B885" w14:textId="0220AC03" w:rsidR="003C341F" w:rsidRPr="00374CA3" w:rsidRDefault="009A6809" w:rsidP="0064792D">
      <w:pPr>
        <w:spacing w:after="0"/>
      </w:pPr>
      <w:r w:rsidRPr="00374CA3">
        <w:rPr>
          <w:b/>
          <w:bCs/>
        </w:rPr>
        <w:t>Bakgrund:</w:t>
      </w:r>
      <w:r w:rsidR="0064792D" w:rsidRPr="00374CA3">
        <w:t xml:space="preserve"> </w:t>
      </w:r>
      <w:r w:rsidRPr="00374CA3">
        <w:t xml:space="preserve">Slutsatserna noterar framsteg i dialogen mellan EU och Pakistan i enlighet med den femåriga gemensamma engagemangsplanen som antogs 2012. Rådsslutsatserna betonar Pakistans roll för att främja fred och välstånd i regionen och välkomnar Pakistans värdskap av kommande ministermöte i den så kallade Heart of Asia-processen. EU uppmanar Pakistan att bygga vidare på de positiva steg landet tagit för att engagera sig konstruktivt med Afghanistan och sträva efter att facilitera afghanska fredssamtal. Vidare uppmanar EU Pakistan att engagera sig konstruktivt i internationella nedrustningsansträngningar. </w:t>
      </w:r>
    </w:p>
    <w:p w14:paraId="0D01B886" w14:textId="77777777" w:rsidR="003C341F" w:rsidRPr="00374CA3" w:rsidRDefault="009A6809" w:rsidP="009A6809">
      <w:pPr>
        <w:spacing w:after="0"/>
      </w:pPr>
      <w:r w:rsidRPr="00374CA3">
        <w:br/>
        <w:t xml:space="preserve">Rådsslutsatserna uttrycker oro över situationen för de mänskliga rättigheterna i Pakistan och uppmanar Pakistan att vidta ytterligare åtgärder för att skydda dem. Slutsatserna lyfter särskilt fram EU:s djupa oro över att Pakistan lyft sitt moratorium mot avrättningar och nu genomför sådana i hög takt, samt uttycker också oro över åtgärder Pakistan vidtagit rörande civilsamhällesorganisationer. EU uppmanar också Pakistan att respektera sina internationella åtaganden kring mänskliga rättigheter och att implementera de internationella konventioner som är ett krav för att ha handelspreferenser med EU enligt det så kallade GSP+-systemet. Rådsslutsatserna uppmanar Pakistan att bygga vidare på de steg landet tagit för att bekämpa terrorism, och bland annat vidta åtgärder för att förebygga religiös förföljelse och reglera religiösa skolor. </w:t>
      </w:r>
    </w:p>
    <w:p w14:paraId="0D01B887" w14:textId="77777777" w:rsidR="003C341F" w:rsidRPr="00374CA3" w:rsidRDefault="009A6809" w:rsidP="009A6809">
      <w:pPr>
        <w:spacing w:after="0"/>
      </w:pPr>
      <w:r w:rsidRPr="00374CA3">
        <w:br/>
        <w:t>Regeringen välkomnar slutsatserna om Pakistan. Det är välkommet att EU lyfter mänskliga rättigheter, återupptagna avrättningar och situationen för civilsamhällesorganisationer. Pakistan har en central roll i att bidra till en positiv utveckling i Afghanistan och i regionen. Det är viktigt att uppmana Pakistan att bidra konstruktivt till internationella nedrustningsprocesser.</w:t>
      </w:r>
    </w:p>
    <w:p w14:paraId="0D01B888" w14:textId="77777777" w:rsidR="003C341F" w:rsidRPr="00374CA3" w:rsidRDefault="003C341F" w:rsidP="009A6809">
      <w:pPr>
        <w:spacing w:after="0"/>
      </w:pPr>
    </w:p>
    <w:p w14:paraId="03F21C4D" w14:textId="69AC4305" w:rsidR="0064792D" w:rsidRPr="00374CA3" w:rsidRDefault="0064792D" w:rsidP="009D2517">
      <w:pPr>
        <w:pStyle w:val="Liststycke"/>
        <w:numPr>
          <w:ilvl w:val="0"/>
          <w:numId w:val="6"/>
        </w:numPr>
        <w:spacing w:after="0"/>
        <w:rPr>
          <w:lang w:val="en-US"/>
        </w:rPr>
      </w:pPr>
      <w:r w:rsidRPr="00374CA3">
        <w:rPr>
          <w:noProof/>
          <w:lang w:val="en-US"/>
        </w:rPr>
        <w:t>=</w:t>
      </w:r>
      <w:r w:rsidR="009D2517" w:rsidRPr="00374CA3">
        <w:rPr>
          <w:noProof/>
          <w:lang w:val="en-US"/>
        </w:rPr>
        <w:t xml:space="preserve"> </w:t>
      </w:r>
      <w:r w:rsidRPr="00374CA3">
        <w:rPr>
          <w:lang w:val="en-US"/>
        </w:rPr>
        <w:t xml:space="preserve">Plan quinquennal de coopération UE-Pakistan - rapport sur la mise en œuvre </w:t>
      </w:r>
    </w:p>
    <w:p w14:paraId="7A346D31" w14:textId="77777777" w:rsidR="0064792D" w:rsidRPr="00374CA3" w:rsidRDefault="0064792D" w:rsidP="0064792D">
      <w:pPr>
        <w:spacing w:after="0"/>
        <w:rPr>
          <w:lang w:val="en-US"/>
        </w:rPr>
      </w:pPr>
      <w:r w:rsidRPr="00374CA3">
        <w:rPr>
          <w:lang w:val="en-US"/>
        </w:rPr>
        <w:br/>
      </w:r>
      <w:r w:rsidRPr="00374CA3">
        <w:rPr>
          <w:noProof/>
          <w:lang w:val="en-US"/>
        </w:rPr>
        <w:t>10749</w:t>
      </w:r>
      <w:r w:rsidRPr="00374CA3">
        <w:rPr>
          <w:lang w:val="en-US"/>
        </w:rPr>
        <w:t>/15 ASIE 38 COASI 96 CFSP/PESC 373 RELEX 575 COTER 104 JAI 544 POLGEN 115 COHOM 74 COHAFA 68 CIVCOM 136 DEVGEN 120</w:t>
      </w:r>
    </w:p>
    <w:p w14:paraId="2892BE60" w14:textId="77777777" w:rsidR="0064792D" w:rsidRPr="004F11F0" w:rsidRDefault="0064792D" w:rsidP="0064792D">
      <w:pPr>
        <w:spacing w:after="0"/>
        <w:rPr>
          <w:b/>
          <w:lang w:val="en-US"/>
        </w:rPr>
      </w:pPr>
    </w:p>
    <w:p w14:paraId="484DEBFC" w14:textId="77777777" w:rsidR="0064792D" w:rsidRPr="00374CA3" w:rsidRDefault="0064792D" w:rsidP="0064792D">
      <w:pPr>
        <w:spacing w:after="0"/>
      </w:pPr>
      <w:r w:rsidRPr="00374CA3">
        <w:rPr>
          <w:b/>
        </w:rPr>
        <w:t>Ansvarigt statsråd</w:t>
      </w:r>
      <w:r w:rsidRPr="00374CA3">
        <w:rPr>
          <w:b/>
        </w:rPr>
        <w:br/>
      </w:r>
      <w:r w:rsidRPr="00374CA3">
        <w:rPr>
          <w:noProof/>
        </w:rPr>
        <w:t>Margot Wallström</w:t>
      </w:r>
    </w:p>
    <w:p w14:paraId="7062EDB3" w14:textId="77777777" w:rsidR="0064792D" w:rsidRPr="00374CA3" w:rsidRDefault="0064792D" w:rsidP="0064792D">
      <w:pPr>
        <w:spacing w:after="0"/>
        <w:rPr>
          <w:b/>
        </w:rPr>
      </w:pPr>
    </w:p>
    <w:p w14:paraId="1E45CCFD" w14:textId="77777777" w:rsidR="0064792D" w:rsidRPr="00374CA3" w:rsidRDefault="0064792D" w:rsidP="0064792D">
      <w:pPr>
        <w:spacing w:after="0"/>
      </w:pPr>
      <w:r w:rsidRPr="00374CA3">
        <w:rPr>
          <w:b/>
        </w:rPr>
        <w:t>Annotering</w:t>
      </w:r>
      <w:r w:rsidRPr="00374CA3">
        <w:rPr>
          <w:b/>
        </w:rPr>
        <w:br/>
      </w:r>
      <w:r w:rsidRPr="00374CA3">
        <w:rPr>
          <w:b/>
          <w:bCs/>
        </w:rPr>
        <w:t xml:space="preserve">Avsikt med behandlingen i rådet: </w:t>
      </w:r>
      <w:r w:rsidRPr="00374CA3">
        <w:t xml:space="preserve">Godkänna 2015 års rapport om genomförandet av EU:s och Pakistans femåriga gemensamma engagemangsplan. </w:t>
      </w:r>
    </w:p>
    <w:p w14:paraId="76D5BB08" w14:textId="77777777" w:rsidR="0064792D" w:rsidRPr="00374CA3" w:rsidRDefault="0064792D" w:rsidP="0064792D">
      <w:pPr>
        <w:spacing w:after="0"/>
      </w:pPr>
    </w:p>
    <w:p w14:paraId="007519CC" w14:textId="77777777" w:rsidR="0064792D" w:rsidRPr="00374CA3" w:rsidRDefault="0064792D" w:rsidP="0064792D">
      <w:pPr>
        <w:spacing w:after="0"/>
      </w:pPr>
      <w:r w:rsidRPr="00374CA3">
        <w:rPr>
          <w:b/>
          <w:bCs/>
        </w:rPr>
        <w:t>Hur regeringen ställer sig till den blivande A-punkten:</w:t>
      </w:r>
      <w:r w:rsidRPr="00374CA3">
        <w:t xml:space="preserve"> Regeringen avser att rösta ja. </w:t>
      </w:r>
    </w:p>
    <w:p w14:paraId="276B4C33" w14:textId="77777777" w:rsidR="0064792D" w:rsidRPr="00374CA3" w:rsidRDefault="0064792D" w:rsidP="0064792D">
      <w:pPr>
        <w:spacing w:after="0"/>
        <w:rPr>
          <w:b/>
          <w:bCs/>
        </w:rPr>
      </w:pPr>
    </w:p>
    <w:p w14:paraId="5A5716FF" w14:textId="77777777" w:rsidR="0064792D" w:rsidRPr="00374CA3" w:rsidRDefault="0064792D" w:rsidP="0064792D">
      <w:pPr>
        <w:spacing w:after="0"/>
      </w:pPr>
      <w:r w:rsidRPr="00374CA3">
        <w:rPr>
          <w:b/>
          <w:bCs/>
        </w:rPr>
        <w:t>Bakgrund:</w:t>
      </w:r>
      <w:r w:rsidRPr="00374CA3">
        <w:t xml:space="preserve"> Det framlagda utkastet på rådsslutsatser för Pakistan refererar till 2015 års rapport om genomförandet av EU:s och Pakistans femåriga gemensamma engagemangsplan (EU-Pakistan 5-Year Engagement Plan).</w:t>
      </w:r>
    </w:p>
    <w:p w14:paraId="5A1A0B24" w14:textId="77777777" w:rsidR="0064792D" w:rsidRPr="00374CA3" w:rsidRDefault="0064792D" w:rsidP="0064792D">
      <w:pPr>
        <w:spacing w:after="0"/>
      </w:pPr>
    </w:p>
    <w:p w14:paraId="342A45C9" w14:textId="77777777" w:rsidR="0064792D" w:rsidRPr="00374CA3" w:rsidRDefault="0064792D" w:rsidP="0064792D">
      <w:pPr>
        <w:spacing w:after="0"/>
      </w:pPr>
      <w:r w:rsidRPr="00374CA3">
        <w:t>Den femåriga planen, som antogs 2012, har erbjudit ett övergripande ramverk för EU:s förbindelser med Pakistan. På begäran av Kommittén för utrikes- och säkerhetspolitik har en implementeringsrapport av planen sammanställts. Rapporten konstaterar i korthet att EU:s dialog med Pakistan framskridit, med bland annat sektorsvisa dialoger om mänskliga rättigheter, icke-spridningsfrågor och antiterrorism. Utvecklingen i landet är blandad, men rapporten lyfter fram oro över MR-läget. Särskilt oroande är att Pakistan, med hänvisning till kampen mot terrorismen, lyft sitt moratorium mot avrättningar och genomfört över 100 avrättningar sedan december 2014.</w:t>
      </w:r>
    </w:p>
    <w:p w14:paraId="7B44C904" w14:textId="77777777" w:rsidR="0064792D" w:rsidRPr="00374CA3" w:rsidRDefault="0064792D" w:rsidP="009A6809">
      <w:pPr>
        <w:spacing w:after="0"/>
      </w:pPr>
    </w:p>
    <w:p w14:paraId="3E509535" w14:textId="77777777" w:rsidR="0064792D" w:rsidRPr="00374CA3" w:rsidRDefault="0064792D" w:rsidP="009A6809">
      <w:pPr>
        <w:spacing w:after="0"/>
      </w:pPr>
    </w:p>
    <w:p w14:paraId="0D01B889" w14:textId="19EF9CFC" w:rsidR="009A6809" w:rsidRPr="00374CA3" w:rsidRDefault="009A6809" w:rsidP="009A6809">
      <w:pPr>
        <w:pStyle w:val="Rubrik1"/>
        <w:spacing w:before="0"/>
      </w:pPr>
      <w:bookmarkStart w:id="20" w:name="_Toc424818118"/>
      <w:r w:rsidRPr="00374CA3">
        <w:rPr>
          <w:noProof/>
        </w:rPr>
        <w:t>Principaux aspects et choix fondamentaux de la PESC (partie II, point E, paragraphe 25, de l'accord interinstitutionnel du 2 décembre 2013) - 2014</w:t>
      </w:r>
      <w:bookmarkEnd w:id="20"/>
    </w:p>
    <w:p w14:paraId="58440187" w14:textId="77777777" w:rsidR="0064792D" w:rsidRPr="004F11F0" w:rsidRDefault="009A6809" w:rsidP="009A6809">
      <w:pPr>
        <w:spacing w:after="0"/>
      </w:pPr>
      <w:r w:rsidRPr="004F11F0">
        <w:rPr>
          <w:noProof/>
        </w:rPr>
        <w:t>=</w:t>
      </w:r>
      <w:r w:rsidRPr="004F11F0">
        <w:t>Projet de rapport annuel de la haute représentante de l'Union européenne pour les affaires étrangères et la politique de sécurité au Parlement européen</w:t>
      </w:r>
    </w:p>
    <w:p w14:paraId="0D01B88B" w14:textId="3385E3A9" w:rsidR="009A6809" w:rsidRPr="00374CA3" w:rsidRDefault="009A6809" w:rsidP="009A6809">
      <w:pPr>
        <w:spacing w:after="0"/>
        <w:rPr>
          <w:lang w:val="en-US"/>
        </w:rPr>
      </w:pPr>
      <w:r w:rsidRPr="004F11F0">
        <w:rPr>
          <w:lang w:val="en-US"/>
        </w:rPr>
        <w:br/>
      </w:r>
      <w:r w:rsidRPr="00374CA3">
        <w:rPr>
          <w:noProof/>
          <w:lang w:val="en-US"/>
        </w:rPr>
        <w:t>10751</w:t>
      </w:r>
      <w:r w:rsidRPr="00374CA3">
        <w:rPr>
          <w:lang w:val="en-US"/>
        </w:rPr>
        <w:t xml:space="preserve">/15 CFSP/PESC 374 FIN 506 10549/15 CFSP/PESC 334 COPS 207 </w:t>
      </w:r>
    </w:p>
    <w:p w14:paraId="15AD46E8" w14:textId="77777777" w:rsidR="0064792D" w:rsidRPr="00374CA3" w:rsidRDefault="0064792D" w:rsidP="009A6809">
      <w:pPr>
        <w:spacing w:after="0"/>
        <w:rPr>
          <w:lang w:val="en-US"/>
        </w:rPr>
      </w:pPr>
    </w:p>
    <w:p w14:paraId="0D01B88C"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1FBE61C0" w14:textId="77777777" w:rsidR="0064792D" w:rsidRPr="00374CA3" w:rsidRDefault="0064792D" w:rsidP="009A6809">
      <w:pPr>
        <w:spacing w:after="0"/>
      </w:pPr>
    </w:p>
    <w:p w14:paraId="0D01B88F" w14:textId="77777777" w:rsidR="009A6809" w:rsidRPr="00374CA3" w:rsidRDefault="009A6809" w:rsidP="009A6809">
      <w:pPr>
        <w:spacing w:after="0"/>
      </w:pPr>
      <w:r w:rsidRPr="00374CA3">
        <w:rPr>
          <w:b/>
        </w:rPr>
        <w:t>Annotering</w:t>
      </w:r>
      <w:r w:rsidRPr="00374CA3">
        <w:rPr>
          <w:b/>
        </w:rPr>
        <w:br/>
      </w:r>
    </w:p>
    <w:p w14:paraId="0D01B890" w14:textId="77777777" w:rsidR="003C341F" w:rsidRPr="00374CA3" w:rsidRDefault="009A6809" w:rsidP="009A6809">
      <w:pPr>
        <w:spacing w:after="0"/>
      </w:pPr>
      <w:r w:rsidRPr="00374CA3">
        <w:rPr>
          <w:b/>
          <w:bCs/>
        </w:rPr>
        <w:t xml:space="preserve">Avsikt med behandlingen i rådet: </w:t>
      </w:r>
      <w:r w:rsidRPr="00374CA3">
        <w:t>Rådet förväntas anta den Höga Representantens rapport till Europaparlamentet avseende huvuddragen för EU:s gemensamma utrikes-och säkerhetspolitik under 2014.</w:t>
      </w:r>
      <w:r w:rsidRPr="00374CA3">
        <w:br/>
      </w:r>
    </w:p>
    <w:p w14:paraId="0D01B891" w14:textId="77777777" w:rsidR="003C341F" w:rsidRPr="00374CA3" w:rsidRDefault="009A6809" w:rsidP="009A6809">
      <w:pPr>
        <w:spacing w:after="0"/>
      </w:pPr>
      <w:r w:rsidRPr="00374CA3">
        <w:rPr>
          <w:b/>
          <w:bCs/>
        </w:rPr>
        <w:t xml:space="preserve">Hur regeringen ställer sig till den blivande A-punkten: </w:t>
      </w:r>
      <w:r w:rsidRPr="00374CA3">
        <w:t xml:space="preserve">Regeringen kan stödja antagandet av rapporten. </w:t>
      </w:r>
    </w:p>
    <w:p w14:paraId="682E6981" w14:textId="77777777" w:rsidR="0064792D" w:rsidRPr="00374CA3" w:rsidRDefault="0064792D" w:rsidP="009A6809">
      <w:pPr>
        <w:spacing w:after="0"/>
      </w:pPr>
    </w:p>
    <w:p w14:paraId="0D01B892" w14:textId="49494DFC" w:rsidR="003C341F" w:rsidRPr="00374CA3" w:rsidRDefault="009A6809" w:rsidP="009A6809">
      <w:pPr>
        <w:spacing w:after="0"/>
      </w:pPr>
      <w:r w:rsidRPr="00374CA3">
        <w:rPr>
          <w:b/>
          <w:bCs/>
        </w:rPr>
        <w:t xml:space="preserve">Bakgrund: </w:t>
      </w:r>
      <w:r w:rsidRPr="00374CA3">
        <w:t xml:space="preserve">EU presenterar årligen en rapport till Europaparlamentet för att informera om föregående års huvudsakliga aspekter och prioriteringar för den gemensamma utrikes-och säkerhetspolitiken. I </w:t>
      </w:r>
      <w:r w:rsidR="0064792D" w:rsidRPr="00374CA3">
        <w:t>r</w:t>
      </w:r>
      <w:r w:rsidRPr="00374CA3">
        <w:t>apporten för 2014 summeras således de viktigaste aspekterna av EU:s externa aktiviteter under 2014, dels regionalt med fokus på händelser i MENA-regionen, västra och östra Afrika samt Östeuropa- och Centralasien, dels inom globala utmaningar såsom antiterrorism, nedrustning- och ickespridning, energisäkerhet, klimat och migration. Vidare summeras de centrala aspekterna av EU:s arbete för främjande av ökat multilateralt samarbete, bistånd och utveckling samt stöd för demokrati, rättsstaten och mänskliga rättigheter, samt huvudsakliga aktiviteter inom den gemensamma sä</w:t>
      </w:r>
      <w:r w:rsidR="0064792D" w:rsidRPr="00374CA3">
        <w:t>kerhets- och försvarspolitiken.</w:t>
      </w:r>
      <w:r w:rsidRPr="00374CA3">
        <w:t xml:space="preserve"> Rapporten innehåller även en framåtblickande del avseende de övergripande inriktningarna för den gemensamma säkerhets- och försvarspolitiken under 2015, där sedan tidigare överenskomna prioriteringar såväl regionalt som inom ovan nämnda politikområden presenteras. </w:t>
      </w:r>
    </w:p>
    <w:p w14:paraId="0D01B893" w14:textId="77777777" w:rsidR="009A6809" w:rsidRPr="00374CA3" w:rsidRDefault="009A6809" w:rsidP="009A6809">
      <w:pPr>
        <w:spacing w:after="0"/>
        <w:rPr>
          <w:noProof/>
        </w:rPr>
      </w:pPr>
    </w:p>
    <w:p w14:paraId="1C418933" w14:textId="77777777" w:rsidR="0064792D" w:rsidRPr="00374CA3" w:rsidRDefault="0064792D" w:rsidP="009A6809">
      <w:pPr>
        <w:spacing w:after="0"/>
        <w:rPr>
          <w:noProof/>
        </w:rPr>
      </w:pPr>
    </w:p>
    <w:p w14:paraId="0D01B894" w14:textId="54831236" w:rsidR="009A6809" w:rsidRPr="00374CA3" w:rsidRDefault="0064792D" w:rsidP="009A6809">
      <w:pPr>
        <w:pStyle w:val="Rubrik1"/>
        <w:spacing w:before="0"/>
      </w:pPr>
      <w:bookmarkStart w:id="21" w:name="_Toc424818119"/>
      <w:r w:rsidRPr="00374CA3">
        <w:rPr>
          <w:noProof/>
        </w:rPr>
        <w:t xml:space="preserve">= </w:t>
      </w:r>
      <w:r w:rsidR="009A6809" w:rsidRPr="00374CA3">
        <w:rPr>
          <w:noProof/>
        </w:rPr>
        <w:t xml:space="preserve">Décision d'exécution du Conseil mettant en œuvre la décision 2012/642/PESC concernant des mesures restrictives à l'encontre de la Biélorussie </w:t>
      </w:r>
      <w:r w:rsidR="009A6809" w:rsidRPr="00374CA3">
        <w:rPr>
          <w:noProof/>
        </w:rPr>
        <w:br/>
        <w:t>=</w:t>
      </w:r>
      <w:r w:rsidRPr="00374CA3">
        <w:rPr>
          <w:noProof/>
        </w:rPr>
        <w:t xml:space="preserve"> </w:t>
      </w:r>
      <w:r w:rsidR="009A6809" w:rsidRPr="00374CA3">
        <w:rPr>
          <w:noProof/>
        </w:rPr>
        <w:t>Règlement d'exécution du Conseil mettant en œuvre le règlement (CE) nº 765/2006 concernant des mesures restrictives à l'encontre de la Biélorussie</w:t>
      </w:r>
      <w:bookmarkEnd w:id="21"/>
    </w:p>
    <w:p w14:paraId="0D01B895" w14:textId="5CD9D56C" w:rsidR="009A6809" w:rsidRPr="00374CA3" w:rsidRDefault="009A6809" w:rsidP="009A6809">
      <w:pPr>
        <w:spacing w:after="0"/>
        <w:rPr>
          <w:lang w:val="en-US"/>
        </w:rPr>
      </w:pPr>
      <w:r w:rsidRPr="004F11F0">
        <w:rPr>
          <w:lang w:val="en-US"/>
        </w:rPr>
        <w:br/>
      </w:r>
      <w:r w:rsidRPr="00374CA3">
        <w:rPr>
          <w:noProof/>
          <w:lang w:val="en-US"/>
        </w:rPr>
        <w:t>10761</w:t>
      </w:r>
      <w:r w:rsidRPr="00374CA3">
        <w:rPr>
          <w:lang w:val="en-US"/>
        </w:rPr>
        <w:t>/15 CORLX 25 CFSP/PESC 378 RELEX 580 COEST 221 FIN 509 10572/15 CORLX 16 CFSP/PESC 342 COEST 213 FIN 495</w:t>
      </w:r>
      <w:r w:rsidR="001101E4" w:rsidRPr="00374CA3">
        <w:rPr>
          <w:lang w:val="en-US"/>
        </w:rPr>
        <w:t xml:space="preserve"> </w:t>
      </w:r>
      <w:r w:rsidRPr="00374CA3">
        <w:rPr>
          <w:lang w:val="en-US"/>
        </w:rPr>
        <w:t xml:space="preserve">10573/15 CORLX 17 CFSP/PESC 343 RELEX 554 COEST 214 FIN 496 </w:t>
      </w:r>
    </w:p>
    <w:p w14:paraId="1A2B0445" w14:textId="77777777" w:rsidR="0064792D" w:rsidRPr="00374CA3" w:rsidRDefault="0064792D" w:rsidP="009A6809">
      <w:pPr>
        <w:spacing w:after="0"/>
        <w:rPr>
          <w:lang w:val="en-US"/>
        </w:rPr>
      </w:pPr>
    </w:p>
    <w:p w14:paraId="0D01B896"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09937FF4" w14:textId="77777777" w:rsidR="0064792D" w:rsidRPr="00374CA3" w:rsidRDefault="0064792D" w:rsidP="009A6809">
      <w:pPr>
        <w:spacing w:after="0"/>
      </w:pPr>
    </w:p>
    <w:p w14:paraId="0D01B897" w14:textId="77777777" w:rsidR="009A6809" w:rsidRPr="00374CA3" w:rsidRDefault="009A6809" w:rsidP="009A6809">
      <w:pPr>
        <w:spacing w:after="0"/>
        <w:rPr>
          <w:noProof/>
        </w:rPr>
      </w:pPr>
      <w:r w:rsidRPr="00374CA3">
        <w:rPr>
          <w:b/>
        </w:rPr>
        <w:t>Tidigare behandling i riksdagen</w:t>
      </w:r>
      <w:r w:rsidRPr="00374CA3">
        <w:rPr>
          <w:b/>
        </w:rPr>
        <w:br/>
      </w:r>
      <w:r w:rsidRPr="00374CA3">
        <w:rPr>
          <w:noProof/>
        </w:rPr>
        <w:t>2014-10-31</w:t>
      </w:r>
    </w:p>
    <w:p w14:paraId="25D14453" w14:textId="77777777" w:rsidR="0064792D" w:rsidRPr="00374CA3" w:rsidRDefault="0064792D" w:rsidP="009A6809">
      <w:pPr>
        <w:spacing w:after="0"/>
      </w:pPr>
    </w:p>
    <w:p w14:paraId="0D01B898" w14:textId="77777777" w:rsidR="009A6809" w:rsidRPr="00374CA3" w:rsidRDefault="009A6809" w:rsidP="009A6809">
      <w:pPr>
        <w:spacing w:after="0"/>
      </w:pPr>
      <w:r w:rsidRPr="00374CA3">
        <w:rPr>
          <w:b/>
        </w:rPr>
        <w:t>Tidigare behandling vid rådsmöte</w:t>
      </w:r>
      <w:r w:rsidRPr="00374CA3">
        <w:rPr>
          <w:b/>
        </w:rPr>
        <w:br/>
      </w:r>
      <w:r w:rsidRPr="00374CA3">
        <w:rPr>
          <w:noProof/>
        </w:rPr>
        <w:t>2015-06-23</w:t>
      </w:r>
    </w:p>
    <w:p w14:paraId="7D129EF7" w14:textId="77777777" w:rsidR="0064792D" w:rsidRPr="00374CA3" w:rsidRDefault="0064792D" w:rsidP="009A6809">
      <w:pPr>
        <w:spacing w:after="0"/>
        <w:rPr>
          <w:b/>
        </w:rPr>
      </w:pPr>
    </w:p>
    <w:p w14:paraId="0D01B899" w14:textId="582D8760"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w:t>
      </w:r>
      <w:r w:rsidR="001101E4" w:rsidRPr="00374CA3">
        <w:t>A</w:t>
      </w:r>
      <w:r w:rsidRPr="00374CA3">
        <w:t xml:space="preserve">tt anta genomförandebeslut och genomförandeförordning inom ramen för restriktiva åtgärder mot Vitryssland. </w:t>
      </w:r>
    </w:p>
    <w:p w14:paraId="002D11F5" w14:textId="77777777" w:rsidR="0064792D" w:rsidRPr="00374CA3" w:rsidRDefault="0064792D" w:rsidP="009A6809">
      <w:pPr>
        <w:spacing w:after="0"/>
      </w:pPr>
    </w:p>
    <w:p w14:paraId="0D01B89A"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75E8AA13" w14:textId="77777777" w:rsidR="0064792D" w:rsidRPr="00374CA3" w:rsidRDefault="0064792D" w:rsidP="009A6809">
      <w:pPr>
        <w:spacing w:after="0"/>
        <w:rPr>
          <w:b/>
          <w:bCs/>
        </w:rPr>
      </w:pPr>
    </w:p>
    <w:p w14:paraId="0D01B89B" w14:textId="77777777" w:rsidR="003C341F" w:rsidRPr="00374CA3" w:rsidRDefault="009A6809" w:rsidP="009A6809">
      <w:pPr>
        <w:spacing w:after="0"/>
      </w:pPr>
      <w:r w:rsidRPr="00374CA3">
        <w:rPr>
          <w:b/>
          <w:bCs/>
        </w:rPr>
        <w:t xml:space="preserve">Bakgrund: </w:t>
      </w:r>
      <w:r w:rsidRPr="00374CA3">
        <w:t>Gällande rådsbeslut för sanktionslistningarna avseende Vitryssland löper ut den 31 oktober 2015. I samband med att rådet inledde förberedelserna inför den årliga översynen konstaterades 24 fall av juridiskt svaga motiveringar. Enighet råder om att nu gå vidare med avlistningarna av de juridiskt svaga fallen, frikopplat från den årliga översynen av sanktionsregimen. Den senare inleds i september och kommer också att ta hänsyn till förberedelserna inför kommande presidentval i Vitryssland, 11 oktober 2015.</w:t>
      </w:r>
    </w:p>
    <w:p w14:paraId="2ECD21AB" w14:textId="3C68AF96" w:rsidR="0064792D" w:rsidRPr="00374CA3" w:rsidRDefault="0064792D" w:rsidP="0064792D">
      <w:pPr>
        <w:spacing w:after="0"/>
      </w:pPr>
    </w:p>
    <w:p w14:paraId="0D01B89C" w14:textId="77777777" w:rsidR="009A6809" w:rsidRPr="00374CA3" w:rsidRDefault="009A6809" w:rsidP="009A6809">
      <w:pPr>
        <w:spacing w:after="0"/>
        <w:rPr>
          <w:noProof/>
        </w:rPr>
      </w:pPr>
    </w:p>
    <w:p w14:paraId="0D01B89D" w14:textId="04F91C67" w:rsidR="009A6809" w:rsidRPr="00374CA3" w:rsidRDefault="0064792D" w:rsidP="009A6809">
      <w:pPr>
        <w:pStyle w:val="Rubrik1"/>
        <w:spacing w:before="0"/>
      </w:pPr>
      <w:bookmarkStart w:id="22" w:name="_Toc424818120"/>
      <w:r w:rsidRPr="00374CA3">
        <w:rPr>
          <w:noProof/>
        </w:rPr>
        <w:t xml:space="preserve">= </w:t>
      </w:r>
      <w:r w:rsidR="009A6809" w:rsidRPr="00374CA3">
        <w:rPr>
          <w:noProof/>
        </w:rPr>
        <w:t>Décision du Conseil portant mise à jour et modification de la liste de personnes, groupes et entités auxquels s'appliquent les articles 2, 3 et 4 de la position commune 2001/931/PESC relative à l'application de mesures spécifiques en vue de lutter contre le terrorisme, et abrogeant la décision (PESC) 2015/521</w:t>
      </w:r>
      <w:r w:rsidR="009A6809" w:rsidRPr="00374CA3">
        <w:rPr>
          <w:noProof/>
        </w:rPr>
        <w:br/>
        <w:t>=</w:t>
      </w:r>
      <w:r w:rsidRPr="00374CA3">
        <w:rPr>
          <w:noProof/>
        </w:rPr>
        <w:t xml:space="preserve"> </w:t>
      </w:r>
      <w:r w:rsidR="009A6809" w:rsidRPr="00374CA3">
        <w:rPr>
          <w:noProof/>
        </w:rPr>
        <w:t>Règlement d'exécution du Conseil mettant en œuvre l'article 2, paragraphe 3, du règlement (CE) n° 2580/2001 concernant l'adoption de mesures restrictives spécifiques à l'encontre de certaines personnes et entités dans le cadre de la lutte contre le terrorisme et abrogeant le règlement d'exécution (UE) n° 2015/513</w:t>
      </w:r>
      <w:bookmarkEnd w:id="22"/>
    </w:p>
    <w:p w14:paraId="0D01B89E" w14:textId="65AF4610" w:rsidR="009A6809" w:rsidRPr="004F11F0" w:rsidRDefault="009A6809" w:rsidP="009A6809">
      <w:pPr>
        <w:spacing w:after="0"/>
      </w:pPr>
      <w:r w:rsidRPr="004F11F0">
        <w:br/>
      </w:r>
      <w:r w:rsidRPr="004F11F0">
        <w:rPr>
          <w:noProof/>
        </w:rPr>
        <w:t>10738</w:t>
      </w:r>
      <w:r w:rsidRPr="004F11F0">
        <w:t>/15 CORLX 23 COTER 102 CFSP/PESC 369 RELEX 571 FIN 505+ ADD 110500/15 CORLX 7 COTER 93 CFSP/PESC 329 RELEX 542 FIN 482</w:t>
      </w:r>
      <w:r w:rsidR="001101E4" w:rsidRPr="004F11F0">
        <w:t xml:space="preserve"> </w:t>
      </w:r>
      <w:r w:rsidRPr="004F11F0">
        <w:t xml:space="preserve">10502/15 CORLX 8 COTER 94 CFSP/PESC 330 RELEX 543 FIN 483 </w:t>
      </w:r>
    </w:p>
    <w:p w14:paraId="7D76F158" w14:textId="77777777" w:rsidR="0064792D" w:rsidRPr="004F11F0" w:rsidRDefault="0064792D" w:rsidP="009A6809">
      <w:pPr>
        <w:spacing w:after="0"/>
      </w:pPr>
    </w:p>
    <w:p w14:paraId="0D01B89F"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1C76A56C" w14:textId="77777777" w:rsidR="0064792D" w:rsidRPr="00374CA3" w:rsidRDefault="0064792D" w:rsidP="009A6809">
      <w:pPr>
        <w:spacing w:after="0"/>
        <w:rPr>
          <w:b/>
        </w:rPr>
      </w:pPr>
    </w:p>
    <w:p w14:paraId="0D01B8A3" w14:textId="64BE2051" w:rsidR="003C341F"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Rådet föreslås anta rådsbeslut enligt artikel 29 i EU-fördraget om uppdatering och ändring av förteckningen över personer, grupper och enheter som omfattas av artiklarna 3, 3 och 4 i gemensam ståndpunkt 2001/931/GUSP om tillämpning av särskilda åtgärder i syfte att bekämpa terrorism och om upphävande av rådsbeslut 2015/521/GUSP samt genomförandeförordning av artikel 2.3 i rådets förordning (EG) nr 2580/2001 om särskilda restriktiva åtgärder mot vissa personer och enheter i syfte att bekämpa terrorism och om upphävande av genomförandeförordning (EU) nr 2015/513.</w:t>
      </w:r>
    </w:p>
    <w:p w14:paraId="47C4D221" w14:textId="77777777" w:rsidR="0064792D" w:rsidRPr="00374CA3" w:rsidRDefault="0064792D" w:rsidP="009A6809">
      <w:pPr>
        <w:spacing w:after="0"/>
      </w:pPr>
    </w:p>
    <w:p w14:paraId="0D01B8A4" w14:textId="77777777" w:rsidR="003C341F" w:rsidRPr="00374CA3" w:rsidRDefault="009A6809" w:rsidP="009A6809">
      <w:pPr>
        <w:spacing w:after="0"/>
      </w:pPr>
      <w:r w:rsidRPr="00374CA3">
        <w:rPr>
          <w:b/>
          <w:bCs/>
        </w:rPr>
        <w:t xml:space="preserve">Hur regeringen ställer sig till den blivande A-punkten: </w:t>
      </w:r>
      <w:r w:rsidRPr="00374CA3">
        <w:t>Regeringen avser rösta ja efter planerat regeringsbeslut den 23 juli.</w:t>
      </w:r>
    </w:p>
    <w:p w14:paraId="7EC5144E" w14:textId="77777777" w:rsidR="0064792D" w:rsidRPr="00374CA3" w:rsidRDefault="0064792D" w:rsidP="009A6809">
      <w:pPr>
        <w:spacing w:after="0"/>
      </w:pPr>
    </w:p>
    <w:p w14:paraId="56AEDAAE" w14:textId="2BDDB1FE" w:rsidR="0064792D" w:rsidRPr="00374CA3" w:rsidRDefault="009A6809" w:rsidP="009A6809">
      <w:pPr>
        <w:spacing w:after="0"/>
      </w:pPr>
      <w:r w:rsidRPr="00374CA3">
        <w:rPr>
          <w:b/>
          <w:bCs/>
        </w:rPr>
        <w:t xml:space="preserve">Bakgrund: </w:t>
      </w:r>
      <w:r w:rsidRPr="00374CA3">
        <w:t>Den 27 december 2001 antog Europeiska unionens råd en gemensam ståndpunkt om tillämpning av särskilda åtgärder i syfte att bekämpa terrorism (2001/931/GUSP). Enligt artikel 1.1 i ståndpunkten ska den tillämpas på personer, grupper och enheter som deltar i terroristhandlingar och finns förtecknade i en bilaga. Namnen på de personer och enheter som finns i förteckningen i bilagan ska ses över med jämna mellanrum, minst en gång var sjätte månad, för att man ska försäkra sig om att det är berättigat att behålla dem i förteckningen. Förteckningen ändrades senast den 26 mars 2015 genom rådsbeslut 2015/521/GUSP. Operativt regleras åtgärderna enligt gemensam ståndpunkt 2001/931/GUSP i rådets förordning (EG) nr 2580/2001. Förordningen ändrades senast samma dag som rådsbeslutet, genom genomförandeförordningen (EU) 2015/513.</w:t>
      </w:r>
      <w:r w:rsidRPr="00374CA3">
        <w:br/>
      </w:r>
    </w:p>
    <w:p w14:paraId="0D01B8A5" w14:textId="5ACCF87D" w:rsidR="003C341F" w:rsidRPr="00374CA3" w:rsidRDefault="009A6809" w:rsidP="009A6809">
      <w:pPr>
        <w:spacing w:after="0"/>
      </w:pPr>
      <w:r w:rsidRPr="00374CA3">
        <w:t xml:space="preserve">Genom det nu föreslagna rådsbeslutet och genomförandeförordningen uppdateras ovan nämnda förteckning i bilagan till den gemensamma ståndpunkten 2001/931 vad avser de listade som omfattas av frysning av tillgångar, samt upphävs den senaste uppdateringen i den del som berör dessa. Medan förteckningen över de listade lämnas oförändrad uppdateras motiveringarna för tre grupper och fyra personer. </w:t>
      </w:r>
    </w:p>
    <w:p w14:paraId="78E3EB76" w14:textId="77777777" w:rsidR="0064792D" w:rsidRPr="00374CA3" w:rsidRDefault="0064792D" w:rsidP="009A6809">
      <w:pPr>
        <w:spacing w:after="0"/>
      </w:pPr>
    </w:p>
    <w:p w14:paraId="0D01B8A6" w14:textId="77777777" w:rsidR="009A6809" w:rsidRPr="00374CA3" w:rsidRDefault="009A6809" w:rsidP="009A6809">
      <w:pPr>
        <w:spacing w:after="0"/>
        <w:rPr>
          <w:noProof/>
        </w:rPr>
      </w:pPr>
    </w:p>
    <w:p w14:paraId="0D01B8A7" w14:textId="77777777" w:rsidR="009A6809" w:rsidRPr="004F11F0" w:rsidRDefault="009A6809" w:rsidP="009A6809">
      <w:pPr>
        <w:pStyle w:val="Rubrik1"/>
        <w:spacing w:before="0"/>
        <w:rPr>
          <w:lang w:val="en-US"/>
        </w:rPr>
      </w:pPr>
      <w:bookmarkStart w:id="23" w:name="_Toc424818121"/>
      <w:r w:rsidRPr="004F11F0">
        <w:rPr>
          <w:noProof/>
          <w:lang w:val="en-US"/>
        </w:rPr>
        <w:t>Mesures restrictives à l'encontre de la Biélorussie</w:t>
      </w:r>
      <w:bookmarkEnd w:id="23"/>
      <w:r w:rsidRPr="004F11F0">
        <w:rPr>
          <w:noProof/>
          <w:lang w:val="en-US"/>
        </w:rPr>
        <w:t xml:space="preserve"> </w:t>
      </w:r>
    </w:p>
    <w:p w14:paraId="4C000F53" w14:textId="77777777" w:rsidR="0064792D" w:rsidRPr="00374CA3" w:rsidRDefault="009A6809" w:rsidP="009A6809">
      <w:pPr>
        <w:spacing w:after="0"/>
        <w:rPr>
          <w:lang w:val="en-US"/>
        </w:rPr>
      </w:pPr>
      <w:r w:rsidRPr="00374CA3">
        <w:rPr>
          <w:noProof/>
          <w:lang w:val="en-US"/>
        </w:rPr>
        <w:t>=</w:t>
      </w:r>
      <w:r w:rsidRPr="00374CA3">
        <w:rPr>
          <w:lang w:val="en-US"/>
        </w:rPr>
        <w:t>Notifications préalables</w:t>
      </w:r>
    </w:p>
    <w:p w14:paraId="0D01B8A8" w14:textId="01E0D0EF" w:rsidR="009A6809" w:rsidRPr="00374CA3" w:rsidRDefault="009A6809" w:rsidP="009A6809">
      <w:pPr>
        <w:spacing w:after="0"/>
        <w:rPr>
          <w:lang w:val="en-US"/>
        </w:rPr>
      </w:pPr>
      <w:r w:rsidRPr="00374CA3">
        <w:rPr>
          <w:lang w:val="en-US"/>
        </w:rPr>
        <w:br/>
      </w:r>
      <w:r w:rsidRPr="00374CA3">
        <w:rPr>
          <w:noProof/>
          <w:lang w:val="en-US"/>
        </w:rPr>
        <w:t>10757</w:t>
      </w:r>
      <w:r w:rsidRPr="00374CA3">
        <w:rPr>
          <w:lang w:val="en-US"/>
        </w:rPr>
        <w:t>/15 CORLX 24 CFSP/PESC 375 RELEX 577 COEST 220 FIN 508</w:t>
      </w:r>
    </w:p>
    <w:p w14:paraId="2FF5C059" w14:textId="77777777" w:rsidR="0064792D" w:rsidRPr="00374CA3" w:rsidRDefault="0064792D" w:rsidP="009A6809">
      <w:pPr>
        <w:spacing w:after="0"/>
        <w:rPr>
          <w:lang w:val="en-US"/>
        </w:rPr>
      </w:pPr>
    </w:p>
    <w:p w14:paraId="0D01B8A9"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1111EC4C" w14:textId="77777777" w:rsidR="0064792D" w:rsidRPr="00374CA3" w:rsidRDefault="0064792D" w:rsidP="009A6809">
      <w:pPr>
        <w:spacing w:after="0"/>
      </w:pPr>
    </w:p>
    <w:p w14:paraId="0D01B8AB" w14:textId="77777777" w:rsidR="009A6809" w:rsidRPr="00374CA3" w:rsidRDefault="009A6809" w:rsidP="009A6809">
      <w:pPr>
        <w:spacing w:after="0"/>
        <w:rPr>
          <w:noProof/>
        </w:rPr>
      </w:pPr>
      <w:r w:rsidRPr="00374CA3">
        <w:rPr>
          <w:b/>
        </w:rPr>
        <w:t>Tidigare behandling vid rådsmöte</w:t>
      </w:r>
      <w:r w:rsidRPr="00374CA3">
        <w:rPr>
          <w:b/>
        </w:rPr>
        <w:br/>
      </w:r>
      <w:r w:rsidRPr="00374CA3">
        <w:rPr>
          <w:noProof/>
        </w:rPr>
        <w:t>2015-07-09</w:t>
      </w:r>
    </w:p>
    <w:p w14:paraId="4EB3AB44" w14:textId="77777777" w:rsidR="0064792D" w:rsidRPr="00374CA3" w:rsidRDefault="0064792D" w:rsidP="009A6809">
      <w:pPr>
        <w:spacing w:after="0"/>
      </w:pPr>
    </w:p>
    <w:p w14:paraId="0D01B8AC" w14:textId="068035B9"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w:t>
      </w:r>
      <w:r w:rsidR="001101E4" w:rsidRPr="00374CA3">
        <w:t>A</w:t>
      </w:r>
      <w:r w:rsidRPr="00374CA3">
        <w:t xml:space="preserve">tt godkänna ändrade listningsmotiveringar samt utkast till not och meddelande för prenotifiering. </w:t>
      </w:r>
    </w:p>
    <w:p w14:paraId="00A3FE60" w14:textId="77777777" w:rsidR="0064792D" w:rsidRPr="00374CA3" w:rsidRDefault="0064792D" w:rsidP="009A6809">
      <w:pPr>
        <w:spacing w:after="0"/>
      </w:pPr>
    </w:p>
    <w:p w14:paraId="0D01B8AD"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w:t>
      </w:r>
    </w:p>
    <w:p w14:paraId="126275CA" w14:textId="77777777" w:rsidR="0064792D" w:rsidRPr="00374CA3" w:rsidRDefault="0064792D" w:rsidP="009A6809">
      <w:pPr>
        <w:spacing w:after="0"/>
      </w:pPr>
    </w:p>
    <w:p w14:paraId="0D01B8AE" w14:textId="77777777" w:rsidR="003C341F" w:rsidRPr="00374CA3" w:rsidRDefault="009A6809" w:rsidP="009A6809">
      <w:pPr>
        <w:spacing w:after="0"/>
      </w:pPr>
      <w:r w:rsidRPr="00374CA3">
        <w:rPr>
          <w:b/>
          <w:bCs/>
        </w:rPr>
        <w:t xml:space="preserve">Bakgrund: </w:t>
      </w:r>
      <w:r w:rsidRPr="00374CA3">
        <w:t xml:space="preserve">Gällande rådsbeslut från 2012 för sanktionslistningarna avseende Vitryssland löper ut den 31 oktober 2015. I samband med att rådet inledde förberedelserna inför den årliga översynen konstaterades 24 fall av juridiskt svaga motiveringar. Den 23 juni nåddes enighet om att omedelbart gå vidare med avlistningarna av de juridiskt svaga fallen, frikopplat från den årliga översynen av sanktionsregimen. Den senare inleds i september och kommer också att ta hänsyn till förberedelserna inför kommande presidentval i Vitryssland, 11 oktober 2015. Det aktuella rådsbeslutet avser prenotifiering till berörda listade individer om ändringar i sanktionsregimen. </w:t>
      </w:r>
    </w:p>
    <w:p w14:paraId="43B6BAF9" w14:textId="77777777" w:rsidR="0064792D" w:rsidRPr="00374CA3" w:rsidRDefault="0064792D" w:rsidP="009A6809">
      <w:pPr>
        <w:spacing w:after="0"/>
      </w:pPr>
    </w:p>
    <w:p w14:paraId="0D01B8AF" w14:textId="77777777" w:rsidR="009A6809" w:rsidRPr="00374CA3" w:rsidRDefault="009A6809" w:rsidP="009A6809">
      <w:pPr>
        <w:spacing w:after="0"/>
        <w:rPr>
          <w:noProof/>
        </w:rPr>
      </w:pPr>
    </w:p>
    <w:p w14:paraId="0D01B8B0" w14:textId="77777777" w:rsidR="009A6809" w:rsidRPr="00374CA3" w:rsidRDefault="009A6809" w:rsidP="009A6809">
      <w:pPr>
        <w:pStyle w:val="Rubrik1"/>
        <w:spacing w:before="0"/>
      </w:pPr>
      <w:bookmarkStart w:id="24" w:name="_Toc424818122"/>
      <w:r w:rsidRPr="00374CA3">
        <w:rPr>
          <w:noProof/>
        </w:rPr>
        <w:t>Rapport semestriel sur l'état d'avancement des travaux concernant la mise en œuvre de la stratégie de l'UE contre la prolifération des armes de destruction massive (2015/I)</w:t>
      </w:r>
      <w:bookmarkEnd w:id="24"/>
    </w:p>
    <w:p w14:paraId="6BEFB4AD" w14:textId="77777777" w:rsidR="0064792D" w:rsidRPr="004F11F0" w:rsidRDefault="0064792D" w:rsidP="009A6809">
      <w:pPr>
        <w:spacing w:after="0"/>
      </w:pPr>
    </w:p>
    <w:p w14:paraId="050686AE" w14:textId="77777777" w:rsidR="00374CA3" w:rsidRPr="00374CA3" w:rsidRDefault="00374CA3" w:rsidP="00374CA3">
      <w:pPr>
        <w:spacing w:after="0"/>
        <w:rPr>
          <w:lang w:val="fr-BE"/>
        </w:rPr>
      </w:pPr>
      <w:r w:rsidRPr="00374CA3">
        <w:rPr>
          <w:lang w:val="fr-BE"/>
        </w:rPr>
        <w:t xml:space="preserve">10658/15  CONOP 69  CODUN 20  CFSP/PESC 352  </w:t>
      </w:r>
    </w:p>
    <w:p w14:paraId="666970DD" w14:textId="77777777" w:rsidR="00374CA3" w:rsidRPr="00374CA3" w:rsidRDefault="00374CA3" w:rsidP="00374CA3">
      <w:pPr>
        <w:spacing w:after="0"/>
        <w:rPr>
          <w:lang w:val="fr-BE"/>
        </w:rPr>
      </w:pPr>
      <w:r w:rsidRPr="00374CA3">
        <w:rPr>
          <w:lang w:val="fr-BE"/>
        </w:rPr>
        <w:t>10503/15  CONOP 63  CODUN 19  CFSP/PESC 331</w:t>
      </w:r>
    </w:p>
    <w:p w14:paraId="0D01B8B3"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434E94A0" w14:textId="77777777" w:rsidR="0064792D" w:rsidRPr="00374CA3" w:rsidRDefault="0064792D" w:rsidP="009A6809">
      <w:pPr>
        <w:spacing w:after="0"/>
        <w:rPr>
          <w:b/>
        </w:rPr>
      </w:pPr>
    </w:p>
    <w:p w14:paraId="0D01B8B7" w14:textId="536A790D" w:rsidR="003C341F"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Rådet föreslås godkänna den senaste sexmånadersrapporten om implementeringen av EU:s strategi mot spridning av massförstörelsevapen.</w:t>
      </w:r>
    </w:p>
    <w:p w14:paraId="629A4589" w14:textId="77777777" w:rsidR="0064792D" w:rsidRPr="00374CA3" w:rsidRDefault="0064792D" w:rsidP="009A6809">
      <w:pPr>
        <w:spacing w:after="0"/>
      </w:pPr>
    </w:p>
    <w:p w14:paraId="0D01B8B8" w14:textId="77777777" w:rsidR="003C341F" w:rsidRPr="00374CA3" w:rsidRDefault="009A6809" w:rsidP="009A6809">
      <w:pPr>
        <w:spacing w:after="0"/>
      </w:pPr>
      <w:r w:rsidRPr="00374CA3">
        <w:rPr>
          <w:b/>
          <w:bCs/>
        </w:rPr>
        <w:t xml:space="preserve">Hur regeringen ställer sig till den blivande A-punkten: </w:t>
      </w:r>
      <w:r w:rsidRPr="00374CA3">
        <w:t>Regeringen avser rösta ja till förslaget.</w:t>
      </w:r>
    </w:p>
    <w:p w14:paraId="09E0FDCB" w14:textId="77777777" w:rsidR="0064792D" w:rsidRPr="00374CA3" w:rsidRDefault="0064792D" w:rsidP="009A6809">
      <w:pPr>
        <w:spacing w:after="0"/>
      </w:pPr>
    </w:p>
    <w:p w14:paraId="0D01B8B9" w14:textId="73022534" w:rsidR="003C341F" w:rsidRPr="00374CA3" w:rsidRDefault="009A6809" w:rsidP="009A6809">
      <w:pPr>
        <w:spacing w:after="0"/>
      </w:pPr>
      <w:r w:rsidRPr="00374CA3">
        <w:rPr>
          <w:b/>
          <w:bCs/>
        </w:rPr>
        <w:t xml:space="preserve">Bakgrund: </w:t>
      </w:r>
      <w:r w:rsidRPr="00374CA3">
        <w:t xml:space="preserve">EU:s strategi mot spridning av massförstörelsevapen – ”EU Strategy against proliferation of Weapons of Mass Destruction” – antogs av Europeiska rådet 2003. I strategin sägs bl.a. att massförstörelsevapen utgör ett hot mot internationell fred och säkerhet och att EU måste agera beslutsamt mot detta hot. Målsättningen är att förebygga och stoppa spridning av massförstörelsevapen. Var sjätte månad sammanställs en framstegsrapport med de åtgärder som EU vidtagit på området. </w:t>
      </w:r>
    </w:p>
    <w:p w14:paraId="0D01B8BA" w14:textId="77777777" w:rsidR="009A6809" w:rsidRPr="00374CA3" w:rsidRDefault="009A6809" w:rsidP="009A6809">
      <w:pPr>
        <w:spacing w:after="0"/>
        <w:rPr>
          <w:noProof/>
        </w:rPr>
      </w:pPr>
    </w:p>
    <w:p w14:paraId="0FBFEBEA" w14:textId="77777777" w:rsidR="0064792D" w:rsidRPr="00374CA3" w:rsidRDefault="0064792D" w:rsidP="009A6809">
      <w:pPr>
        <w:spacing w:after="0"/>
        <w:rPr>
          <w:noProof/>
        </w:rPr>
      </w:pPr>
    </w:p>
    <w:p w14:paraId="0D01B8BB" w14:textId="345A241E" w:rsidR="009A6809" w:rsidRPr="004F11F0" w:rsidRDefault="009A6809" w:rsidP="009A6809">
      <w:pPr>
        <w:pStyle w:val="Rubrik1"/>
        <w:spacing w:before="0"/>
        <w:rPr>
          <w:lang w:val="en-US"/>
        </w:rPr>
      </w:pPr>
      <w:bookmarkStart w:id="25" w:name="_Toc424818123"/>
      <w:r w:rsidRPr="004F11F0">
        <w:rPr>
          <w:noProof/>
          <w:lang w:val="en-US"/>
        </w:rPr>
        <w:t>Projet de conclusions du Conseil sur la République Centrafricaine</w:t>
      </w:r>
      <w:bookmarkEnd w:id="25"/>
    </w:p>
    <w:p w14:paraId="0D01B8BC" w14:textId="4CA6AE2A" w:rsidR="009A6809" w:rsidRPr="004F11F0" w:rsidRDefault="009A6809" w:rsidP="009A6809">
      <w:pPr>
        <w:spacing w:after="0"/>
      </w:pPr>
      <w:r w:rsidRPr="004F11F0">
        <w:br/>
      </w:r>
      <w:r w:rsidRPr="004F11F0">
        <w:rPr>
          <w:noProof/>
        </w:rPr>
        <w:t>10779</w:t>
      </w:r>
      <w:r w:rsidRPr="004F11F0">
        <w:t>/15 COAFR 213 CFSP/PESC 382 ACP 103</w:t>
      </w:r>
    </w:p>
    <w:p w14:paraId="09D50828" w14:textId="77777777" w:rsidR="0064792D" w:rsidRPr="004F11F0" w:rsidRDefault="0064792D" w:rsidP="009A6809">
      <w:pPr>
        <w:spacing w:after="0"/>
      </w:pPr>
    </w:p>
    <w:p w14:paraId="0D01B8BD" w14:textId="0A95F33A" w:rsidR="009A6809" w:rsidRPr="00374CA3" w:rsidRDefault="009A6809" w:rsidP="0064792D">
      <w:pPr>
        <w:spacing w:after="0"/>
        <w:rPr>
          <w:noProof/>
        </w:rPr>
      </w:pPr>
      <w:r w:rsidRPr="00374CA3">
        <w:rPr>
          <w:b/>
        </w:rPr>
        <w:t>Ansvarigt statsråd</w:t>
      </w:r>
      <w:r w:rsidRPr="00374CA3">
        <w:rPr>
          <w:b/>
        </w:rPr>
        <w:br/>
      </w:r>
      <w:r w:rsidRPr="00374CA3">
        <w:rPr>
          <w:noProof/>
        </w:rPr>
        <w:t>Margot Wallström</w:t>
      </w:r>
    </w:p>
    <w:p w14:paraId="00DF1E31" w14:textId="77777777" w:rsidR="0064792D" w:rsidRPr="00374CA3" w:rsidRDefault="0064792D" w:rsidP="0064792D">
      <w:pPr>
        <w:spacing w:after="0"/>
        <w:rPr>
          <w:b/>
        </w:rPr>
      </w:pPr>
    </w:p>
    <w:p w14:paraId="0D01B8C0"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Anta rådsslutsatser om Centralafrikanska republiken. </w:t>
      </w:r>
    </w:p>
    <w:p w14:paraId="07C4508D" w14:textId="77777777" w:rsidR="0064792D" w:rsidRPr="00374CA3" w:rsidRDefault="0064792D" w:rsidP="009A6809">
      <w:pPr>
        <w:spacing w:after="0"/>
      </w:pPr>
    </w:p>
    <w:p w14:paraId="0D01B8C1" w14:textId="77777777" w:rsidR="003C341F" w:rsidRPr="00374CA3" w:rsidRDefault="009A6809" w:rsidP="009A6809">
      <w:pPr>
        <w:spacing w:after="0"/>
      </w:pPr>
      <w:r w:rsidRPr="00374CA3">
        <w:rPr>
          <w:b/>
          <w:bCs/>
        </w:rPr>
        <w:t>Hur regeringen ställer sig till den blivande A-punkten:</w:t>
      </w:r>
      <w:r w:rsidRPr="00374CA3">
        <w:t xml:space="preserve"> Regeringen avser att rösta ja. </w:t>
      </w:r>
    </w:p>
    <w:p w14:paraId="3DB9B555" w14:textId="77777777" w:rsidR="0064792D" w:rsidRPr="00374CA3" w:rsidRDefault="0064792D" w:rsidP="009A6809">
      <w:pPr>
        <w:spacing w:after="0"/>
      </w:pPr>
    </w:p>
    <w:p w14:paraId="0D01B8C2" w14:textId="04F1F694" w:rsidR="003C341F" w:rsidRPr="00374CA3" w:rsidRDefault="009A6809" w:rsidP="009A6809">
      <w:pPr>
        <w:spacing w:after="0"/>
      </w:pPr>
      <w:r w:rsidRPr="00374CA3">
        <w:rPr>
          <w:b/>
          <w:bCs/>
        </w:rPr>
        <w:t xml:space="preserve">Bakgrund: </w:t>
      </w:r>
      <w:r w:rsidRPr="00374CA3">
        <w:t xml:space="preserve">Rådsslutsatserna välkomnar arbetet som genomförts under de senaste månaderna liksom de politiska framsteg som går att observera och ser det som ett viktigt steg mot nationell försoning. Vidare poängterar </w:t>
      </w:r>
      <w:r w:rsidR="00A74584" w:rsidRPr="00374CA3">
        <w:t xml:space="preserve">slutsatserna </w:t>
      </w:r>
      <w:r w:rsidRPr="00374CA3">
        <w:t xml:space="preserve">att ansträngningarna måste fortsätta, integrerat och ansvarsfullt, för att säkerställa en framgångsrik övergång och ett slut på krisen. Det internationella samfundet måste mobiliseras och rådet välkomnar i detta sammanhang anordnandet av den internationella högnivåkonferensen som hölls i Bryssel den 26 maj och där ordföranden för övergångsprocessen deltog. </w:t>
      </w:r>
    </w:p>
    <w:p w14:paraId="4DFEBA63" w14:textId="77777777" w:rsidR="009C1484" w:rsidRPr="00374CA3" w:rsidRDefault="009C1484" w:rsidP="009A6809">
      <w:pPr>
        <w:spacing w:after="0"/>
      </w:pPr>
    </w:p>
    <w:p w14:paraId="0D01B8C3" w14:textId="77777777" w:rsidR="009A6809" w:rsidRPr="00374CA3" w:rsidRDefault="009A6809" w:rsidP="009A6809">
      <w:pPr>
        <w:spacing w:after="0"/>
        <w:rPr>
          <w:noProof/>
        </w:rPr>
      </w:pPr>
    </w:p>
    <w:p w14:paraId="0D01B8C4" w14:textId="518D5113" w:rsidR="009A6809" w:rsidRPr="004F11F0" w:rsidRDefault="009A6809" w:rsidP="009A6809">
      <w:pPr>
        <w:pStyle w:val="Rubrik1"/>
        <w:spacing w:before="0"/>
        <w:rPr>
          <w:lang w:val="en-US"/>
        </w:rPr>
      </w:pPr>
      <w:bookmarkStart w:id="26" w:name="_Toc424818124"/>
      <w:r w:rsidRPr="004F11F0">
        <w:rPr>
          <w:noProof/>
          <w:lang w:val="en-US"/>
        </w:rPr>
        <w:t>Projet de conclusions du Conseil relatives au Mali</w:t>
      </w:r>
      <w:bookmarkEnd w:id="26"/>
    </w:p>
    <w:p w14:paraId="0D01B8C5" w14:textId="3E9BEBE8" w:rsidR="009A6809" w:rsidRPr="004F11F0" w:rsidRDefault="009A6809" w:rsidP="009A6809">
      <w:pPr>
        <w:spacing w:after="0"/>
      </w:pPr>
      <w:r w:rsidRPr="004F11F0">
        <w:br/>
      </w:r>
      <w:r w:rsidRPr="004F11F0">
        <w:rPr>
          <w:noProof/>
        </w:rPr>
        <w:t>10780</w:t>
      </w:r>
      <w:r w:rsidRPr="004F11F0">
        <w:t>/15 COAFR 214 CFSP/PESC 383 ACP 104</w:t>
      </w:r>
    </w:p>
    <w:p w14:paraId="4041598E" w14:textId="77777777" w:rsidR="009C1484" w:rsidRPr="004F11F0" w:rsidRDefault="009C1484" w:rsidP="009A6809">
      <w:pPr>
        <w:spacing w:after="0"/>
      </w:pPr>
    </w:p>
    <w:p w14:paraId="0D01B8C6" w14:textId="10B19AEF" w:rsidR="009A6809" w:rsidRPr="00374CA3" w:rsidRDefault="009A6809" w:rsidP="009A6809">
      <w:pPr>
        <w:spacing w:after="0"/>
      </w:pPr>
      <w:r w:rsidRPr="00374CA3">
        <w:rPr>
          <w:b/>
        </w:rPr>
        <w:t>Ansvarigt statsråd</w:t>
      </w:r>
      <w:r w:rsidRPr="00374CA3">
        <w:rPr>
          <w:b/>
        </w:rPr>
        <w:br/>
      </w:r>
      <w:r w:rsidR="003C0D7D" w:rsidRPr="00374CA3">
        <w:t>Margot Wallström</w:t>
      </w:r>
    </w:p>
    <w:p w14:paraId="72B6A83E" w14:textId="77777777" w:rsidR="00490C51" w:rsidRPr="00374CA3" w:rsidRDefault="00490C51" w:rsidP="009A6809">
      <w:pPr>
        <w:spacing w:after="0"/>
      </w:pPr>
    </w:p>
    <w:p w14:paraId="0FA1C2BD" w14:textId="77777777" w:rsidR="003C0D7D" w:rsidRPr="00374CA3" w:rsidRDefault="009A6809" w:rsidP="009A6809">
      <w:pPr>
        <w:spacing w:after="0"/>
        <w:rPr>
          <w:b/>
        </w:rPr>
      </w:pPr>
      <w:r w:rsidRPr="00374CA3">
        <w:rPr>
          <w:b/>
        </w:rPr>
        <w:t>Annotering</w:t>
      </w:r>
    </w:p>
    <w:p w14:paraId="60C9AFA0" w14:textId="77777777" w:rsidR="003C0D7D" w:rsidRPr="00374CA3" w:rsidRDefault="003C0D7D" w:rsidP="003C0D7D">
      <w:pPr>
        <w:spacing w:after="0"/>
        <w:rPr>
          <w:b/>
        </w:rPr>
      </w:pPr>
      <w:r w:rsidRPr="00374CA3">
        <w:rPr>
          <w:b/>
        </w:rPr>
        <w:t xml:space="preserve">Avsikt med behandlingen i rådet: </w:t>
      </w:r>
      <w:r w:rsidRPr="00374CA3">
        <w:t>Rådet föreslås godkänna rådets slutsatser om Mali.</w:t>
      </w:r>
    </w:p>
    <w:p w14:paraId="34636AC9" w14:textId="77777777" w:rsidR="003C0D7D" w:rsidRPr="00374CA3" w:rsidRDefault="003C0D7D" w:rsidP="003C0D7D">
      <w:pPr>
        <w:spacing w:after="0"/>
        <w:rPr>
          <w:b/>
        </w:rPr>
      </w:pPr>
    </w:p>
    <w:p w14:paraId="65047CCE" w14:textId="7C43DFC5" w:rsidR="003C0D7D" w:rsidRPr="00374CA3" w:rsidRDefault="003C0D7D" w:rsidP="003C0D7D">
      <w:pPr>
        <w:spacing w:after="0"/>
        <w:rPr>
          <w:b/>
        </w:rPr>
      </w:pPr>
      <w:r w:rsidRPr="00374CA3">
        <w:rPr>
          <w:b/>
        </w:rPr>
        <w:t xml:space="preserve">Hur regeringen ställer sig till den blivande A-punkten: </w:t>
      </w:r>
      <w:r w:rsidRPr="00374CA3">
        <w:t>Regeringen avser rösta ja.</w:t>
      </w:r>
      <w:r w:rsidRPr="00374CA3">
        <w:rPr>
          <w:b/>
        </w:rPr>
        <w:t xml:space="preserve"> </w:t>
      </w:r>
    </w:p>
    <w:p w14:paraId="7834D83A" w14:textId="77777777" w:rsidR="003C0D7D" w:rsidRPr="00374CA3" w:rsidRDefault="003C0D7D" w:rsidP="003C0D7D">
      <w:pPr>
        <w:spacing w:after="0"/>
        <w:rPr>
          <w:b/>
        </w:rPr>
      </w:pPr>
    </w:p>
    <w:p w14:paraId="0D01B8C9" w14:textId="0F4978F2" w:rsidR="009A6809" w:rsidRPr="00374CA3" w:rsidRDefault="003C0D7D" w:rsidP="003C0D7D">
      <w:pPr>
        <w:spacing w:after="0"/>
      </w:pPr>
      <w:r w:rsidRPr="00374CA3">
        <w:rPr>
          <w:b/>
        </w:rPr>
        <w:t xml:space="preserve">Bakgrund: </w:t>
      </w:r>
      <w:r w:rsidRPr="00374CA3">
        <w:t>Slutsatser föreslås att antas för att välkomna att ett fredsavtal finns på plats för Mali och understryka EU:s stöd för genomförandet. Slutsatserna understryker att alla parter är ansvariga att leva upp till sina åtaganden samt att det huvudsakliga ansvaret för genomförandet vilar på malierna själva. Slutsatserna understryker också att EU står redo att stötta Mali i genomförandet av avtalet genom en aktiv roll i uppföljningskommittéerna samt genom bistånd. Vidare understryks vikten av att framsteg görs för bättre samhällsstyre, rättsreform, säkerhetssektorsreform och lagföring av MR-brott. Slutsatserna beklagar att säkerhetsläget, trots fredsavtalet, är fortsatt mycket bekymmersamt och fördömer den senaste tidens terroristattentat och uttrycker starkt stöd för MINUSMA:s viktiga roll i genomförandet av fredsavtalet. Slutsatserna understryker slutligen också att både kvinnor och män bör involveras i genomförandet av fredsavtalet samt välkomnar den politiska dialog med Sahel-länderna som HR/VP Mogherini tagit initiativ till.</w:t>
      </w:r>
      <w:r w:rsidR="009A6809" w:rsidRPr="00374CA3">
        <w:rPr>
          <w:b/>
        </w:rPr>
        <w:br/>
      </w:r>
    </w:p>
    <w:p w14:paraId="3D0C72CA" w14:textId="77777777" w:rsidR="0064792D" w:rsidRPr="00374CA3" w:rsidRDefault="0064792D" w:rsidP="009A6809">
      <w:pPr>
        <w:spacing w:after="0"/>
      </w:pPr>
    </w:p>
    <w:p w14:paraId="0D01B8CA" w14:textId="77777777" w:rsidR="009A6809" w:rsidRPr="00374CA3" w:rsidRDefault="009A6809" w:rsidP="009A6809">
      <w:pPr>
        <w:pStyle w:val="Rubrik1"/>
        <w:spacing w:before="0"/>
      </w:pPr>
      <w:bookmarkStart w:id="27" w:name="_Toc424818125"/>
      <w:r w:rsidRPr="00374CA3">
        <w:rPr>
          <w:noProof/>
        </w:rPr>
        <w:t>(évent.) Projet de décision du Conseil relative à la conclusion, au nom de l'Union européenne et de ses États membres, du protocole additionnel à l'accord sur le commerce, le développement et la coopération entre la Communauté européenne et ses États membres, d'une part, et la République d'Afrique du Sud, d'autre part, afin de tenir compte de l'adhésion de la République de Croatie à l'Union européenne</w:t>
      </w:r>
      <w:bookmarkEnd w:id="27"/>
    </w:p>
    <w:p w14:paraId="26158483" w14:textId="77777777" w:rsidR="009C1484" w:rsidRPr="00374CA3" w:rsidRDefault="009A6809" w:rsidP="009A6809">
      <w:pPr>
        <w:spacing w:after="0"/>
        <w:rPr>
          <w:lang w:val="en-US"/>
        </w:rPr>
      </w:pPr>
      <w:r w:rsidRPr="00374CA3">
        <w:rPr>
          <w:lang w:val="en-US"/>
        </w:rPr>
        <w:t>Adoption</w:t>
      </w:r>
    </w:p>
    <w:p w14:paraId="0D01B8CB" w14:textId="22896CF5" w:rsidR="009A6809" w:rsidRPr="00374CA3" w:rsidRDefault="009A6809" w:rsidP="009A6809">
      <w:pPr>
        <w:spacing w:after="0"/>
        <w:rPr>
          <w:lang w:val="en-US"/>
        </w:rPr>
      </w:pPr>
      <w:r w:rsidRPr="00374CA3">
        <w:rPr>
          <w:lang w:val="en-US"/>
        </w:rPr>
        <w:br/>
      </w:r>
      <w:r w:rsidRPr="00374CA3">
        <w:rPr>
          <w:noProof/>
          <w:lang w:val="en-US"/>
        </w:rPr>
        <w:t>10693</w:t>
      </w:r>
      <w:r w:rsidRPr="00374CA3">
        <w:rPr>
          <w:lang w:val="en-US"/>
        </w:rPr>
        <w:t xml:space="preserve">/15 ACP 101 COAFR 210 </w:t>
      </w:r>
    </w:p>
    <w:p w14:paraId="0D01B8CC" w14:textId="77777777" w:rsidR="009A6809" w:rsidRPr="00374CA3" w:rsidRDefault="009A6809" w:rsidP="009A6809">
      <w:pPr>
        <w:spacing w:after="0"/>
        <w:rPr>
          <w:lang w:val="en-US"/>
        </w:rPr>
      </w:pPr>
      <w:r w:rsidRPr="00374CA3">
        <w:rPr>
          <w:lang w:val="en-US"/>
        </w:rPr>
        <w:t>7657/15 ACP 56 COAFR 121</w:t>
      </w:r>
    </w:p>
    <w:p w14:paraId="40834605" w14:textId="77777777" w:rsidR="0064792D" w:rsidRPr="00374CA3" w:rsidRDefault="0064792D" w:rsidP="009A6809">
      <w:pPr>
        <w:spacing w:after="0"/>
        <w:rPr>
          <w:lang w:val="en-US"/>
        </w:rPr>
      </w:pPr>
    </w:p>
    <w:p w14:paraId="0D01B8CD"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4BB9E461" w14:textId="77777777" w:rsidR="0064792D" w:rsidRPr="00374CA3" w:rsidRDefault="0064792D" w:rsidP="009A6809">
      <w:pPr>
        <w:spacing w:after="0"/>
        <w:rPr>
          <w:b/>
        </w:rPr>
      </w:pPr>
    </w:p>
    <w:p w14:paraId="0D01B8D1" w14:textId="14677D0F" w:rsidR="003C341F"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Rådet föreslås anta rådsbeslut om ingående, på Europeiska unionens och dess medlemsstaters vägnar, av tilläggsprotokollet till TDCA (handel-, utveckling- och samarbetsavtal) mellan Europeiska unionen och dess medlemsstater, å ena sidan, och republiken Sydafrika, å andra sidan, med anledning av Kroatiens anslutning till Europeiska unionen.</w:t>
      </w:r>
    </w:p>
    <w:p w14:paraId="647916AB" w14:textId="77777777" w:rsidR="0064792D" w:rsidRPr="00374CA3" w:rsidRDefault="0064792D" w:rsidP="009A6809">
      <w:pPr>
        <w:spacing w:after="0"/>
      </w:pPr>
    </w:p>
    <w:p w14:paraId="0D01B8D2" w14:textId="77777777" w:rsidR="003C341F" w:rsidRPr="00374CA3" w:rsidRDefault="009A6809" w:rsidP="009A6809">
      <w:pPr>
        <w:spacing w:after="0"/>
      </w:pPr>
      <w:r w:rsidRPr="00374CA3">
        <w:rPr>
          <w:b/>
          <w:bCs/>
        </w:rPr>
        <w:t xml:space="preserve">Hur regeringen ställer sig till den blivande A-punkten: </w:t>
      </w:r>
      <w:r w:rsidRPr="00374CA3">
        <w:t>Regeringen avser rösta ja till att rådet antar rådsbeslut om att ingå tilläggsprotokoll till TDCA.</w:t>
      </w:r>
    </w:p>
    <w:p w14:paraId="368A6DA0" w14:textId="77777777" w:rsidR="0064792D" w:rsidRPr="00374CA3" w:rsidRDefault="0064792D" w:rsidP="009A6809">
      <w:pPr>
        <w:spacing w:after="0"/>
      </w:pPr>
    </w:p>
    <w:p w14:paraId="0D01B8D3" w14:textId="77777777" w:rsidR="003C341F" w:rsidRPr="00374CA3" w:rsidRDefault="009A6809" w:rsidP="009A6809">
      <w:pPr>
        <w:spacing w:after="0"/>
      </w:pPr>
      <w:r w:rsidRPr="00374CA3">
        <w:rPr>
          <w:b/>
          <w:bCs/>
        </w:rPr>
        <w:t xml:space="preserve">Bakgrund: </w:t>
      </w:r>
      <w:r w:rsidRPr="00374CA3">
        <w:t>Den 9 oktober 2014 antogs ett rådsbeslut att EU skulle underteckna och provisoriskt tillämpa tilläggsprotokollet till TDCA. Tilläggsprotokollet undertecknades av Sydafrika den 12 mars 2015 och på EU och medlemsstaternas vägnar den 27 mars 2015. Den 20 april vidarebefordrade rådet utkastet till rådsbeslut till Europaparlamentet som gav sitt bifall den 20 maj 2015. Rådet inbjuds nu att anta rådsbeslut att ingå tilläggsprotokollet och att detta rådsbeslut publiceras i Europeiska unionens officiella tidning.</w:t>
      </w:r>
    </w:p>
    <w:p w14:paraId="0D01B8D4" w14:textId="77777777" w:rsidR="009A6809" w:rsidRPr="00374CA3" w:rsidRDefault="009A6809" w:rsidP="009A6809">
      <w:pPr>
        <w:spacing w:after="0"/>
        <w:rPr>
          <w:noProof/>
        </w:rPr>
      </w:pPr>
    </w:p>
    <w:p w14:paraId="459BDD6E" w14:textId="77777777" w:rsidR="0064792D" w:rsidRPr="00374CA3" w:rsidRDefault="0064792D" w:rsidP="009A6809">
      <w:pPr>
        <w:spacing w:after="0"/>
        <w:rPr>
          <w:noProof/>
        </w:rPr>
      </w:pPr>
    </w:p>
    <w:p w14:paraId="0D01B8D5" w14:textId="77777777" w:rsidR="009A6809" w:rsidRPr="00374CA3" w:rsidRDefault="009A6809" w:rsidP="009A6809">
      <w:pPr>
        <w:pStyle w:val="Rubrik1"/>
        <w:spacing w:before="0"/>
      </w:pPr>
      <w:bookmarkStart w:id="28" w:name="_Toc424818126"/>
      <w:r w:rsidRPr="00374CA3">
        <w:rPr>
          <w:noProof/>
        </w:rPr>
        <w:t>Proposition de Décision du Conseil établissant la position à adopter par l’Union européenne au sein du Conseil général de l’Organisation mondiale du commerce sur l’adhésion de la République du Kazakhstan à l’OMC</w:t>
      </w:r>
      <w:bookmarkEnd w:id="28"/>
    </w:p>
    <w:p w14:paraId="72F1F55A" w14:textId="77777777" w:rsidR="0064792D" w:rsidRPr="00374CA3" w:rsidRDefault="009A6809" w:rsidP="009A6809">
      <w:pPr>
        <w:spacing w:after="0"/>
        <w:rPr>
          <w:lang w:val="en-US"/>
        </w:rPr>
      </w:pPr>
      <w:r w:rsidRPr="00374CA3">
        <w:rPr>
          <w:noProof/>
          <w:lang w:val="en-US"/>
        </w:rPr>
        <w:t>=</w:t>
      </w:r>
      <w:r w:rsidRPr="00374CA3">
        <w:rPr>
          <w:lang w:val="en-US"/>
        </w:rPr>
        <w:t>Adoption</w:t>
      </w:r>
    </w:p>
    <w:p w14:paraId="0D01B8D6" w14:textId="7A2142B5" w:rsidR="009A6809" w:rsidRPr="00374CA3" w:rsidRDefault="009A6809" w:rsidP="009A6809">
      <w:pPr>
        <w:spacing w:after="0"/>
        <w:rPr>
          <w:lang w:val="en-US"/>
        </w:rPr>
      </w:pPr>
      <w:r w:rsidRPr="00374CA3">
        <w:rPr>
          <w:lang w:val="en-US"/>
        </w:rPr>
        <w:br/>
      </w:r>
      <w:r w:rsidRPr="00374CA3">
        <w:rPr>
          <w:noProof/>
          <w:lang w:val="en-US"/>
        </w:rPr>
        <w:t>10480</w:t>
      </w:r>
      <w:r w:rsidRPr="00374CA3">
        <w:rPr>
          <w:lang w:val="en-US"/>
        </w:rPr>
        <w:t>/15 WTO 139 SERVICES 21 COEST 206</w:t>
      </w:r>
      <w:r w:rsidR="001101E4" w:rsidRPr="00374CA3">
        <w:rPr>
          <w:lang w:val="en-US"/>
        </w:rPr>
        <w:t xml:space="preserve"> </w:t>
      </w:r>
      <w:r w:rsidRPr="00374CA3">
        <w:rPr>
          <w:lang w:val="en-US"/>
        </w:rPr>
        <w:t>10481/15 WTO 140 SERVICES 22 COEST 207</w:t>
      </w:r>
    </w:p>
    <w:p w14:paraId="4F612A82" w14:textId="77777777" w:rsidR="0064792D" w:rsidRPr="00374CA3" w:rsidRDefault="0064792D" w:rsidP="009A6809">
      <w:pPr>
        <w:spacing w:after="0"/>
        <w:rPr>
          <w:lang w:val="en-US"/>
        </w:rPr>
      </w:pPr>
    </w:p>
    <w:p w14:paraId="0D01B8D7" w14:textId="77777777" w:rsidR="009A6809" w:rsidRPr="00374CA3" w:rsidRDefault="009A6809" w:rsidP="009A6809">
      <w:pPr>
        <w:spacing w:after="0"/>
      </w:pPr>
      <w:r w:rsidRPr="00374CA3">
        <w:rPr>
          <w:b/>
        </w:rPr>
        <w:t>Ansvarigt statsråd</w:t>
      </w:r>
      <w:r w:rsidRPr="00374CA3">
        <w:rPr>
          <w:b/>
        </w:rPr>
        <w:br/>
      </w:r>
      <w:r w:rsidRPr="00374CA3">
        <w:rPr>
          <w:noProof/>
        </w:rPr>
        <w:t>Margot Wallström</w:t>
      </w:r>
    </w:p>
    <w:p w14:paraId="64CA831C" w14:textId="77777777" w:rsidR="0064792D" w:rsidRPr="00374CA3" w:rsidRDefault="0064792D" w:rsidP="009A6809">
      <w:pPr>
        <w:spacing w:after="0"/>
        <w:rPr>
          <w:b/>
        </w:rPr>
      </w:pPr>
    </w:p>
    <w:p w14:paraId="0D01B8DB" w14:textId="11DDA8B8" w:rsidR="003C341F" w:rsidRPr="00374CA3" w:rsidRDefault="009A6809" w:rsidP="00191DF2">
      <w:pPr>
        <w:spacing w:after="0"/>
      </w:pPr>
      <w:r w:rsidRPr="00374CA3">
        <w:rPr>
          <w:b/>
        </w:rPr>
        <w:t>Annotering</w:t>
      </w:r>
      <w:r w:rsidRPr="00374CA3">
        <w:rPr>
          <w:b/>
        </w:rPr>
        <w:br/>
      </w:r>
      <w:r w:rsidRPr="00374CA3">
        <w:rPr>
          <w:b/>
          <w:bCs/>
        </w:rPr>
        <w:t xml:space="preserve">Avsikt med behandlingen i rådet: </w:t>
      </w:r>
      <w:r w:rsidRPr="00374CA3">
        <w:t>Rådet föreslås anta gemensam EU-position beträffande Republiken Kazakstans WTO-anslutning i samband med nästa WTO-ministerkonferens.</w:t>
      </w:r>
    </w:p>
    <w:p w14:paraId="2E7DFFF7" w14:textId="77777777" w:rsidR="0064792D" w:rsidRPr="00374CA3" w:rsidRDefault="0064792D" w:rsidP="009A6809">
      <w:pPr>
        <w:spacing w:after="0"/>
      </w:pPr>
    </w:p>
    <w:p w14:paraId="0D01B8DC" w14:textId="77777777" w:rsidR="003C341F" w:rsidRPr="00374CA3" w:rsidRDefault="009A6809" w:rsidP="009A6809">
      <w:pPr>
        <w:spacing w:after="0"/>
      </w:pPr>
      <w:r w:rsidRPr="00374CA3">
        <w:rPr>
          <w:b/>
          <w:bCs/>
        </w:rPr>
        <w:t>Hur regeringen ställer sig till den blivande A-punkten:</w:t>
      </w:r>
      <w:r w:rsidRPr="00374CA3">
        <w:t xml:space="preserve"> Regeringen avser rösta ja till förslaget.</w:t>
      </w:r>
    </w:p>
    <w:p w14:paraId="6497460C" w14:textId="77777777" w:rsidR="0064792D" w:rsidRPr="00374CA3" w:rsidRDefault="0064792D" w:rsidP="009A6809">
      <w:pPr>
        <w:spacing w:after="0"/>
      </w:pPr>
    </w:p>
    <w:p w14:paraId="0D01B8DD" w14:textId="77777777" w:rsidR="003C341F" w:rsidRPr="00374CA3" w:rsidRDefault="009A6809" w:rsidP="009A6809">
      <w:pPr>
        <w:spacing w:after="0"/>
      </w:pPr>
      <w:r w:rsidRPr="00374CA3">
        <w:rPr>
          <w:b/>
          <w:bCs/>
        </w:rPr>
        <w:t>Bakgrund:</w:t>
      </w:r>
      <w:r w:rsidRPr="00374CA3">
        <w:t xml:space="preserve"> Republiken Kazakstan ansökte om medlemskap i Världshandelsorganisationen (WTO) 1996 och förhandlingarna har nu avslutats. Det anslutningspaketet som har förhandlats fram har godkänts av arbetsgruppen för Kazakstas anslutning och medlemmarna hoppas på godkännande vid WTO:s allmänna råd den 27 juli 2015. Republiken Kazakstans mål är att vara en fullvärdig medlem vid WTO:s ministerkonferens (MC10) i Nairobi i december. Paketet består av ett multilateralt avtal med villkor för Republiken Kazakstans anslutning, en rapport från arbetsgruppen för Republiken Kazakstans anslutning, samt två bindningslistor med tullsatser för varor och tjänster. Föreliggande förslag syftar till att ge kommissionen mandat att godkänna Republiken Kazakstans anslutning vid WTO:s allmänna råd den 27-28 juli 2015.</w:t>
      </w:r>
    </w:p>
    <w:p w14:paraId="0D01B8DE" w14:textId="77777777" w:rsidR="009A6809" w:rsidRPr="00374CA3" w:rsidRDefault="009A6809" w:rsidP="009A6809">
      <w:pPr>
        <w:spacing w:after="0"/>
        <w:rPr>
          <w:noProof/>
        </w:rPr>
      </w:pPr>
    </w:p>
    <w:p w14:paraId="1BD6719D" w14:textId="77777777" w:rsidR="0064792D" w:rsidRPr="00374CA3" w:rsidRDefault="0064792D" w:rsidP="009A6809">
      <w:pPr>
        <w:spacing w:after="0"/>
        <w:rPr>
          <w:noProof/>
        </w:rPr>
      </w:pPr>
    </w:p>
    <w:p w14:paraId="0D01B8DF" w14:textId="77777777" w:rsidR="009A6809" w:rsidRPr="00374CA3" w:rsidRDefault="009A6809" w:rsidP="009A6809">
      <w:pPr>
        <w:pStyle w:val="Rubrik1"/>
        <w:spacing w:before="0"/>
      </w:pPr>
      <w:bookmarkStart w:id="29" w:name="_Toc424818127"/>
      <w:r w:rsidRPr="00374CA3">
        <w:rPr>
          <w:noProof/>
        </w:rPr>
        <w:t>Règlement délégué (UE) …/… de la Commission du 8.7.2015 complétant le règlement (UE) n° 223/2014 du Parlement européen et du Conseil par des dispositions spécifiques relatives à la notification des irrégularités en ce qui concerne le Fonds européen d'aide aux plus démunis</w:t>
      </w:r>
      <w:bookmarkEnd w:id="29"/>
    </w:p>
    <w:p w14:paraId="5C35F474" w14:textId="77777777" w:rsidR="00AA47D1" w:rsidRPr="004F11F0" w:rsidRDefault="009A6809" w:rsidP="009A6809">
      <w:pPr>
        <w:spacing w:after="0"/>
      </w:pPr>
      <w:r w:rsidRPr="004F11F0">
        <w:rPr>
          <w:noProof/>
        </w:rPr>
        <w:t>=</w:t>
      </w:r>
      <w:r w:rsidRPr="004F11F0">
        <w:t>Décision de prolongation du délai pour soulever des objections à l'acte délégué</w:t>
      </w:r>
    </w:p>
    <w:p w14:paraId="0D01B8E0" w14:textId="2B0ACB0C" w:rsidR="009A6809" w:rsidRPr="004F11F0" w:rsidRDefault="009A6809" w:rsidP="009A6809">
      <w:pPr>
        <w:spacing w:after="0"/>
      </w:pPr>
      <w:r w:rsidRPr="004F11F0">
        <w:br/>
      </w:r>
      <w:r w:rsidRPr="004F11F0">
        <w:rPr>
          <w:noProof/>
        </w:rPr>
        <w:t>10786</w:t>
      </w:r>
      <w:r w:rsidRPr="004F11F0">
        <w:t>/16 SOC 446 EMPL 291 FSTR 41 CADREFIN 35 REGIO 55 DELACT 92</w:t>
      </w:r>
      <w:r w:rsidR="001101E4" w:rsidRPr="004F11F0">
        <w:t xml:space="preserve"> </w:t>
      </w:r>
      <w:r w:rsidRPr="004F11F0">
        <w:t>10785/15 SOC 445 EMPL 290 FSTR 40 CADREFIN 34 REGIO 54 DELACT 91</w:t>
      </w:r>
    </w:p>
    <w:p w14:paraId="4E583395" w14:textId="77777777" w:rsidR="00AA47D1" w:rsidRPr="004F11F0" w:rsidRDefault="00AA47D1" w:rsidP="009A6809">
      <w:pPr>
        <w:spacing w:after="0"/>
      </w:pPr>
    </w:p>
    <w:p w14:paraId="0D01B8E1" w14:textId="77777777" w:rsidR="009A6809" w:rsidRPr="00374CA3" w:rsidRDefault="009A6809" w:rsidP="009A6809">
      <w:pPr>
        <w:spacing w:after="0"/>
        <w:rPr>
          <w:noProof/>
        </w:rPr>
      </w:pPr>
      <w:r w:rsidRPr="00374CA3">
        <w:rPr>
          <w:b/>
        </w:rPr>
        <w:t>Ansvarigt statsråd</w:t>
      </w:r>
      <w:r w:rsidRPr="00374CA3">
        <w:rPr>
          <w:b/>
        </w:rPr>
        <w:br/>
      </w:r>
      <w:r w:rsidRPr="00374CA3">
        <w:rPr>
          <w:noProof/>
        </w:rPr>
        <w:t xml:space="preserve">Åsa Regnér </w:t>
      </w:r>
    </w:p>
    <w:p w14:paraId="3F543323" w14:textId="77777777" w:rsidR="00AA47D1" w:rsidRPr="00374CA3" w:rsidRDefault="00AA47D1" w:rsidP="009A6809">
      <w:pPr>
        <w:spacing w:after="0"/>
      </w:pPr>
    </w:p>
    <w:p w14:paraId="0D01B8E6" w14:textId="38D1D6D8" w:rsidR="003C341F" w:rsidRPr="00374CA3" w:rsidRDefault="009A6809" w:rsidP="00AA47D1">
      <w:pPr>
        <w:spacing w:after="0"/>
      </w:pPr>
      <w:r w:rsidRPr="00374CA3">
        <w:rPr>
          <w:b/>
        </w:rPr>
        <w:t>Annotering</w:t>
      </w:r>
      <w:r w:rsidRPr="00374CA3">
        <w:rPr>
          <w:b/>
        </w:rPr>
        <w:br/>
      </w:r>
      <w:r w:rsidRPr="00374CA3">
        <w:rPr>
          <w:b/>
          <w:bCs/>
        </w:rPr>
        <w:t>Avsikt med behandlingen i rådet:</w:t>
      </w:r>
      <w:r w:rsidRPr="00374CA3">
        <w:t xml:space="preserve"> Ordföranden avser att begära för</w:t>
      </w:r>
      <w:r w:rsidR="00AA47D1" w:rsidRPr="00374CA3">
        <w:t>längning av den tid rådet och Europaparlamentet</w:t>
      </w:r>
      <w:r w:rsidRPr="00374CA3">
        <w:t xml:space="preserve"> har att invända mot den delegerade förordningen som kompletterar Europaparlamentets och rådets förordning (EU) nr 223/2014 av den 11 mars om fonden för europeiskt bistånd till dem som har det sämst ställt. </w:t>
      </w:r>
    </w:p>
    <w:p w14:paraId="2F6178CD" w14:textId="77777777" w:rsidR="00AA47D1" w:rsidRPr="00374CA3" w:rsidRDefault="00AA47D1" w:rsidP="00AA47D1">
      <w:pPr>
        <w:spacing w:after="0"/>
      </w:pPr>
    </w:p>
    <w:p w14:paraId="0D01B8E8" w14:textId="0E351D18" w:rsidR="003C341F" w:rsidRPr="00374CA3" w:rsidRDefault="009A6809" w:rsidP="00AA47D1">
      <w:pPr>
        <w:spacing w:after="0"/>
      </w:pPr>
      <w:r w:rsidRPr="00374CA3">
        <w:rPr>
          <w:b/>
          <w:bCs/>
        </w:rPr>
        <w:t>Hur regeringen ställer sig till den blivande A-punkt</w:t>
      </w:r>
      <w:r w:rsidR="00AA47D1" w:rsidRPr="00374CA3">
        <w:rPr>
          <w:b/>
          <w:bCs/>
        </w:rPr>
        <w:t>en</w:t>
      </w:r>
      <w:r w:rsidRPr="00374CA3">
        <w:rPr>
          <w:b/>
          <w:bCs/>
        </w:rPr>
        <w:t>:</w:t>
      </w:r>
      <w:r w:rsidRPr="00374CA3">
        <w:t xml:space="preserve"> Regeringen ställer sig bakom ordförandens begäran om att tiden förlängs för att lämna invändningar avseende den delegerade förordningen. </w:t>
      </w:r>
    </w:p>
    <w:p w14:paraId="1FB8D166" w14:textId="6A44279F" w:rsidR="006C5F85" w:rsidRPr="00374CA3" w:rsidRDefault="006C5F85" w:rsidP="00AA47D1">
      <w:pPr>
        <w:spacing w:after="0"/>
      </w:pPr>
    </w:p>
    <w:p w14:paraId="5F8BC38E" w14:textId="77777777" w:rsidR="00490C51" w:rsidRPr="00374CA3" w:rsidRDefault="00490C51" w:rsidP="00490C51">
      <w:pPr>
        <w:spacing w:after="0"/>
      </w:pPr>
      <w:r w:rsidRPr="00374CA3">
        <w:rPr>
          <w:b/>
          <w:bCs/>
        </w:rPr>
        <w:t>Bakgrund:</w:t>
      </w:r>
      <w:r w:rsidRPr="00374CA3">
        <w:rPr>
          <w:b/>
        </w:rPr>
        <w:t xml:space="preserve"> </w:t>
      </w:r>
      <w:r w:rsidRPr="00374CA3">
        <w:t>I enlighet med artikel 30 (2) i förordning (EU) nr 223/2014, syftar den delegerade rättsakten till att fastställa de skyldigheter som skall iakttas av medlemsstaterna när de ska rapportera till kommissionen om oegentligheter och misstänkta bedrägerier. Kommissionen ska anta genomförandeakter för att ange tidsintervallerna för rapporteringen och vilket rapporteringsformat som ska användas.</w:t>
      </w:r>
    </w:p>
    <w:p w14:paraId="652BFA5A" w14:textId="77777777" w:rsidR="00AA47D1" w:rsidRPr="00374CA3" w:rsidRDefault="00AA47D1" w:rsidP="00AA47D1">
      <w:pPr>
        <w:spacing w:after="0"/>
      </w:pPr>
    </w:p>
    <w:p w14:paraId="0D01B8E9" w14:textId="77777777" w:rsidR="009A6809" w:rsidRPr="00374CA3" w:rsidRDefault="009A6809" w:rsidP="009A6809">
      <w:pPr>
        <w:spacing w:after="0"/>
        <w:rPr>
          <w:noProof/>
        </w:rPr>
      </w:pPr>
    </w:p>
    <w:p w14:paraId="0D01B8EA" w14:textId="77777777" w:rsidR="009A6809" w:rsidRPr="00374CA3" w:rsidRDefault="009A6809" w:rsidP="009A6809">
      <w:pPr>
        <w:pStyle w:val="Rubrik1"/>
        <w:spacing w:before="0"/>
      </w:pPr>
      <w:bookmarkStart w:id="30" w:name="_Toc424818128"/>
      <w:r w:rsidRPr="00374CA3">
        <w:rPr>
          <w:noProof/>
        </w:rPr>
        <w:t>Projet de décision du Conseil sur la conclusion, au nom de l'Union européenne, de la convention européenne sur la protection juridique des services à accès conditionnel et des services d'accès conditionnel</w:t>
      </w:r>
      <w:bookmarkEnd w:id="30"/>
    </w:p>
    <w:p w14:paraId="26A9CE4E" w14:textId="77777777" w:rsidR="00AA47D1" w:rsidRPr="00374CA3" w:rsidRDefault="009A6809" w:rsidP="009A6809">
      <w:pPr>
        <w:spacing w:after="0"/>
        <w:rPr>
          <w:lang w:val="en-US"/>
        </w:rPr>
      </w:pPr>
      <w:r w:rsidRPr="00374CA3">
        <w:rPr>
          <w:noProof/>
          <w:lang w:val="en-US"/>
        </w:rPr>
        <w:t>=</w:t>
      </w:r>
      <w:r w:rsidRPr="00374CA3">
        <w:rPr>
          <w:lang w:val="en-US"/>
        </w:rPr>
        <w:t>Adoption</w:t>
      </w:r>
    </w:p>
    <w:p w14:paraId="0D01B8EB" w14:textId="7B9E578E" w:rsidR="009A6809" w:rsidRPr="00374CA3" w:rsidRDefault="009A6809" w:rsidP="009A6809">
      <w:pPr>
        <w:spacing w:after="0"/>
        <w:rPr>
          <w:lang w:val="en-US"/>
        </w:rPr>
      </w:pPr>
      <w:r w:rsidRPr="00374CA3">
        <w:rPr>
          <w:lang w:val="en-US"/>
        </w:rPr>
        <w:br/>
      </w:r>
      <w:r w:rsidRPr="00374CA3">
        <w:rPr>
          <w:noProof/>
          <w:lang w:val="en-US"/>
        </w:rPr>
        <w:t>10645</w:t>
      </w:r>
      <w:r w:rsidRPr="00374CA3">
        <w:rPr>
          <w:lang w:val="en-US"/>
        </w:rPr>
        <w:t>/15 AUDIO 19 MI 451 TELECOM 159 CATS 72 COJUR 3+ ADD 1</w:t>
      </w:r>
      <w:r w:rsidR="001101E4" w:rsidRPr="00374CA3">
        <w:rPr>
          <w:lang w:val="en-US"/>
        </w:rPr>
        <w:t xml:space="preserve"> </w:t>
      </w:r>
      <w:r w:rsidRPr="00374CA3">
        <w:rPr>
          <w:lang w:val="en-US"/>
        </w:rPr>
        <w:t xml:space="preserve">7597/1/14 REV 1 AUDIO 17 MI 265 TELECOM 81 CATS 41 COJUR 4 </w:t>
      </w:r>
    </w:p>
    <w:p w14:paraId="766300E6" w14:textId="77777777" w:rsidR="00AA47D1" w:rsidRPr="004F11F0" w:rsidRDefault="00AA47D1" w:rsidP="009A6809">
      <w:pPr>
        <w:spacing w:after="0"/>
        <w:rPr>
          <w:b/>
          <w:lang w:val="en-US"/>
        </w:rPr>
      </w:pPr>
    </w:p>
    <w:p w14:paraId="0D01B8EC" w14:textId="77777777" w:rsidR="009A6809" w:rsidRPr="00374CA3" w:rsidRDefault="009A6809" w:rsidP="009A6809">
      <w:pPr>
        <w:spacing w:after="0"/>
        <w:rPr>
          <w:noProof/>
        </w:rPr>
      </w:pPr>
      <w:r w:rsidRPr="00374CA3">
        <w:rPr>
          <w:b/>
        </w:rPr>
        <w:t>Ansvarigt statsråd</w:t>
      </w:r>
      <w:r w:rsidRPr="00374CA3">
        <w:rPr>
          <w:b/>
        </w:rPr>
        <w:br/>
      </w:r>
      <w:r w:rsidRPr="00374CA3">
        <w:rPr>
          <w:noProof/>
        </w:rPr>
        <w:t>Alice Bah Kuhnke</w:t>
      </w:r>
    </w:p>
    <w:p w14:paraId="75BE5356" w14:textId="77777777" w:rsidR="00AA47D1" w:rsidRPr="00374CA3" w:rsidRDefault="00AA47D1" w:rsidP="009A6809">
      <w:pPr>
        <w:spacing w:after="0"/>
      </w:pPr>
    </w:p>
    <w:p w14:paraId="0D01B8ED" w14:textId="77777777" w:rsidR="009A6809" w:rsidRPr="00374CA3" w:rsidRDefault="009A6809" w:rsidP="009A6809">
      <w:pPr>
        <w:spacing w:after="0"/>
        <w:rPr>
          <w:noProof/>
        </w:rPr>
      </w:pPr>
      <w:r w:rsidRPr="00374CA3">
        <w:rPr>
          <w:b/>
        </w:rPr>
        <w:t>Tidigare behandling i riksdagen</w:t>
      </w:r>
      <w:r w:rsidRPr="00374CA3">
        <w:rPr>
          <w:b/>
        </w:rPr>
        <w:br/>
      </w:r>
      <w:r w:rsidRPr="00374CA3">
        <w:rPr>
          <w:noProof/>
        </w:rPr>
        <w:t>2014-11-28</w:t>
      </w:r>
    </w:p>
    <w:p w14:paraId="634DB7A0" w14:textId="77777777" w:rsidR="00AA47D1" w:rsidRPr="00374CA3" w:rsidRDefault="00AA47D1" w:rsidP="009A6809">
      <w:pPr>
        <w:spacing w:after="0"/>
      </w:pPr>
    </w:p>
    <w:p w14:paraId="0D01B8EF" w14:textId="77777777" w:rsidR="009A6809" w:rsidRPr="00374CA3" w:rsidRDefault="009A6809" w:rsidP="009A6809">
      <w:pPr>
        <w:spacing w:after="0"/>
      </w:pPr>
      <w:r w:rsidRPr="00374CA3">
        <w:rPr>
          <w:b/>
        </w:rPr>
        <w:t>Annotering</w:t>
      </w:r>
      <w:r w:rsidRPr="00374CA3">
        <w:rPr>
          <w:b/>
        </w:rPr>
        <w:br/>
      </w:r>
      <w:r w:rsidRPr="00374CA3">
        <w:rPr>
          <w:b/>
          <w:bCs/>
        </w:rPr>
        <w:t xml:space="preserve">Avsikt med behandlingen i rådet: </w:t>
      </w:r>
      <w:r w:rsidRPr="00374CA3">
        <w:t xml:space="preserve">Rådet förväntas besluta om ingående av Europeiska konventionen om rättsligt skydd för tjänster som bygger på eller utgörs av villkorad tillgång samt bilagd deklaration. </w:t>
      </w:r>
    </w:p>
    <w:p w14:paraId="0D872D12" w14:textId="77777777" w:rsidR="00AA47D1" w:rsidRPr="00374CA3" w:rsidRDefault="00AA47D1" w:rsidP="009A6809">
      <w:pPr>
        <w:spacing w:after="0"/>
      </w:pPr>
    </w:p>
    <w:p w14:paraId="0D01B8F0" w14:textId="77777777" w:rsidR="003C341F" w:rsidRPr="00374CA3" w:rsidRDefault="009A6809" w:rsidP="009A6809">
      <w:pPr>
        <w:spacing w:after="0"/>
      </w:pPr>
      <w:r w:rsidRPr="00374CA3">
        <w:rPr>
          <w:b/>
          <w:bCs/>
        </w:rPr>
        <w:t>Hur regeringen ställer sig till den blivande A-punkten:</w:t>
      </w:r>
      <w:r w:rsidRPr="00374CA3">
        <w:t xml:space="preserve"> Regeringen avser att ge sitt bifall till ingående av konventionen. </w:t>
      </w:r>
    </w:p>
    <w:p w14:paraId="5CFDEE37" w14:textId="77777777" w:rsidR="00AA47D1" w:rsidRPr="00374CA3" w:rsidRDefault="00AA47D1" w:rsidP="009A6809">
      <w:pPr>
        <w:spacing w:after="0"/>
      </w:pPr>
    </w:p>
    <w:p w14:paraId="0D01B8F1" w14:textId="77777777" w:rsidR="003C341F" w:rsidRPr="00374CA3" w:rsidRDefault="009A6809" w:rsidP="009A6809">
      <w:pPr>
        <w:spacing w:after="0"/>
      </w:pPr>
      <w:r w:rsidRPr="00374CA3">
        <w:rPr>
          <w:b/>
          <w:bCs/>
        </w:rPr>
        <w:t xml:space="preserve">Bakgrund: </w:t>
      </w:r>
      <w:r w:rsidRPr="00374CA3">
        <w:t xml:space="preserve">Europeiska konventionen om rättsligt skydd för tjänster som bygger på eller utgörs av villkorad tillgång, dvs. tillgång till en skyddad tjänst (t.ex. betal-tv) först efter att man blivit personligt godkänd som behörig, återger i stora delar bestämmelserna i rådets och Europaparlamentets direktiv 98/84/EG om det rättsliga skyddet för tjänster som bygger på eller utgörs av villkorad tillgång. </w:t>
      </w:r>
    </w:p>
    <w:p w14:paraId="7F9EDBBC" w14:textId="77777777" w:rsidR="00AA47D1" w:rsidRPr="00374CA3" w:rsidRDefault="00AA47D1" w:rsidP="009A6809">
      <w:pPr>
        <w:spacing w:after="0"/>
      </w:pPr>
    </w:p>
    <w:p w14:paraId="0D01B8F3" w14:textId="0F305EC5" w:rsidR="003C341F" w:rsidRPr="00374CA3" w:rsidRDefault="009A6809" w:rsidP="00AA47D1">
      <w:pPr>
        <w:spacing w:after="0"/>
      </w:pPr>
      <w:r w:rsidRPr="00374CA3">
        <w:t xml:space="preserve">EU-domstolen undanröjde hösten 2013 rådets beslut om undertecknande av konventionen. Domstolen, som ansåg att konventionen i första hand avsåg handelspolitik och att undertecknande av konventionen därmed omfattades av unionens exklusiva befogenhet, biföll därmed kommissionens talan. Med ledning av domstolens dom antog rådet ett nytt beslut om undertecknande den 14 april 2014. Antagande av beslutet om ingående av konventionen sköts däremot upp sedan det uppmärksammats att bestämmelserna om rösträtt ger EU röster motsvarande det antal medlemsstater i EU som tillträtt konventionen. </w:t>
      </w:r>
    </w:p>
    <w:p w14:paraId="2726D4BE" w14:textId="77777777" w:rsidR="00AA47D1" w:rsidRPr="00374CA3" w:rsidRDefault="00AA47D1" w:rsidP="009A6809">
      <w:pPr>
        <w:spacing w:after="0"/>
      </w:pPr>
    </w:p>
    <w:p w14:paraId="0D01B8F4" w14:textId="77777777" w:rsidR="003C341F" w:rsidRPr="00374CA3" w:rsidRDefault="009A6809" w:rsidP="009A6809">
      <w:pPr>
        <w:spacing w:after="0"/>
      </w:pPr>
      <w:r w:rsidRPr="00374CA3">
        <w:t xml:space="preserve">Ett uttalande från Frankrike, Nederländerna och Rumänien och ett från Europeiska kommissionen ska biläggas beslutet. Länderna tillträdde konventionen före EU-domstolens dom och har ännu inte trätt ut. Länderna uttalar att de stannar kvar som part i konventionen för att inte förhindra genomförandet av vissa bestämmelser. Kommissionen noterar detta i ett uttalande och förväntar sig att detta är tillfälligt och att de tre frånträder konventionen då förväntade ändringar av konventionens röstregler trätt i kraft. </w:t>
      </w:r>
    </w:p>
    <w:p w14:paraId="0D01B8F5" w14:textId="77777777" w:rsidR="003C341F" w:rsidRPr="00374CA3" w:rsidRDefault="009A6809" w:rsidP="009A6809">
      <w:pPr>
        <w:spacing w:after="0"/>
      </w:pPr>
      <w:r w:rsidRPr="00374CA3">
        <w:t>Europaparlamentet gav 19 maj 2015 sitt bifall till ingående i konventionen i enlighet med förslaget.</w:t>
      </w:r>
    </w:p>
    <w:p w14:paraId="512E5D70" w14:textId="77777777" w:rsidR="009D2C72" w:rsidRPr="00374CA3" w:rsidRDefault="009D2C72" w:rsidP="009A6809">
      <w:pPr>
        <w:spacing w:after="0"/>
      </w:pPr>
    </w:p>
    <w:p w14:paraId="0D01B8F6" w14:textId="77777777" w:rsidR="003C341F" w:rsidRPr="00374CA3" w:rsidRDefault="003C341F" w:rsidP="009A6809">
      <w:pPr>
        <w:spacing w:after="0"/>
      </w:pPr>
    </w:p>
    <w:p w14:paraId="0D01B8F7" w14:textId="77777777" w:rsidR="009A6809" w:rsidRPr="004F11F0" w:rsidRDefault="009A6809" w:rsidP="009A6809">
      <w:pPr>
        <w:pStyle w:val="Rubrik1"/>
        <w:spacing w:before="0"/>
        <w:rPr>
          <w:lang w:val="en-US"/>
        </w:rPr>
      </w:pPr>
      <w:bookmarkStart w:id="31" w:name="_Toc424818129"/>
      <w:r w:rsidRPr="004F11F0">
        <w:rPr>
          <w:noProof/>
          <w:lang w:val="en-US"/>
        </w:rPr>
        <w:t xml:space="preserve">Affaire portée devant la Cour de justice de l'Union européenne </w:t>
      </w:r>
      <w:r w:rsidRPr="004F11F0">
        <w:rPr>
          <w:noProof/>
          <w:lang w:val="en-US"/>
        </w:rPr>
        <w:br/>
        <w:t>Affaire C-227/15 P (Jean-Marie Cahier e.a. contre Conseil de l'Union européenne, Commission européenne et République française)</w:t>
      </w:r>
      <w:bookmarkEnd w:id="31"/>
    </w:p>
    <w:p w14:paraId="22F12270" w14:textId="77777777" w:rsidR="00AA47D1" w:rsidRPr="00374CA3" w:rsidRDefault="009A6809" w:rsidP="009A6809">
      <w:pPr>
        <w:spacing w:after="0"/>
        <w:rPr>
          <w:lang w:val="en-US"/>
        </w:rPr>
      </w:pPr>
      <w:r w:rsidRPr="00374CA3">
        <w:rPr>
          <w:noProof/>
          <w:lang w:val="en-US"/>
        </w:rPr>
        <w:t>=</w:t>
      </w:r>
      <w:r w:rsidRPr="00374CA3">
        <w:rPr>
          <w:lang w:val="en-US"/>
        </w:rPr>
        <w:t>Note d'information à l'intention du Comité des représentants permanents (2e partie)</w:t>
      </w:r>
    </w:p>
    <w:p w14:paraId="0D01B8F8" w14:textId="460F1BD8" w:rsidR="009A6809" w:rsidRPr="00374CA3" w:rsidRDefault="009A6809" w:rsidP="009A6809">
      <w:pPr>
        <w:spacing w:after="0"/>
        <w:rPr>
          <w:lang w:val="en-US"/>
        </w:rPr>
      </w:pPr>
      <w:r w:rsidRPr="00374CA3">
        <w:rPr>
          <w:lang w:val="en-US"/>
        </w:rPr>
        <w:br/>
      </w:r>
      <w:r w:rsidRPr="00374CA3">
        <w:rPr>
          <w:noProof/>
          <w:lang w:val="en-US"/>
        </w:rPr>
        <w:t>10714</w:t>
      </w:r>
      <w:r w:rsidRPr="00374CA3">
        <w:rPr>
          <w:lang w:val="en-US"/>
        </w:rPr>
        <w:t>/15 JUR 476 AGRI 389 AGRIORG 50 AGRIFIN 65 VINS 1+ COR 1</w:t>
      </w:r>
    </w:p>
    <w:p w14:paraId="58B5807D" w14:textId="77777777" w:rsidR="00AA47D1" w:rsidRPr="00374CA3" w:rsidRDefault="00AA47D1" w:rsidP="009A6809">
      <w:pPr>
        <w:spacing w:after="0"/>
        <w:rPr>
          <w:lang w:val="en-US"/>
        </w:rPr>
      </w:pPr>
    </w:p>
    <w:p w14:paraId="0D01B8F9" w14:textId="77777777" w:rsidR="009A6809" w:rsidRPr="00374CA3" w:rsidRDefault="009A6809" w:rsidP="009A6809">
      <w:pPr>
        <w:spacing w:after="0"/>
        <w:rPr>
          <w:noProof/>
        </w:rPr>
      </w:pPr>
      <w:r w:rsidRPr="00374CA3">
        <w:rPr>
          <w:b/>
        </w:rPr>
        <w:t>Ansvarigt statsråd</w:t>
      </w:r>
      <w:r w:rsidRPr="00374CA3">
        <w:rPr>
          <w:b/>
        </w:rPr>
        <w:br/>
      </w:r>
      <w:r w:rsidRPr="00374CA3">
        <w:rPr>
          <w:noProof/>
        </w:rPr>
        <w:t>Margot Wallström</w:t>
      </w:r>
    </w:p>
    <w:p w14:paraId="7F9E6638" w14:textId="77777777" w:rsidR="00490C51" w:rsidRPr="00374CA3" w:rsidRDefault="00490C51" w:rsidP="009A6809">
      <w:pPr>
        <w:spacing w:after="0"/>
      </w:pPr>
    </w:p>
    <w:p w14:paraId="0D01B8FC" w14:textId="77777777" w:rsidR="009A6809" w:rsidRPr="00374CA3" w:rsidRDefault="009A6809" w:rsidP="009A6809">
      <w:pPr>
        <w:spacing w:after="0"/>
      </w:pPr>
      <w:r w:rsidRPr="00374CA3">
        <w:rPr>
          <w:b/>
        </w:rPr>
        <w:t>Annotering</w:t>
      </w:r>
      <w:r w:rsidRPr="00374CA3">
        <w:rPr>
          <w:b/>
        </w:rPr>
        <w:br/>
      </w:r>
      <w:r w:rsidRPr="00374CA3">
        <w:rPr>
          <w:b/>
          <w:bCs/>
        </w:rPr>
        <w:t>Avsikt med behandlingen i rådet:</w:t>
      </w:r>
      <w:r w:rsidRPr="00374CA3">
        <w:t xml:space="preserve"> Rådet utser två ombud vid rådets rättstjänst för att kunna ge in svarskrift i mål C-227/15 P, </w:t>
      </w:r>
      <w:r w:rsidRPr="00374CA3">
        <w:rPr>
          <w:i/>
          <w:iCs/>
        </w:rPr>
        <w:t>Aubineau m.fl. mot rådet och kommissionen</w:t>
      </w:r>
      <w:r w:rsidRPr="00374CA3">
        <w:t xml:space="preserve">, vid EU-domstolen. </w:t>
      </w:r>
    </w:p>
    <w:p w14:paraId="3AA41FE2" w14:textId="77777777" w:rsidR="00AA47D1" w:rsidRPr="00374CA3" w:rsidRDefault="00AA47D1" w:rsidP="009A6809">
      <w:pPr>
        <w:spacing w:after="0"/>
      </w:pPr>
    </w:p>
    <w:p w14:paraId="72974240" w14:textId="77777777" w:rsidR="00AA47D1" w:rsidRPr="00374CA3" w:rsidRDefault="009A6809" w:rsidP="009A6809">
      <w:pPr>
        <w:spacing w:after="0"/>
      </w:pPr>
      <w:r w:rsidRPr="00374CA3">
        <w:rPr>
          <w:b/>
          <w:bCs/>
        </w:rPr>
        <w:t>Hur regeringen ställer sig till den blivande A-punkten:</w:t>
      </w:r>
      <w:r w:rsidRPr="00374CA3">
        <w:t xml:space="preserve"> Regeringen har ingen erinran. </w:t>
      </w:r>
    </w:p>
    <w:p w14:paraId="2BE9E6F7" w14:textId="77777777" w:rsidR="00AA47D1" w:rsidRPr="00374CA3" w:rsidRDefault="00AA47D1" w:rsidP="009A6809">
      <w:pPr>
        <w:spacing w:after="0"/>
      </w:pPr>
    </w:p>
    <w:p w14:paraId="0D01B8FE" w14:textId="2FD57B5A" w:rsidR="003C341F" w:rsidRPr="00374CA3" w:rsidRDefault="009A6809" w:rsidP="009A6809">
      <w:pPr>
        <w:spacing w:after="0"/>
      </w:pPr>
      <w:r w:rsidRPr="00374CA3">
        <w:rPr>
          <w:b/>
          <w:bCs/>
        </w:rPr>
        <w:t xml:space="preserve">Bakgrund: </w:t>
      </w:r>
      <w:r w:rsidRPr="00374CA3">
        <w:t>Klagandena i nu aktuellt mål, dvs. C-227/15 P, utgörs av ett antal personer som har överklagat en dom som tribunalen meddelat (i ett antal förenade mål). Målen vid tribunalen har i allt väsentligt handlat om en bestämmelse (artikel 28) i förordning 1493/1999 om den gemensamma organisationen av marknaden för vin som innebär att vin i vissa fall ska destilleras före ett angivet datum.</w:t>
      </w:r>
    </w:p>
    <w:p w14:paraId="0D01B8FF" w14:textId="77777777" w:rsidR="009A6809" w:rsidRPr="00374CA3" w:rsidRDefault="009A6809" w:rsidP="009A6809">
      <w:pPr>
        <w:spacing w:after="0"/>
        <w:rPr>
          <w:noProof/>
        </w:rPr>
      </w:pPr>
    </w:p>
    <w:p w14:paraId="0D01B900" w14:textId="7ED2C415" w:rsidR="009A6809" w:rsidRPr="00374CA3" w:rsidRDefault="00E20150" w:rsidP="00E20150">
      <w:pPr>
        <w:pStyle w:val="Rubrik1"/>
        <w:rPr>
          <w:lang w:val="fr-BE"/>
        </w:rPr>
      </w:pPr>
      <w:bookmarkStart w:id="32" w:name="_Toc424818130"/>
      <w:bookmarkEnd w:id="1"/>
      <w:r w:rsidRPr="00374CA3">
        <w:rPr>
          <w:lang w:val="fr-BE"/>
        </w:rPr>
        <w:t>Règlement délégué (UE) …/... de la Commission du 8.7.2015 complétant le règlement (UE) nº 1303/2013 du Parlement européen et du Conseil par des dispositions spécifiques relatives à la notification des irrégularités en ce qui concerne le Fonds européen de développement régional, le Fonds social européen, le Fonds de cohésion et le Fonds européen pour les affaires maritimes et la pêche</w:t>
      </w:r>
      <w:bookmarkEnd w:id="32"/>
    </w:p>
    <w:p w14:paraId="7E683554" w14:textId="3BB86423" w:rsidR="00E20150" w:rsidRPr="00374CA3" w:rsidRDefault="00E20150" w:rsidP="00E20150">
      <w:pPr>
        <w:ind w:firstLine="6"/>
        <w:rPr>
          <w:lang w:val="fr-BE"/>
        </w:rPr>
      </w:pPr>
      <w:r w:rsidRPr="00374CA3">
        <w:rPr>
          <w:sz w:val="14"/>
          <w:szCs w:val="14"/>
          <w:lang w:val="fr-BE"/>
        </w:rPr>
        <w:t xml:space="preserve">=  </w:t>
      </w:r>
      <w:r w:rsidRPr="00374CA3">
        <w:rPr>
          <w:lang w:val="fr-BE"/>
        </w:rPr>
        <w:t>Décision de prolongation du délai pour soulever des objections à l'acte délégué</w:t>
      </w:r>
    </w:p>
    <w:p w14:paraId="41DF8E4A" w14:textId="77777777" w:rsidR="00E20150" w:rsidRPr="004F11F0" w:rsidRDefault="00E20150" w:rsidP="00E20150">
      <w:pPr>
        <w:pStyle w:val="text3"/>
        <w:ind w:left="0" w:firstLine="714"/>
        <w:rPr>
          <w:lang w:val="en-US"/>
        </w:rPr>
      </w:pPr>
      <w:r w:rsidRPr="00374CA3">
        <w:rPr>
          <w:lang w:val="it-IT"/>
        </w:rPr>
        <w:t>10880/15 FSTR 43 FC 41 REGIO 56 SOC 451 EMPL 296 GAF 23 FIN 519</w:t>
      </w:r>
    </w:p>
    <w:p w14:paraId="3862909D" w14:textId="77777777" w:rsidR="00E20150" w:rsidRPr="004F11F0" w:rsidRDefault="00E20150" w:rsidP="00E20150">
      <w:pPr>
        <w:pStyle w:val="text5"/>
        <w:ind w:left="0" w:firstLine="714"/>
        <w:rPr>
          <w:lang w:val="en-US"/>
        </w:rPr>
      </w:pPr>
      <w:r w:rsidRPr="00374CA3">
        <w:rPr>
          <w:lang w:val="it-IT"/>
        </w:rPr>
        <w:t>AGRISTR 55 PECHE 251 CADREFIN 37 DELACT 94</w:t>
      </w:r>
    </w:p>
    <w:p w14:paraId="3852A7CF" w14:textId="77777777" w:rsidR="00E20150" w:rsidRPr="004F11F0" w:rsidRDefault="00E20150" w:rsidP="00E20150">
      <w:pPr>
        <w:pStyle w:val="text3"/>
        <w:ind w:left="0" w:firstLine="714"/>
        <w:rPr>
          <w:lang w:val="en-US"/>
        </w:rPr>
      </w:pPr>
      <w:r w:rsidRPr="00374CA3">
        <w:rPr>
          <w:lang w:val="it-IT"/>
        </w:rPr>
        <w:t>10735/15 FSTR 38 FC 39 REGIO 52 SOC 442 EMPL 287 GAF 22 FIN 504</w:t>
      </w:r>
    </w:p>
    <w:p w14:paraId="55FC82B2" w14:textId="77777777" w:rsidR="00E20150" w:rsidRPr="00374CA3" w:rsidRDefault="00E20150" w:rsidP="00E20150">
      <w:pPr>
        <w:pStyle w:val="text5"/>
        <w:ind w:left="0" w:firstLine="714"/>
        <w:rPr>
          <w:lang w:val="it-IT"/>
        </w:rPr>
      </w:pPr>
      <w:r w:rsidRPr="00374CA3">
        <w:rPr>
          <w:lang w:val="it-IT"/>
        </w:rPr>
        <w:t>AGRISTR 53 PECHE 245 CADREFIN 32 DELACT 87</w:t>
      </w:r>
    </w:p>
    <w:p w14:paraId="532EBFFA" w14:textId="77777777" w:rsidR="00E20150" w:rsidRPr="00374CA3" w:rsidRDefault="00E20150" w:rsidP="00E20150">
      <w:pPr>
        <w:pStyle w:val="text5"/>
        <w:ind w:left="0" w:firstLine="714"/>
        <w:rPr>
          <w:lang w:val="it-IT"/>
        </w:rPr>
      </w:pPr>
    </w:p>
    <w:p w14:paraId="4AC3D0BE" w14:textId="62B02D9A" w:rsidR="009C1484" w:rsidRPr="00374CA3" w:rsidRDefault="009C1484" w:rsidP="009C1484">
      <w:pPr>
        <w:pStyle w:val="text5"/>
        <w:ind w:left="0" w:firstLine="714"/>
        <w:rPr>
          <w:rFonts w:eastAsia="Calibri"/>
          <w:b/>
          <w:sz w:val="22"/>
          <w:szCs w:val="22"/>
          <w:lang w:eastAsia="en-US"/>
        </w:rPr>
      </w:pPr>
      <w:r w:rsidRPr="00374CA3">
        <w:rPr>
          <w:rFonts w:eastAsia="Calibri"/>
          <w:b/>
          <w:sz w:val="22"/>
          <w:szCs w:val="22"/>
          <w:lang w:eastAsia="en-US"/>
        </w:rPr>
        <w:t xml:space="preserve">Avsikt med behandlingen i rådet: </w:t>
      </w:r>
      <w:r w:rsidRPr="00374CA3">
        <w:rPr>
          <w:rFonts w:eastAsia="Calibri"/>
          <w:sz w:val="22"/>
          <w:szCs w:val="22"/>
          <w:lang w:eastAsia="en-US"/>
        </w:rPr>
        <w:t>Beslut om förlängning av tidsfristen för invändningar</w:t>
      </w:r>
      <w:r w:rsidRPr="00374CA3">
        <w:rPr>
          <w:rFonts w:eastAsia="Calibri"/>
          <w:b/>
          <w:sz w:val="22"/>
          <w:szCs w:val="22"/>
          <w:lang w:eastAsia="en-US"/>
        </w:rPr>
        <w:t xml:space="preserve"> </w:t>
      </w:r>
    </w:p>
    <w:p w14:paraId="552BDA05" w14:textId="1BD2479C" w:rsidR="009C1484" w:rsidRPr="00374CA3" w:rsidRDefault="009C1484" w:rsidP="009C1484">
      <w:pPr>
        <w:pStyle w:val="text5"/>
        <w:ind w:left="714"/>
        <w:rPr>
          <w:rFonts w:eastAsia="Calibri"/>
          <w:sz w:val="22"/>
          <w:szCs w:val="22"/>
          <w:lang w:eastAsia="en-US"/>
        </w:rPr>
      </w:pPr>
      <w:r w:rsidRPr="00374CA3">
        <w:rPr>
          <w:rFonts w:eastAsia="Calibri"/>
          <w:b/>
          <w:sz w:val="22"/>
          <w:szCs w:val="22"/>
          <w:lang w:eastAsia="en-US"/>
        </w:rPr>
        <w:t xml:space="preserve">Hur regeringen ställer sig till den blivande A-punkten: </w:t>
      </w:r>
      <w:r w:rsidRPr="00374CA3">
        <w:rPr>
          <w:rFonts w:eastAsia="Calibri"/>
          <w:sz w:val="22"/>
          <w:szCs w:val="22"/>
          <w:lang w:eastAsia="en-US"/>
        </w:rPr>
        <w:t xml:space="preserve">Regeringen avser att stödja förslaget </w:t>
      </w:r>
    </w:p>
    <w:p w14:paraId="0E57D939" w14:textId="77777777" w:rsidR="009C1484" w:rsidRPr="00374CA3" w:rsidRDefault="009C1484" w:rsidP="009C1484">
      <w:pPr>
        <w:pStyle w:val="text5"/>
        <w:ind w:left="0" w:firstLine="714"/>
        <w:rPr>
          <w:rFonts w:eastAsia="Calibri"/>
          <w:b/>
          <w:sz w:val="22"/>
          <w:szCs w:val="22"/>
          <w:lang w:eastAsia="en-US"/>
        </w:rPr>
      </w:pPr>
    </w:p>
    <w:p w14:paraId="17FD8FB9" w14:textId="5B35064B" w:rsidR="00490C51" w:rsidRPr="00374CA3" w:rsidRDefault="009C1484" w:rsidP="009C1484">
      <w:pPr>
        <w:pStyle w:val="text5"/>
        <w:ind w:left="714"/>
        <w:rPr>
          <w:lang w:val="it-IT"/>
        </w:rPr>
      </w:pPr>
      <w:r w:rsidRPr="00374CA3">
        <w:rPr>
          <w:rFonts w:eastAsia="Calibri"/>
          <w:b/>
          <w:sz w:val="22"/>
          <w:szCs w:val="22"/>
          <w:lang w:eastAsia="en-US"/>
        </w:rPr>
        <w:t xml:space="preserve">Bakgrund: </w:t>
      </w:r>
      <w:r w:rsidRPr="00374CA3">
        <w:rPr>
          <w:rFonts w:eastAsia="Calibri"/>
          <w:sz w:val="22"/>
          <w:szCs w:val="22"/>
          <w:lang w:eastAsia="en-US"/>
        </w:rPr>
        <w:t>Eftersom rådsarbetsgruppen inte hinner behandla frågan inom den ursprungliga tidsramen bör tidsramen förlängas med två månader.</w:t>
      </w:r>
    </w:p>
    <w:p w14:paraId="222022F3" w14:textId="77777777" w:rsidR="00E20150" w:rsidRPr="00374CA3" w:rsidRDefault="00E20150" w:rsidP="00E20150">
      <w:pPr>
        <w:pStyle w:val="text5"/>
        <w:ind w:left="0" w:firstLine="714"/>
        <w:rPr>
          <w:lang w:val="it-IT"/>
        </w:rPr>
      </w:pPr>
    </w:p>
    <w:p w14:paraId="4387C771" w14:textId="5115455A" w:rsidR="00E20150" w:rsidRPr="00374CA3" w:rsidRDefault="00E20150" w:rsidP="00E20150">
      <w:pPr>
        <w:pStyle w:val="Rubrik1"/>
      </w:pPr>
      <w:bookmarkStart w:id="33" w:name="_Toc424818131"/>
      <w:r w:rsidRPr="00374CA3">
        <w:rPr>
          <w:lang w:val="fr-BE"/>
        </w:rPr>
        <w:t>L</w:t>
      </w:r>
      <w:r w:rsidRPr="00374CA3">
        <w:rPr>
          <w:lang w:val="fr-FR"/>
        </w:rPr>
        <w:t>a position de l'Union européenne et ses Etats Membres en vue de la deuxième Réunion des Signataires du Mémorandum d'Entente sur la Conservation des Requins Migrateurs</w:t>
      </w:r>
      <w:bookmarkEnd w:id="33"/>
    </w:p>
    <w:p w14:paraId="7D87B52A" w14:textId="77777777" w:rsidR="00E20150" w:rsidRPr="00374CA3" w:rsidRDefault="00E20150" w:rsidP="00E20150">
      <w:pPr>
        <w:pStyle w:val="dashequal1"/>
        <w:ind w:hanging="414"/>
        <w:rPr>
          <w:lang w:val="fr-BE"/>
        </w:rPr>
      </w:pPr>
      <w:r w:rsidRPr="00374CA3">
        <w:rPr>
          <w:lang w:val="fr-BE"/>
        </w:rPr>
        <w:t>=</w:t>
      </w:r>
      <w:r w:rsidRPr="00374CA3">
        <w:rPr>
          <w:sz w:val="14"/>
          <w:szCs w:val="14"/>
          <w:lang w:val="fr-BE"/>
        </w:rPr>
        <w:t xml:space="preserve">               </w:t>
      </w:r>
      <w:r w:rsidRPr="00374CA3">
        <w:rPr>
          <w:lang w:val="fr-BE"/>
        </w:rPr>
        <w:t xml:space="preserve">Conclusions du Conseil </w:t>
      </w:r>
    </w:p>
    <w:p w14:paraId="2BE65421" w14:textId="77777777" w:rsidR="00E20150" w:rsidRPr="00374CA3" w:rsidRDefault="00E20150" w:rsidP="00490C51">
      <w:pPr>
        <w:pStyle w:val="dashequal1"/>
        <w:rPr>
          <w:lang w:val="fr-BE"/>
        </w:rPr>
      </w:pPr>
    </w:p>
    <w:p w14:paraId="7E60B21E" w14:textId="77777777" w:rsidR="00E20150" w:rsidRPr="00374CA3" w:rsidRDefault="00E20150" w:rsidP="00E20150">
      <w:pPr>
        <w:pStyle w:val="text3"/>
        <w:ind w:left="0" w:firstLine="720"/>
      </w:pPr>
      <w:r w:rsidRPr="004F11F0">
        <w:t>10825/15 PECHE 248</w:t>
      </w:r>
    </w:p>
    <w:p w14:paraId="3E363F6B" w14:textId="77777777" w:rsidR="00E20150" w:rsidRPr="00374CA3" w:rsidRDefault="00E20150" w:rsidP="00E20150">
      <w:pPr>
        <w:pStyle w:val="dashequal1"/>
        <w:ind w:hanging="414"/>
      </w:pPr>
    </w:p>
    <w:p w14:paraId="26B4A3D6" w14:textId="47DD1E31" w:rsidR="009C1484" w:rsidRPr="00374CA3" w:rsidRDefault="009C1484" w:rsidP="009C1484">
      <w:pPr>
        <w:rPr>
          <w:b/>
        </w:rPr>
      </w:pPr>
      <w:r w:rsidRPr="00374CA3">
        <w:rPr>
          <w:b/>
          <w:bCs/>
        </w:rPr>
        <w:t>Avsikt med behandlingen i rådet:</w:t>
      </w:r>
      <w:r w:rsidRPr="00374CA3">
        <w:rPr>
          <w:b/>
        </w:rPr>
        <w:t xml:space="preserve"> </w:t>
      </w:r>
      <w:r w:rsidRPr="00374CA3">
        <w:t xml:space="preserve">Föreberedelser inför det andra mötet. </w:t>
      </w:r>
    </w:p>
    <w:p w14:paraId="7EB02BC5" w14:textId="2BA08362" w:rsidR="009C1484" w:rsidRPr="00374CA3" w:rsidRDefault="009C1484" w:rsidP="009C1484">
      <w:pPr>
        <w:rPr>
          <w:b/>
        </w:rPr>
      </w:pPr>
      <w:r w:rsidRPr="00374CA3">
        <w:rPr>
          <w:b/>
          <w:bCs/>
        </w:rPr>
        <w:t>Hur regeringen ställer sig till den blivande A-punkten:</w:t>
      </w:r>
      <w:r w:rsidRPr="00374CA3">
        <w:rPr>
          <w:b/>
        </w:rPr>
        <w:t xml:space="preserve"> </w:t>
      </w:r>
      <w:r w:rsidRPr="00374CA3">
        <w:t>Regeringen kan ställa sig bakom detta.</w:t>
      </w:r>
    </w:p>
    <w:p w14:paraId="18514FCE" w14:textId="77777777" w:rsidR="00BA4D8B" w:rsidRPr="00374CA3" w:rsidRDefault="009C1484" w:rsidP="009C1484">
      <w:r w:rsidRPr="00374CA3">
        <w:rPr>
          <w:b/>
          <w:bCs/>
        </w:rPr>
        <w:t>Bakgrund:</w:t>
      </w:r>
      <w:r w:rsidRPr="00374CA3">
        <w:rPr>
          <w:b/>
        </w:rPr>
        <w:t xml:space="preserve"> </w:t>
      </w:r>
      <w:r w:rsidRPr="00374CA3">
        <w:t xml:space="preserve">EU undertecknade ett MoU i november 2011. På inbjudan av kommissionen har vissa medlemsstater har också undertecknat MoUn. Syftet med MOUn är att uppnå och bibehålla en gynnsam bevarandestatus för migrerande hajar grundar sig på bästa tillgängliga vetenskapliga rön, med hänsyn tagen till de socioekonomiska och andra värden av dessa arter för folket av undertecknarna. </w:t>
      </w:r>
    </w:p>
    <w:p w14:paraId="639CCBA5" w14:textId="026F60D0" w:rsidR="009C1484" w:rsidRPr="009C1484" w:rsidRDefault="009C1484" w:rsidP="009C1484">
      <w:pPr>
        <w:rPr>
          <w:b/>
        </w:rPr>
      </w:pPr>
      <w:r w:rsidRPr="00374CA3">
        <w:t>MOUn har genomförts genom en naturvårdsplan som har antagits under det första mötet i undertecknarna (MoS1) som ägde rum i september 2012 i Bonn. Ett andra möte av undertecknarna (MoS2) väntas i början av februari 2016 (datumet är inte känt ännu). Varje förslag till ändring av samförståndsavtalet bör lämnas till sekretariatet minst 150 dagar innan.</w:t>
      </w:r>
    </w:p>
    <w:p w14:paraId="7D9FD7B4" w14:textId="77777777" w:rsidR="00E20150" w:rsidRDefault="00E20150" w:rsidP="00E20150">
      <w:pPr>
        <w:rPr>
          <w:lang w:val="fr-BE"/>
        </w:rPr>
      </w:pPr>
    </w:p>
    <w:p w14:paraId="3812721A" w14:textId="77777777" w:rsidR="00E20150" w:rsidRPr="00E20150" w:rsidRDefault="00E20150" w:rsidP="00E20150">
      <w:pPr>
        <w:rPr>
          <w:lang w:val="fr-BE"/>
        </w:rPr>
      </w:pPr>
    </w:p>
    <w:sectPr w:rsidR="00E20150" w:rsidRPr="00E20150" w:rsidSect="009A6809">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B15AA" w14:textId="77777777" w:rsidR="00374CA3" w:rsidRDefault="00374CA3">
      <w:pPr>
        <w:spacing w:after="0" w:line="240" w:lineRule="auto"/>
      </w:pPr>
      <w:r>
        <w:separator/>
      </w:r>
    </w:p>
  </w:endnote>
  <w:endnote w:type="continuationSeparator" w:id="0">
    <w:p w14:paraId="0CAA6D8C" w14:textId="77777777" w:rsidR="00374CA3" w:rsidRDefault="0037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D50C3" w14:textId="77777777" w:rsidR="00374CA3" w:rsidRDefault="00374CA3">
      <w:pPr>
        <w:spacing w:after="0" w:line="240" w:lineRule="auto"/>
      </w:pPr>
      <w:r>
        <w:separator/>
      </w:r>
    </w:p>
  </w:footnote>
  <w:footnote w:type="continuationSeparator" w:id="0">
    <w:p w14:paraId="1B41D40A" w14:textId="77777777" w:rsidR="00374CA3" w:rsidRDefault="00374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62679"/>
      <w:docPartObj>
        <w:docPartGallery w:val="Page Numbers (Top of Page)"/>
        <w:docPartUnique/>
      </w:docPartObj>
    </w:sdtPr>
    <w:sdtEndPr/>
    <w:sdtContent>
      <w:p w14:paraId="0E7FB4CB" w14:textId="5493899F" w:rsidR="00374CA3" w:rsidRDefault="00374CA3">
        <w:pPr>
          <w:pStyle w:val="Sidhuvud"/>
          <w:jc w:val="right"/>
        </w:pPr>
        <w:r>
          <w:fldChar w:fldCharType="begin"/>
        </w:r>
        <w:r>
          <w:instrText>PAGE   \* MERGEFORMAT</w:instrText>
        </w:r>
        <w:r>
          <w:fldChar w:fldCharType="separate"/>
        </w:r>
        <w:r w:rsidR="004F11F0">
          <w:rPr>
            <w:noProof/>
          </w:rPr>
          <w:t>4</w:t>
        </w:r>
        <w:r>
          <w:fldChar w:fldCharType="end"/>
        </w:r>
      </w:p>
    </w:sdtContent>
  </w:sdt>
  <w:p w14:paraId="0D01B902" w14:textId="77777777" w:rsidR="00374CA3" w:rsidRDefault="00374CA3" w:rsidP="009A680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74CA3" w14:paraId="0D01B908" w14:textId="77777777" w:rsidTr="009A6809">
      <w:tc>
        <w:tcPr>
          <w:tcW w:w="4606" w:type="dxa"/>
        </w:tcPr>
        <w:p w14:paraId="0D01B903" w14:textId="77777777" w:rsidR="00374CA3" w:rsidRDefault="00374CA3" w:rsidP="009A6809">
          <w:pPr>
            <w:pStyle w:val="Sidhuvud"/>
            <w:ind w:left="0"/>
          </w:pPr>
          <w:r>
            <w:rPr>
              <w:noProof/>
              <w:lang w:eastAsia="sv-SE"/>
            </w:rPr>
            <w:drawing>
              <wp:inline distT="0" distB="0" distL="0" distR="0" wp14:anchorId="0D01B90E" wp14:editId="0D01B90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D01B904" w14:textId="77777777" w:rsidR="00374CA3" w:rsidRDefault="00374CA3" w:rsidP="009A6809">
          <w:pPr>
            <w:ind w:right="916"/>
            <w:rPr>
              <w:rFonts w:ascii="TradeGothic" w:hAnsi="TradeGothic"/>
              <w:b/>
            </w:rPr>
          </w:pPr>
        </w:p>
        <w:p w14:paraId="0D01B905" w14:textId="77777777" w:rsidR="00374CA3" w:rsidRDefault="00374CA3" w:rsidP="009A6809">
          <w:pPr>
            <w:ind w:right="916"/>
          </w:pPr>
          <w:r>
            <w:rPr>
              <w:rFonts w:ascii="TradeGothic" w:hAnsi="TradeGothic"/>
              <w:b/>
            </w:rPr>
            <w:t>Promemoria</w:t>
          </w:r>
        </w:p>
        <w:p w14:paraId="0D01B906" w14:textId="77777777" w:rsidR="00374CA3" w:rsidRDefault="00374CA3" w:rsidP="009A6809">
          <w:pPr>
            <w:jc w:val="right"/>
          </w:pPr>
        </w:p>
        <w:p w14:paraId="0D01B907" w14:textId="231B60EA" w:rsidR="00374CA3" w:rsidRDefault="00374CA3" w:rsidP="009A6809">
          <w:pPr>
            <w:ind w:right="916"/>
          </w:pPr>
          <w:r>
            <w:rPr>
              <w:rFonts w:ascii="TradeGothic" w:hAnsi="TradeGothic"/>
              <w:b/>
              <w:noProof/>
            </w:rPr>
            <w:t>2015-07-16</w:t>
          </w:r>
          <w:r w:rsidRPr="00934953">
            <w:t xml:space="preserve"> </w:t>
          </w:r>
        </w:p>
      </w:tc>
    </w:tr>
  </w:tbl>
  <w:p w14:paraId="0D01B909" w14:textId="77777777" w:rsidR="00374CA3" w:rsidRDefault="00374CA3" w:rsidP="009A6809">
    <w:pPr>
      <w:pStyle w:val="Avsndare"/>
      <w:framePr w:w="0" w:hRule="auto" w:hSpace="0" w:wrap="auto" w:vAnchor="margin" w:hAnchor="text" w:xAlign="left" w:yAlign="inline"/>
      <w:rPr>
        <w:b/>
        <w:i w:val="0"/>
        <w:sz w:val="22"/>
      </w:rPr>
    </w:pPr>
  </w:p>
  <w:p w14:paraId="0D01B90A" w14:textId="77777777" w:rsidR="00374CA3" w:rsidRDefault="00374CA3" w:rsidP="009A6809">
    <w:pPr>
      <w:pStyle w:val="Avsndare"/>
      <w:framePr w:w="0" w:hRule="auto" w:hSpace="0" w:wrap="auto" w:vAnchor="margin" w:hAnchor="text" w:xAlign="left" w:yAlign="inline"/>
      <w:rPr>
        <w:b/>
        <w:i w:val="0"/>
        <w:sz w:val="22"/>
      </w:rPr>
    </w:pPr>
    <w:r>
      <w:rPr>
        <w:b/>
        <w:i w:val="0"/>
        <w:sz w:val="22"/>
      </w:rPr>
      <w:t>Statsrådsberedningen</w:t>
    </w:r>
  </w:p>
  <w:p w14:paraId="0D01B90B" w14:textId="77777777" w:rsidR="00374CA3" w:rsidRDefault="00374CA3" w:rsidP="009A6809">
    <w:pPr>
      <w:pStyle w:val="Avsndare"/>
      <w:framePr w:w="0" w:hRule="auto" w:hSpace="0" w:wrap="auto" w:vAnchor="margin" w:hAnchor="text" w:xAlign="left" w:yAlign="inline"/>
    </w:pPr>
  </w:p>
  <w:p w14:paraId="0D01B90C" w14:textId="77777777" w:rsidR="00374CA3" w:rsidRDefault="00374CA3" w:rsidP="009A6809">
    <w:pPr>
      <w:pStyle w:val="Avsndare"/>
      <w:framePr w:w="0" w:hRule="auto" w:hSpace="0" w:wrap="auto" w:vAnchor="margin" w:hAnchor="text" w:xAlign="left" w:yAlign="inline"/>
    </w:pPr>
    <w:r>
      <w:t>EU-kansliet</w:t>
    </w:r>
  </w:p>
  <w:p w14:paraId="0D01B90D" w14:textId="77777777" w:rsidR="00374CA3" w:rsidRDefault="00374CA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E4C75"/>
    <w:multiLevelType w:val="hybridMultilevel"/>
    <w:tmpl w:val="3C32C078"/>
    <w:lvl w:ilvl="0" w:tplc="DC206B2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257D5377"/>
    <w:multiLevelType w:val="hybridMultilevel"/>
    <w:tmpl w:val="7F88153C"/>
    <w:lvl w:ilvl="0" w:tplc="D8023C52">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2" w15:restartNumberingAfterBreak="0">
    <w:nsid w:val="44B51320"/>
    <w:multiLevelType w:val="hybridMultilevel"/>
    <w:tmpl w:val="9050BA14"/>
    <w:lvl w:ilvl="0" w:tplc="37B0AEE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3" w15:restartNumberingAfterBreak="0">
    <w:nsid w:val="4D766F56"/>
    <w:multiLevelType w:val="hybridMultilevel"/>
    <w:tmpl w:val="FCA61B8A"/>
    <w:lvl w:ilvl="0" w:tplc="7F569B8E">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4" w15:restartNumberingAfterBreak="0">
    <w:nsid w:val="6A410AE9"/>
    <w:multiLevelType w:val="hybridMultilevel"/>
    <w:tmpl w:val="5E0C4660"/>
    <w:lvl w:ilvl="0" w:tplc="0F625DF0">
      <w:start w:val="1"/>
      <w:numFmt w:val="decimal"/>
      <w:pStyle w:val="Rubrik1"/>
      <w:lvlText w:val="%1."/>
      <w:lvlJc w:val="left"/>
      <w:pPr>
        <w:ind w:left="720" w:hanging="360"/>
      </w:pPr>
    </w:lvl>
    <w:lvl w:ilvl="1" w:tplc="2ED657E6" w:tentative="1">
      <w:start w:val="1"/>
      <w:numFmt w:val="lowerLetter"/>
      <w:lvlText w:val="%2."/>
      <w:lvlJc w:val="left"/>
      <w:pPr>
        <w:ind w:left="1440" w:hanging="360"/>
      </w:pPr>
    </w:lvl>
    <w:lvl w:ilvl="2" w:tplc="7EF61A28" w:tentative="1">
      <w:start w:val="1"/>
      <w:numFmt w:val="lowerRoman"/>
      <w:lvlText w:val="%3."/>
      <w:lvlJc w:val="right"/>
      <w:pPr>
        <w:ind w:left="2160" w:hanging="180"/>
      </w:pPr>
    </w:lvl>
    <w:lvl w:ilvl="3" w:tplc="C47C6E64" w:tentative="1">
      <w:start w:val="1"/>
      <w:numFmt w:val="decimal"/>
      <w:lvlText w:val="%4."/>
      <w:lvlJc w:val="left"/>
      <w:pPr>
        <w:ind w:left="2880" w:hanging="360"/>
      </w:pPr>
    </w:lvl>
    <w:lvl w:ilvl="4" w:tplc="4B823390" w:tentative="1">
      <w:start w:val="1"/>
      <w:numFmt w:val="lowerLetter"/>
      <w:lvlText w:val="%5."/>
      <w:lvlJc w:val="left"/>
      <w:pPr>
        <w:ind w:left="3600" w:hanging="360"/>
      </w:pPr>
    </w:lvl>
    <w:lvl w:ilvl="5" w:tplc="7842046A" w:tentative="1">
      <w:start w:val="1"/>
      <w:numFmt w:val="lowerRoman"/>
      <w:lvlText w:val="%6."/>
      <w:lvlJc w:val="right"/>
      <w:pPr>
        <w:ind w:left="4320" w:hanging="180"/>
      </w:pPr>
    </w:lvl>
    <w:lvl w:ilvl="6" w:tplc="D8502960" w:tentative="1">
      <w:start w:val="1"/>
      <w:numFmt w:val="decimal"/>
      <w:lvlText w:val="%7."/>
      <w:lvlJc w:val="left"/>
      <w:pPr>
        <w:ind w:left="5040" w:hanging="360"/>
      </w:pPr>
    </w:lvl>
    <w:lvl w:ilvl="7" w:tplc="A4A4B442" w:tentative="1">
      <w:start w:val="1"/>
      <w:numFmt w:val="lowerLetter"/>
      <w:lvlText w:val="%8."/>
      <w:lvlJc w:val="left"/>
      <w:pPr>
        <w:ind w:left="5760" w:hanging="360"/>
      </w:pPr>
    </w:lvl>
    <w:lvl w:ilvl="8" w:tplc="B4E0A076" w:tentative="1">
      <w:start w:val="1"/>
      <w:numFmt w:val="lowerRoman"/>
      <w:lvlText w:val="%9."/>
      <w:lvlJc w:val="right"/>
      <w:pPr>
        <w:ind w:left="6480" w:hanging="180"/>
      </w:pPr>
    </w:lvl>
  </w:abstractNum>
  <w:abstractNum w:abstractNumId="5" w15:restartNumberingAfterBreak="0">
    <w:nsid w:val="73990993"/>
    <w:multiLevelType w:val="hybridMultilevel"/>
    <w:tmpl w:val="3BD822EE"/>
    <w:lvl w:ilvl="0" w:tplc="2774E8DE">
      <w:start w:val="1"/>
      <w:numFmt w:val="decimal"/>
      <w:lvlText w:val="%1."/>
      <w:lvlJc w:val="left"/>
      <w:pPr>
        <w:ind w:left="360" w:hanging="360"/>
      </w:pPr>
      <w:rPr>
        <w:b w:val="0"/>
      </w:rPr>
    </w:lvl>
    <w:lvl w:ilvl="1" w:tplc="31CE0616" w:tentative="1">
      <w:start w:val="1"/>
      <w:numFmt w:val="lowerLetter"/>
      <w:lvlText w:val="%2."/>
      <w:lvlJc w:val="left"/>
      <w:pPr>
        <w:ind w:left="1080" w:hanging="360"/>
      </w:pPr>
    </w:lvl>
    <w:lvl w:ilvl="2" w:tplc="BBB00548" w:tentative="1">
      <w:start w:val="1"/>
      <w:numFmt w:val="lowerRoman"/>
      <w:lvlText w:val="%3."/>
      <w:lvlJc w:val="right"/>
      <w:pPr>
        <w:ind w:left="1800" w:hanging="180"/>
      </w:pPr>
    </w:lvl>
    <w:lvl w:ilvl="3" w:tplc="F5C2DCC0" w:tentative="1">
      <w:start w:val="1"/>
      <w:numFmt w:val="decimal"/>
      <w:lvlText w:val="%4."/>
      <w:lvlJc w:val="left"/>
      <w:pPr>
        <w:ind w:left="2520" w:hanging="360"/>
      </w:pPr>
    </w:lvl>
    <w:lvl w:ilvl="4" w:tplc="30E2C812" w:tentative="1">
      <w:start w:val="1"/>
      <w:numFmt w:val="lowerLetter"/>
      <w:lvlText w:val="%5."/>
      <w:lvlJc w:val="left"/>
      <w:pPr>
        <w:ind w:left="3240" w:hanging="360"/>
      </w:pPr>
    </w:lvl>
    <w:lvl w:ilvl="5" w:tplc="02586006" w:tentative="1">
      <w:start w:val="1"/>
      <w:numFmt w:val="lowerRoman"/>
      <w:lvlText w:val="%6."/>
      <w:lvlJc w:val="right"/>
      <w:pPr>
        <w:ind w:left="3960" w:hanging="180"/>
      </w:pPr>
    </w:lvl>
    <w:lvl w:ilvl="6" w:tplc="55866D92" w:tentative="1">
      <w:start w:val="1"/>
      <w:numFmt w:val="decimal"/>
      <w:lvlText w:val="%7."/>
      <w:lvlJc w:val="left"/>
      <w:pPr>
        <w:ind w:left="4680" w:hanging="360"/>
      </w:pPr>
    </w:lvl>
    <w:lvl w:ilvl="7" w:tplc="FD7C2D46" w:tentative="1">
      <w:start w:val="1"/>
      <w:numFmt w:val="lowerLetter"/>
      <w:lvlText w:val="%8."/>
      <w:lvlJc w:val="left"/>
      <w:pPr>
        <w:ind w:left="5400" w:hanging="360"/>
      </w:pPr>
    </w:lvl>
    <w:lvl w:ilvl="8" w:tplc="1D92BEB4"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1F"/>
    <w:rsid w:val="001101E4"/>
    <w:rsid w:val="00191DF2"/>
    <w:rsid w:val="002A164D"/>
    <w:rsid w:val="00374CA3"/>
    <w:rsid w:val="003C0D7D"/>
    <w:rsid w:val="003C341F"/>
    <w:rsid w:val="00490C51"/>
    <w:rsid w:val="004F11F0"/>
    <w:rsid w:val="0064792D"/>
    <w:rsid w:val="006B6557"/>
    <w:rsid w:val="006C5F85"/>
    <w:rsid w:val="0082338E"/>
    <w:rsid w:val="009A6809"/>
    <w:rsid w:val="009C1484"/>
    <w:rsid w:val="009D2517"/>
    <w:rsid w:val="009D2C72"/>
    <w:rsid w:val="00A2490A"/>
    <w:rsid w:val="00A74584"/>
    <w:rsid w:val="00AA47D1"/>
    <w:rsid w:val="00BA4D8B"/>
    <w:rsid w:val="00C35405"/>
    <w:rsid w:val="00C834DA"/>
    <w:rsid w:val="00E01D1F"/>
    <w:rsid w:val="00E20150"/>
    <w:rsid w:val="00E37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B799"/>
  <w15:docId w15:val="{6F59BC21-3F36-4338-B45F-94F33458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6B6557"/>
    <w:pPr>
      <w:ind w:left="720"/>
      <w:contextualSpacing/>
    </w:pPr>
  </w:style>
  <w:style w:type="paragraph" w:customStyle="1" w:styleId="text3">
    <w:name w:val="text3"/>
    <w:basedOn w:val="Normal"/>
    <w:rsid w:val="00E20150"/>
    <w:pPr>
      <w:spacing w:after="0" w:line="240" w:lineRule="auto"/>
      <w:ind w:left="1701"/>
    </w:pPr>
    <w:rPr>
      <w:rFonts w:eastAsiaTheme="minorHAnsi"/>
      <w:sz w:val="24"/>
      <w:szCs w:val="24"/>
      <w:lang w:eastAsia="sv-SE"/>
    </w:rPr>
  </w:style>
  <w:style w:type="paragraph" w:customStyle="1" w:styleId="text5">
    <w:name w:val="text5"/>
    <w:basedOn w:val="Normal"/>
    <w:rsid w:val="00E20150"/>
    <w:pPr>
      <w:spacing w:after="0" w:line="240" w:lineRule="auto"/>
      <w:ind w:left="2835"/>
    </w:pPr>
    <w:rPr>
      <w:rFonts w:eastAsiaTheme="minorHAnsi"/>
      <w:sz w:val="24"/>
      <w:szCs w:val="24"/>
      <w:lang w:eastAsia="sv-SE"/>
    </w:rPr>
  </w:style>
  <w:style w:type="paragraph" w:customStyle="1" w:styleId="dashequal1">
    <w:name w:val="dashequal1"/>
    <w:basedOn w:val="Normal"/>
    <w:rsid w:val="00E20150"/>
    <w:pPr>
      <w:spacing w:after="0" w:line="240" w:lineRule="auto"/>
      <w:ind w:left="1134" w:hanging="567"/>
    </w:pPr>
    <w:rPr>
      <w:rFonts w:eastAsiaTheme="minorHAns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7">
      <w:bodyDiv w:val="1"/>
      <w:marLeft w:val="0"/>
      <w:marRight w:val="0"/>
      <w:marTop w:val="0"/>
      <w:marBottom w:val="0"/>
      <w:divBdr>
        <w:top w:val="none" w:sz="0" w:space="0" w:color="auto"/>
        <w:left w:val="none" w:sz="0" w:space="0" w:color="auto"/>
        <w:bottom w:val="none" w:sz="0" w:space="0" w:color="auto"/>
        <w:right w:val="none" w:sz="0" w:space="0" w:color="auto"/>
      </w:divBdr>
    </w:div>
    <w:div w:id="181750600">
      <w:bodyDiv w:val="1"/>
      <w:marLeft w:val="0"/>
      <w:marRight w:val="0"/>
      <w:marTop w:val="0"/>
      <w:marBottom w:val="0"/>
      <w:divBdr>
        <w:top w:val="none" w:sz="0" w:space="0" w:color="auto"/>
        <w:left w:val="none" w:sz="0" w:space="0" w:color="auto"/>
        <w:bottom w:val="none" w:sz="0" w:space="0" w:color="auto"/>
        <w:right w:val="none" w:sz="0" w:space="0" w:color="auto"/>
      </w:divBdr>
    </w:div>
    <w:div w:id="752356270">
      <w:bodyDiv w:val="1"/>
      <w:marLeft w:val="0"/>
      <w:marRight w:val="0"/>
      <w:marTop w:val="0"/>
      <w:marBottom w:val="0"/>
      <w:divBdr>
        <w:top w:val="none" w:sz="0" w:space="0" w:color="auto"/>
        <w:left w:val="none" w:sz="0" w:space="0" w:color="auto"/>
        <w:bottom w:val="none" w:sz="0" w:space="0" w:color="auto"/>
        <w:right w:val="none" w:sz="0" w:space="0" w:color="auto"/>
      </w:divBdr>
    </w:div>
    <w:div w:id="780614968">
      <w:bodyDiv w:val="1"/>
      <w:marLeft w:val="0"/>
      <w:marRight w:val="0"/>
      <w:marTop w:val="0"/>
      <w:marBottom w:val="0"/>
      <w:divBdr>
        <w:top w:val="none" w:sz="0" w:space="0" w:color="auto"/>
        <w:left w:val="none" w:sz="0" w:space="0" w:color="auto"/>
        <w:bottom w:val="none" w:sz="0" w:space="0" w:color="auto"/>
        <w:right w:val="none" w:sz="0" w:space="0" w:color="auto"/>
      </w:divBdr>
    </w:div>
    <w:div w:id="989796720">
      <w:bodyDiv w:val="1"/>
      <w:marLeft w:val="0"/>
      <w:marRight w:val="0"/>
      <w:marTop w:val="0"/>
      <w:marBottom w:val="0"/>
      <w:divBdr>
        <w:top w:val="none" w:sz="0" w:space="0" w:color="auto"/>
        <w:left w:val="none" w:sz="0" w:space="0" w:color="auto"/>
        <w:bottom w:val="none" w:sz="0" w:space="0" w:color="auto"/>
        <w:right w:val="none" w:sz="0" w:space="0" w:color="auto"/>
      </w:divBdr>
    </w:div>
    <w:div w:id="1084061418">
      <w:bodyDiv w:val="1"/>
      <w:marLeft w:val="0"/>
      <w:marRight w:val="0"/>
      <w:marTop w:val="0"/>
      <w:marBottom w:val="0"/>
      <w:divBdr>
        <w:top w:val="none" w:sz="0" w:space="0" w:color="auto"/>
        <w:left w:val="none" w:sz="0" w:space="0" w:color="auto"/>
        <w:bottom w:val="none" w:sz="0" w:space="0" w:color="auto"/>
        <w:right w:val="none" w:sz="0" w:space="0" w:color="auto"/>
      </w:divBdr>
    </w:div>
    <w:div w:id="1317414812">
      <w:bodyDiv w:val="1"/>
      <w:marLeft w:val="0"/>
      <w:marRight w:val="0"/>
      <w:marTop w:val="0"/>
      <w:marBottom w:val="0"/>
      <w:divBdr>
        <w:top w:val="none" w:sz="0" w:space="0" w:color="auto"/>
        <w:left w:val="none" w:sz="0" w:space="0" w:color="auto"/>
        <w:bottom w:val="none" w:sz="0" w:space="0" w:color="auto"/>
        <w:right w:val="none" w:sz="0" w:space="0" w:color="auto"/>
      </w:divBdr>
    </w:div>
    <w:div w:id="1541433026">
      <w:bodyDiv w:val="1"/>
      <w:marLeft w:val="0"/>
      <w:marRight w:val="0"/>
      <w:marTop w:val="0"/>
      <w:marBottom w:val="0"/>
      <w:divBdr>
        <w:top w:val="none" w:sz="0" w:space="0" w:color="auto"/>
        <w:left w:val="none" w:sz="0" w:space="0" w:color="auto"/>
        <w:bottom w:val="none" w:sz="0" w:space="0" w:color="auto"/>
        <w:right w:val="none" w:sz="0" w:space="0" w:color="auto"/>
      </w:divBdr>
      <w:divsChild>
        <w:div w:id="1762556352">
          <w:marLeft w:val="0"/>
          <w:marRight w:val="0"/>
          <w:marTop w:val="0"/>
          <w:marBottom w:val="0"/>
          <w:divBdr>
            <w:top w:val="none" w:sz="0" w:space="0" w:color="auto"/>
            <w:left w:val="none" w:sz="0" w:space="0" w:color="auto"/>
            <w:bottom w:val="none" w:sz="0" w:space="0" w:color="auto"/>
            <w:right w:val="none" w:sz="0" w:space="0" w:color="auto"/>
          </w:divBdr>
          <w:divsChild>
            <w:div w:id="1666662721">
              <w:marLeft w:val="0"/>
              <w:marRight w:val="0"/>
              <w:marTop w:val="0"/>
              <w:marBottom w:val="0"/>
              <w:divBdr>
                <w:top w:val="none" w:sz="0" w:space="0" w:color="auto"/>
                <w:left w:val="none" w:sz="0" w:space="0" w:color="auto"/>
                <w:bottom w:val="none" w:sz="0" w:space="0" w:color="auto"/>
                <w:right w:val="none" w:sz="0" w:space="0" w:color="auto"/>
              </w:divBdr>
              <w:divsChild>
                <w:div w:id="858544427">
                  <w:marLeft w:val="0"/>
                  <w:marRight w:val="0"/>
                  <w:marTop w:val="0"/>
                  <w:marBottom w:val="0"/>
                  <w:divBdr>
                    <w:top w:val="none" w:sz="0" w:space="0" w:color="auto"/>
                    <w:left w:val="none" w:sz="0" w:space="0" w:color="auto"/>
                    <w:bottom w:val="none" w:sz="0" w:space="0" w:color="auto"/>
                    <w:right w:val="none" w:sz="0" w:space="0" w:color="auto"/>
                  </w:divBdr>
                  <w:divsChild>
                    <w:div w:id="1976830007">
                      <w:marLeft w:val="0"/>
                      <w:marRight w:val="0"/>
                      <w:marTop w:val="0"/>
                      <w:marBottom w:val="0"/>
                      <w:divBdr>
                        <w:top w:val="none" w:sz="0" w:space="0" w:color="auto"/>
                        <w:left w:val="none" w:sz="0" w:space="0" w:color="auto"/>
                        <w:bottom w:val="none" w:sz="0" w:space="0" w:color="auto"/>
                        <w:right w:val="none" w:sz="0" w:space="0" w:color="auto"/>
                      </w:divBdr>
                      <w:divsChild>
                        <w:div w:id="375010180">
                          <w:marLeft w:val="2325"/>
                          <w:marRight w:val="0"/>
                          <w:marTop w:val="0"/>
                          <w:marBottom w:val="0"/>
                          <w:divBdr>
                            <w:top w:val="none" w:sz="0" w:space="0" w:color="auto"/>
                            <w:left w:val="none" w:sz="0" w:space="0" w:color="auto"/>
                            <w:bottom w:val="none" w:sz="0" w:space="0" w:color="auto"/>
                            <w:right w:val="none" w:sz="0" w:space="0" w:color="auto"/>
                          </w:divBdr>
                          <w:divsChild>
                            <w:div w:id="1522090366">
                              <w:marLeft w:val="0"/>
                              <w:marRight w:val="0"/>
                              <w:marTop w:val="0"/>
                              <w:marBottom w:val="0"/>
                              <w:divBdr>
                                <w:top w:val="none" w:sz="0" w:space="0" w:color="auto"/>
                                <w:left w:val="none" w:sz="0" w:space="0" w:color="auto"/>
                                <w:bottom w:val="none" w:sz="0" w:space="0" w:color="auto"/>
                                <w:right w:val="none" w:sz="0" w:space="0" w:color="auto"/>
                              </w:divBdr>
                              <w:divsChild>
                                <w:div w:id="1548639347">
                                  <w:marLeft w:val="0"/>
                                  <w:marRight w:val="0"/>
                                  <w:marTop w:val="0"/>
                                  <w:marBottom w:val="0"/>
                                  <w:divBdr>
                                    <w:top w:val="none" w:sz="0" w:space="0" w:color="auto"/>
                                    <w:left w:val="none" w:sz="0" w:space="0" w:color="auto"/>
                                    <w:bottom w:val="none" w:sz="0" w:space="0" w:color="auto"/>
                                    <w:right w:val="none" w:sz="0" w:space="0" w:color="auto"/>
                                  </w:divBdr>
                                  <w:divsChild>
                                    <w:div w:id="1422875236">
                                      <w:marLeft w:val="0"/>
                                      <w:marRight w:val="0"/>
                                      <w:marTop w:val="0"/>
                                      <w:marBottom w:val="0"/>
                                      <w:divBdr>
                                        <w:top w:val="none" w:sz="0" w:space="0" w:color="auto"/>
                                        <w:left w:val="none" w:sz="0" w:space="0" w:color="auto"/>
                                        <w:bottom w:val="none" w:sz="0" w:space="0" w:color="auto"/>
                                        <w:right w:val="none" w:sz="0" w:space="0" w:color="auto"/>
                                      </w:divBdr>
                                      <w:divsChild>
                                        <w:div w:id="1076244899">
                                          <w:marLeft w:val="480"/>
                                          <w:marRight w:val="0"/>
                                          <w:marTop w:val="0"/>
                                          <w:marBottom w:val="0"/>
                                          <w:divBdr>
                                            <w:top w:val="none" w:sz="0" w:space="0" w:color="auto"/>
                                            <w:left w:val="none" w:sz="0" w:space="0" w:color="auto"/>
                                            <w:bottom w:val="none" w:sz="0" w:space="0" w:color="auto"/>
                                            <w:right w:val="none" w:sz="0" w:space="0" w:color="auto"/>
                                          </w:divBdr>
                                          <w:divsChild>
                                            <w:div w:id="1284530882">
                                              <w:marLeft w:val="0"/>
                                              <w:marRight w:val="0"/>
                                              <w:marTop w:val="0"/>
                                              <w:marBottom w:val="0"/>
                                              <w:divBdr>
                                                <w:top w:val="none" w:sz="0" w:space="0" w:color="auto"/>
                                                <w:left w:val="none" w:sz="0" w:space="0" w:color="auto"/>
                                                <w:bottom w:val="none" w:sz="0" w:space="0" w:color="auto"/>
                                                <w:right w:val="none" w:sz="0" w:space="0" w:color="auto"/>
                                              </w:divBdr>
                                              <w:divsChild>
                                                <w:div w:id="1736735261">
                                                  <w:marLeft w:val="0"/>
                                                  <w:marRight w:val="0"/>
                                                  <w:marTop w:val="0"/>
                                                  <w:marBottom w:val="0"/>
                                                  <w:divBdr>
                                                    <w:top w:val="none" w:sz="0" w:space="0" w:color="auto"/>
                                                    <w:left w:val="none" w:sz="0" w:space="0" w:color="auto"/>
                                                    <w:bottom w:val="none" w:sz="0" w:space="0" w:color="auto"/>
                                                    <w:right w:val="none" w:sz="0" w:space="0" w:color="auto"/>
                                                  </w:divBdr>
                                                  <w:divsChild>
                                                    <w:div w:id="106462967">
                                                      <w:marLeft w:val="0"/>
                                                      <w:marRight w:val="0"/>
                                                      <w:marTop w:val="0"/>
                                                      <w:marBottom w:val="0"/>
                                                      <w:divBdr>
                                                        <w:top w:val="none" w:sz="0" w:space="0" w:color="auto"/>
                                                        <w:left w:val="none" w:sz="0" w:space="0" w:color="auto"/>
                                                        <w:bottom w:val="none" w:sz="0" w:space="0" w:color="auto"/>
                                                        <w:right w:val="none" w:sz="0" w:space="0" w:color="auto"/>
                                                      </w:divBdr>
                                                      <w:divsChild>
                                                        <w:div w:id="170603897">
                                                          <w:marLeft w:val="0"/>
                                                          <w:marRight w:val="0"/>
                                                          <w:marTop w:val="0"/>
                                                          <w:marBottom w:val="0"/>
                                                          <w:divBdr>
                                                            <w:top w:val="none" w:sz="0" w:space="0" w:color="auto"/>
                                                            <w:left w:val="none" w:sz="0" w:space="0" w:color="auto"/>
                                                            <w:bottom w:val="none" w:sz="0" w:space="0" w:color="auto"/>
                                                            <w:right w:val="none" w:sz="0" w:space="0" w:color="auto"/>
                                                          </w:divBdr>
                                                          <w:divsChild>
                                                            <w:div w:id="176892531">
                                                              <w:marLeft w:val="0"/>
                                                              <w:marRight w:val="0"/>
                                                              <w:marTop w:val="0"/>
                                                              <w:marBottom w:val="0"/>
                                                              <w:divBdr>
                                                                <w:top w:val="none" w:sz="0" w:space="0" w:color="auto"/>
                                                                <w:left w:val="none" w:sz="0" w:space="0" w:color="auto"/>
                                                                <w:bottom w:val="none" w:sz="0" w:space="0" w:color="auto"/>
                                                                <w:right w:val="none" w:sz="0" w:space="0" w:color="auto"/>
                                                              </w:divBdr>
                                                              <w:divsChild>
                                                                <w:div w:id="1497308352">
                                                                  <w:marLeft w:val="0"/>
                                                                  <w:marRight w:val="0"/>
                                                                  <w:marTop w:val="0"/>
                                                                  <w:marBottom w:val="0"/>
                                                                  <w:divBdr>
                                                                    <w:top w:val="none" w:sz="0" w:space="0" w:color="auto"/>
                                                                    <w:left w:val="none" w:sz="0" w:space="0" w:color="auto"/>
                                                                    <w:bottom w:val="none" w:sz="0" w:space="0" w:color="auto"/>
                                                                    <w:right w:val="none" w:sz="0" w:space="0" w:color="auto"/>
                                                                  </w:divBdr>
                                                                  <w:divsChild>
                                                                    <w:div w:id="1915313277">
                                                                      <w:marLeft w:val="0"/>
                                                                      <w:marRight w:val="0"/>
                                                                      <w:marTop w:val="96"/>
                                                                      <w:marBottom w:val="0"/>
                                                                      <w:divBdr>
                                                                        <w:top w:val="none" w:sz="0" w:space="0" w:color="auto"/>
                                                                        <w:left w:val="none" w:sz="0" w:space="0" w:color="auto"/>
                                                                        <w:bottom w:val="none" w:sz="0" w:space="0" w:color="auto"/>
                                                                        <w:right w:val="none" w:sz="0" w:space="0" w:color="auto"/>
                                                                      </w:divBdr>
                                                                      <w:divsChild>
                                                                        <w:div w:id="1234505185">
                                                                          <w:marLeft w:val="0"/>
                                                                          <w:marRight w:val="0"/>
                                                                          <w:marTop w:val="72"/>
                                                                          <w:marBottom w:val="0"/>
                                                                          <w:divBdr>
                                                                            <w:top w:val="none" w:sz="0" w:space="0" w:color="auto"/>
                                                                            <w:left w:val="none" w:sz="0" w:space="0" w:color="auto"/>
                                                                            <w:bottom w:val="none" w:sz="0" w:space="0" w:color="auto"/>
                                                                            <w:right w:val="none" w:sz="0" w:space="0" w:color="auto"/>
                                                                          </w:divBdr>
                                                                          <w:divsChild>
                                                                            <w:div w:id="1883905652">
                                                                              <w:marLeft w:val="0"/>
                                                                              <w:marRight w:val="0"/>
                                                                              <w:marTop w:val="0"/>
                                                                              <w:marBottom w:val="0"/>
                                                                              <w:divBdr>
                                                                                <w:top w:val="none" w:sz="0" w:space="0" w:color="auto"/>
                                                                                <w:left w:val="none" w:sz="0" w:space="0" w:color="auto"/>
                                                                                <w:bottom w:val="none" w:sz="0" w:space="0" w:color="auto"/>
                                                                                <w:right w:val="none" w:sz="0" w:space="0" w:color="auto"/>
                                                                              </w:divBdr>
                                                                              <w:divsChild>
                                                                                <w:div w:id="757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15F5590F0DD5B343B2A2586C8BA93CC7" ma:contentTypeVersion="0" ma:contentTypeDescription="EUPDokument" ma:contentTypeScope="" ma:versionID="d2c79e077f85569db4c53ec093a731f2">
  <xsd:schema xmlns:xsd="http://www.w3.org/2001/XMLSchema" xmlns:xs="http://www.w3.org/2001/XMLSchema" xmlns:p="http://schemas.microsoft.com/office/2006/metadata/properties" xmlns:ns2="c31f4366-2e2d-4581-bb9d-f42dc63c75b7" targetNamespace="http://schemas.microsoft.com/office/2006/metadata/properties" ma:root="true" ma:fieldsID="2448f8adcb67f303cbee69ca1812766d" ns2:_="">
    <xsd:import namespace="c31f4366-2e2d-4581-bb9d-f42dc63c75b7"/>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f4366-2e2d-4581-bb9d-f42dc63c75b7"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PointEndDate xmlns="c31f4366-2e2d-4581-bb9d-f42dc63c75b7" xsi:nil="true"/>
    <DepartementsenhetId xmlns="c31f4366-2e2d-4581-bb9d-f42dc63c75b7">Statsrådsberedningen</DepartementsenhetId>
    <Delivered xmlns="c31f4366-2e2d-4581-bb9d-f42dc63c75b7" xsi:nil="true"/>
    <ViewPointStartDate xmlns="c31f4366-2e2d-4581-bb9d-f42dc63c75b7" xsi:nil="true"/>
    <ViewPointInProgress xmlns="c31f4366-2e2d-4581-bb9d-f42dc63c75b7" xsi:nil="true"/>
    <AktivitetskategoriId xmlns="c31f4366-2e2d-4581-bb9d-f42dc63c75b7">4.1. Europeiska unionen</AktivitetskategoriId>
    <LatestActivity xmlns="c31f4366-2e2d-4581-bb9d-f42dc63c75b7" xsi:nil="true"/>
    <RegistrationNumber xmlns="c31f4366-2e2d-4581-bb9d-f42dc63c75b7" xsi:nil="true"/>
    <DocumentStatus xmlns="c31f4366-2e2d-4581-bb9d-f42dc63c75b7">Utkast</Document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9294-6C37-4D76-9ECA-C0795728E8D6}">
  <ds:schemaRefs>
    <ds:schemaRef ds:uri="http://schemas.microsoft.com/sharepoint/v3/contenttype/forms"/>
  </ds:schemaRefs>
</ds:datastoreItem>
</file>

<file path=customXml/itemProps2.xml><?xml version="1.0" encoding="utf-8"?>
<ds:datastoreItem xmlns:ds="http://schemas.openxmlformats.org/officeDocument/2006/customXml" ds:itemID="{0891DCC8-093D-4AF5-A3E9-C37CB1DDD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f4366-2e2d-4581-bb9d-f42dc63c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48832-F4B8-49C9-B550-1A66A64BA6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31f4366-2e2d-4581-bb9d-f42dc63c75b7"/>
    <ds:schemaRef ds:uri="http://www.w3.org/XML/1998/namespace"/>
    <ds:schemaRef ds:uri="http://purl.org/dc/dcmitype/"/>
  </ds:schemaRefs>
</ds:datastoreItem>
</file>

<file path=customXml/itemProps4.xml><?xml version="1.0" encoding="utf-8"?>
<ds:datastoreItem xmlns:ds="http://schemas.openxmlformats.org/officeDocument/2006/customXml" ds:itemID="{0EC595B1-0494-43E1-83B9-A40F1AA1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9182</Words>
  <Characters>50594</Characters>
  <Application>Microsoft Office Word</Application>
  <DocSecurity>4</DocSecurity>
  <Lines>16864</Lines>
  <Paragraphs>2299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2015-07-16T12:29:00Z</dcterms:created>
  <dcterms:modified xsi:type="dcterms:W3CDTF">2015-07-16T12:29:00Z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0x01010053E1D612BA3F4E21AA250ECD751942B30015F5590F0DD5B343B2A2586C8BA93CC7</vt:lpwstr>
  </property>
  <property fmtid="{D5CDD505-2E9C-101B-9397-08002B2CF9AE}" pid="3" name="MCreatorEmail">
    <vt:lpwstr>Sofia.L.Karlsson@regeringskansliet.se</vt:lpwstr>
  </property>
</Properties>
</file>