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A21EE">
        <w:tblPrEx>
          <w:tblCellMar>
            <w:top w:w="0" w:type="dxa"/>
            <w:left w:w="0" w:type="dxa"/>
            <w:bottom w:w="0" w:type="dxa"/>
            <w:right w:w="0" w:type="dxa"/>
          </w:tblCellMar>
        </w:tblPrEx>
        <w:trPr>
          <w:gridAfter w:val="2"/>
          <w:wAfter w:w="1758" w:type="dxa"/>
          <w:cantSplit/>
          <w:trHeight w:val="1320"/>
        </w:trPr>
        <w:tc>
          <w:tcPr>
            <w:tcW w:w="5897" w:type="dxa"/>
          </w:tcPr>
          <w:p w:rsidR="005A21EE" w:rsidRPr="005A21EE" w:rsidRDefault="005A21EE">
            <w:pPr>
              <w:pStyle w:val="HuvudRubrik"/>
            </w:pPr>
            <w:r w:rsidRPr="005A21EE">
              <w:t>Regeringskansliet</w:t>
            </w:r>
          </w:p>
          <w:p w:rsidR="005A21EE" w:rsidRPr="005A21EE" w:rsidRDefault="005A21EE">
            <w:pPr>
              <w:pStyle w:val="HuvudRubrik"/>
            </w:pPr>
            <w:r w:rsidRPr="005A21EE">
              <w:t>Faktapromemoria  2009/10:FPM110</w:t>
            </w:r>
          </w:p>
        </w:tc>
      </w:tr>
      <w:tr w:rsidR="00000000" w:rsidRPr="005A21EE">
        <w:tblPrEx>
          <w:tblCellMar>
            <w:top w:w="0" w:type="dxa"/>
            <w:left w:w="0" w:type="dxa"/>
            <w:bottom w:w="0" w:type="dxa"/>
            <w:right w:w="0" w:type="dxa"/>
          </w:tblCellMar>
        </w:tblPrEx>
        <w:trPr>
          <w:gridAfter w:val="2"/>
          <w:wAfter w:w="1758" w:type="dxa"/>
          <w:cantSplit/>
          <w:trHeight w:val="240"/>
        </w:trPr>
        <w:tc>
          <w:tcPr>
            <w:tcW w:w="5897" w:type="dxa"/>
          </w:tcPr>
          <w:p w:rsidR="005A21EE" w:rsidRPr="005A21EE" w:rsidRDefault="005A21EE">
            <w:pPr>
              <w:pStyle w:val="HuvudRubrik"/>
              <w:rPr>
                <w:sz w:val="28"/>
              </w:rPr>
            </w:pPr>
            <w:r w:rsidRPr="005A21EE">
              <w:t>Viseringsfrihet för taiwanesiska medborgare  - Ändring av viseringsförordningen</w:t>
            </w:r>
          </w:p>
        </w:tc>
      </w:tr>
      <w:tr w:rsidR="00000000" w:rsidRPr="005A21EE">
        <w:tblPrEx>
          <w:tblCellMar>
            <w:top w:w="0" w:type="dxa"/>
            <w:left w:w="0" w:type="dxa"/>
            <w:bottom w:w="0" w:type="dxa"/>
            <w:right w:w="0" w:type="dxa"/>
          </w:tblCellMar>
        </w:tblPrEx>
        <w:trPr>
          <w:cantSplit/>
          <w:trHeight w:val="285"/>
        </w:trPr>
        <w:tc>
          <w:tcPr>
            <w:tcW w:w="7655" w:type="dxa"/>
            <w:gridSpan w:val="3"/>
          </w:tcPr>
          <w:p w:rsidR="005A21EE" w:rsidRPr="005A21EE" w:rsidRDefault="005A21EE">
            <w:pPr>
              <w:pStyle w:val="Departement"/>
              <w:rPr>
                <w:sz w:val="28"/>
              </w:rPr>
            </w:pPr>
            <w:r w:rsidRPr="005A21EE">
              <w:t>Justitiedepartementet</w:t>
            </w:r>
          </w:p>
        </w:tc>
      </w:tr>
      <w:tr w:rsidR="00000000" w:rsidRPr="005A21EE">
        <w:tblPrEx>
          <w:tblCellMar>
            <w:top w:w="0" w:type="dxa"/>
            <w:left w:w="0" w:type="dxa"/>
            <w:bottom w:w="0" w:type="dxa"/>
            <w:right w:w="0" w:type="dxa"/>
          </w:tblCellMar>
        </w:tblPrEx>
        <w:trPr>
          <w:cantSplit/>
          <w:trHeight w:val="240"/>
        </w:trPr>
        <w:tc>
          <w:tcPr>
            <w:tcW w:w="7655" w:type="dxa"/>
            <w:gridSpan w:val="3"/>
          </w:tcPr>
          <w:p w:rsidR="005A21EE" w:rsidRPr="005A21EE" w:rsidRDefault="005A21EE">
            <w:pPr>
              <w:pStyle w:val="Dokumentdatum"/>
            </w:pPr>
            <w:r w:rsidRPr="005A21EE">
              <w:t>2010-08-19</w:t>
            </w:r>
          </w:p>
        </w:tc>
      </w:tr>
      <w:tr w:rsidR="00000000" w:rsidRPr="005A21EE">
        <w:tblPrEx>
          <w:tblCellMar>
            <w:top w:w="0" w:type="dxa"/>
            <w:left w:w="0" w:type="dxa"/>
            <w:bottom w:w="0" w:type="dxa"/>
            <w:right w:w="0" w:type="dxa"/>
          </w:tblCellMar>
        </w:tblPrEx>
        <w:trPr>
          <w:cantSplit/>
          <w:trHeight w:val="726"/>
        </w:trPr>
        <w:tc>
          <w:tcPr>
            <w:tcW w:w="7655" w:type="dxa"/>
            <w:gridSpan w:val="3"/>
            <w:vAlign w:val="bottom"/>
          </w:tcPr>
          <w:p w:rsidR="005A21EE" w:rsidRPr="005A21EE" w:rsidRDefault="005A21EE">
            <w:pPr>
              <w:pStyle w:val="Dokumentbeteckning"/>
            </w:pPr>
            <w:r w:rsidRPr="005A21EE">
              <w:t>Dokumentbeteckning</w:t>
            </w:r>
          </w:p>
        </w:tc>
      </w:tr>
      <w:tr w:rsidR="00000000" w:rsidRPr="005A21EE">
        <w:tblPrEx>
          <w:tblCellMar>
            <w:top w:w="0" w:type="dxa"/>
            <w:left w:w="0" w:type="dxa"/>
            <w:bottom w:w="0" w:type="dxa"/>
            <w:right w:w="0" w:type="dxa"/>
          </w:tblCellMar>
        </w:tblPrEx>
        <w:trPr>
          <w:gridAfter w:val="1"/>
          <w:wAfter w:w="1560" w:type="dxa"/>
          <w:trHeight w:val="120"/>
        </w:trPr>
        <w:tc>
          <w:tcPr>
            <w:tcW w:w="6095" w:type="dxa"/>
            <w:gridSpan w:val="2"/>
          </w:tcPr>
          <w:p w:rsidR="005A21EE" w:rsidRPr="005A21EE" w:rsidRDefault="005A21EE">
            <w:bookmarkStart w:id="0" w:name="KomNr"/>
            <w:bookmarkEnd w:id="0"/>
            <w:r w:rsidRPr="005A21EE">
              <w:t>KOM(2010) 358</w:t>
            </w:r>
          </w:p>
        </w:tc>
      </w:tr>
      <w:tr w:rsidR="00000000" w:rsidRPr="005A21EE">
        <w:tblPrEx>
          <w:tblCellMar>
            <w:top w:w="0" w:type="dxa"/>
            <w:left w:w="0" w:type="dxa"/>
            <w:bottom w:w="0" w:type="dxa"/>
            <w:right w:w="0" w:type="dxa"/>
          </w:tblCellMar>
        </w:tblPrEx>
        <w:trPr>
          <w:gridAfter w:val="1"/>
          <w:wAfter w:w="1560" w:type="dxa"/>
          <w:trHeight w:val="120"/>
        </w:trPr>
        <w:tc>
          <w:tcPr>
            <w:tcW w:w="6095" w:type="dxa"/>
            <w:gridSpan w:val="2"/>
          </w:tcPr>
          <w:p w:rsidR="005A21EE" w:rsidRPr="005A21EE" w:rsidRDefault="005A21EE">
            <w:pPr>
              <w:pStyle w:val="Dokumentbeteckning-titel"/>
            </w:pPr>
            <w:r w:rsidRPr="005A21EE">
              <w:t>Förslag till Europaparlamentets och rådets förordning om ändring av förordning (EG) nr 539/2001 om fastställande av förteckningen över tredje länder vars medborgare är skyldiga att inneha visering när de passerar de yttre gränserna och av förteckningen över de tredje länder vars medborgare är undantagna från detta krav</w:t>
            </w:r>
          </w:p>
        </w:tc>
      </w:tr>
    </w:tbl>
    <w:p w:rsidR="005A21EE" w:rsidRPr="005A21EE" w:rsidRDefault="005A21EE"/>
    <w:p w:rsidR="005A21EE" w:rsidRPr="005A21EE" w:rsidRDefault="005A21EE">
      <w:pPr>
        <w:pStyle w:val="Rubrik1"/>
        <w:numPr>
          <w:ilvl w:val="0"/>
          <w:numId w:val="0"/>
        </w:numPr>
      </w:pPr>
      <w:r w:rsidRPr="005A21EE">
        <w:t>Sammanfattning</w:t>
      </w:r>
    </w:p>
    <w:p w:rsidR="005A21EE" w:rsidRPr="005A21EE" w:rsidRDefault="005A21EE">
      <w:r w:rsidRPr="005A21EE">
        <w:t>Kommissionens förslag om ändring i viseringsförordningen innebär att  taiwanesiska medborgare undantas från viseringskravet vid inresa till Schengenområdet. Regeringen stödjer förslaget, som ligger i linje med svenska strävanden att underlätta resande för den enskilde individen.</w:t>
      </w:r>
    </w:p>
    <w:p w:rsidR="005A21EE" w:rsidRPr="005A21EE" w:rsidRDefault="005A21EE">
      <w:pPr>
        <w:pStyle w:val="Rubrik1"/>
      </w:pPr>
      <w:r w:rsidRPr="005A21EE">
        <w:t>Förslaget</w:t>
      </w:r>
    </w:p>
    <w:p w:rsidR="005A21EE" w:rsidRPr="005A21EE" w:rsidRDefault="005A21EE">
      <w:pPr>
        <w:pStyle w:val="Rubrik2"/>
      </w:pPr>
      <w:r w:rsidRPr="005A21EE">
        <w:t>Ärendets bakgrund</w:t>
      </w:r>
    </w:p>
    <w:p w:rsidR="005A21EE" w:rsidRPr="005A21EE" w:rsidRDefault="005A21EE">
      <w:r w:rsidRPr="005A21EE">
        <w:t xml:space="preserve">Enligt förordningen ska bedömningen om viseringsfrihet ske utifrån kriterier kopplade till bland annat risken för olaglig invandring, allmän ordning och säkerhet samt EU:s utrikespolitiska förbindelser. En regelbunden översyn sker av förordningen, innebärande att tredje länder överförs från den ena förteckningen till den andra vartefter förutsättningarna förändras. </w:t>
      </w:r>
    </w:p>
    <w:p w:rsidR="005A21EE" w:rsidRPr="005A21EE" w:rsidRDefault="005A21EE"/>
    <w:p w:rsidR="005A21EE" w:rsidRPr="005A21EE" w:rsidRDefault="005A21EE">
      <w:r w:rsidRPr="005A21EE">
        <w:lastRenderedPageBreak/>
        <w:t xml:space="preserve">Inom ramen för den regelbundna översynen av viseringsförordningen presenterade kommissionen den 5 juli 2010 ett förslag att medborgare från Taiwan ska undantas från viseringskravet vid inresa i Schengen. </w:t>
      </w:r>
    </w:p>
    <w:p w:rsidR="005A21EE" w:rsidRPr="005A21EE" w:rsidRDefault="005A21EE">
      <w:pPr>
        <w:pStyle w:val="Rubrik2"/>
      </w:pPr>
      <w:r w:rsidRPr="005A21EE">
        <w:t>Förslagets innehåll</w:t>
      </w:r>
    </w:p>
    <w:p w:rsidR="005A21EE" w:rsidRPr="005A21EE" w:rsidRDefault="005A21EE"/>
    <w:p w:rsidR="005A21EE" w:rsidRPr="005A21EE" w:rsidRDefault="005A21EE">
      <w:r w:rsidRPr="005A21EE">
        <w:t xml:space="preserve">Tekniskt innebär förslaget att Taiwan flyttas över från bilaga I till bilaga II i viseringsförordningen, det vill säga från den förteckning över länder vars medborgare är skyldiga att inneha visering till den förteckning över länder vars medborgare är undantagna från denna skyldighet. </w:t>
      </w:r>
    </w:p>
    <w:p w:rsidR="005A21EE" w:rsidRPr="005A21EE" w:rsidRDefault="005A21EE"/>
    <w:p w:rsidR="005A21EE" w:rsidRPr="005A21EE" w:rsidRDefault="005A21EE">
      <w:r w:rsidRPr="005A21EE">
        <w:t>I sitt förslag hänvisar kommissionen till att viseringsfrihet för taiwaneser skulle få positiva ekonomiska effekter för förbindelserna mellan EU och Taiwan, eftersom Taiwan är en viktig handelspartner för EU. Trots att EU inte erkänner Taiwan som självständig stat och inte heller har några diplomatiska eller formella förbindelser med Taiwan har EU och Taiwan utvecklat regelbundna kontakter och samarbete inom ekonomi, handel, forskning, vetenskap och teknik, utbildning och kultur samt miljöfrågor. Som en föl</w:t>
      </w:r>
      <w:r w:rsidRPr="005A21EE">
        <w:t xml:space="preserve">jd av detta är EU den största utländska investeraren i Taiwan. Risken för olaglig invandring från Taiwan till EU är låg och andelen beviljade viseringsansökningar är hög. Vid Exportrådets kontor i Taipei, som utfärdar viseringar för svensk räkning, var andelen bifall under 2009 100%. Från och med slutet av 2008 utfärdar Taiwan biometriska pass och utför en förbättrad personkontroll vid utfärdande av nya pass. EU-medborgare, förutom medborgare från Cypern, Rumänien och Bulgarien, är viseringsfria vid inresa </w:t>
      </w:r>
      <w:r w:rsidRPr="005A21EE">
        <w:t>till Taiwan. Taiwan har som intention att under 2010 fatta beslut om viseringsfrihet också för de återstående tre ländernas medborgare.</w:t>
      </w:r>
    </w:p>
    <w:p w:rsidR="005A21EE" w:rsidRPr="005A21EE" w:rsidRDefault="005A21EE">
      <w:pPr>
        <w:pStyle w:val="Rubrik2"/>
      </w:pPr>
      <w:r w:rsidRPr="005A21EE">
        <w:t>Gällande svenska regler och förslagets effekt på dessa</w:t>
      </w:r>
    </w:p>
    <w:p w:rsidR="005A21EE" w:rsidRPr="005A21EE" w:rsidRDefault="005A21EE">
      <w:r w:rsidRPr="005A21EE">
        <w:t>Förslaget innehåller bestämmelser som berör skyldighet att inneha visering respektive undantag från denna skyldighet. Bestämmelser om viseringsskyldighet regleras i viseringsförordningen som är direkt tillämplig i Sverige. Ytterligare undantag från viseringskravet finns i utlänningsförordningen (SFS 2006:97). Några ändringar av de svenska bestämmelserna är inte nödvändiga.</w:t>
      </w:r>
    </w:p>
    <w:p w:rsidR="005A21EE" w:rsidRPr="005A21EE" w:rsidRDefault="005A21EE">
      <w:pPr>
        <w:pStyle w:val="Rubrik2"/>
      </w:pPr>
      <w:r w:rsidRPr="005A21EE">
        <w:t>Budgetära konsekvenser / Konsekvensanalys</w:t>
      </w:r>
    </w:p>
    <w:p w:rsidR="005A21EE" w:rsidRPr="005A21EE" w:rsidRDefault="005A21EE">
      <w:pPr>
        <w:rPr>
          <w:color w:val="000000"/>
          <w:sz w:val="18"/>
          <w:szCs w:val="18"/>
        </w:rPr>
      </w:pPr>
      <w:r w:rsidRPr="005A21EE">
        <w:rPr>
          <w:color w:val="000000"/>
          <w:sz w:val="18"/>
          <w:szCs w:val="18"/>
        </w:rPr>
        <w:t>Förslaget medför inga statsfinansiella konsekvenser. Exportrådet får genom förslaget minskade intäkter i form av uteblivna viseringsavgifter.  Intäktsbortfallet på grund av de uteblivna viseringsavgifterna kan finansieras inom ramen för aktuella anslag.</w:t>
      </w:r>
    </w:p>
    <w:p w:rsidR="005A21EE" w:rsidRPr="005A21EE" w:rsidRDefault="005A21EE">
      <w:pPr>
        <w:pStyle w:val="Rubrik1"/>
      </w:pPr>
      <w:r w:rsidRPr="005A21EE">
        <w:t>Ståndpunkter</w:t>
      </w:r>
    </w:p>
    <w:p w:rsidR="005A21EE" w:rsidRPr="005A21EE" w:rsidRDefault="005A21EE">
      <w:pPr>
        <w:pStyle w:val="Rubrik2"/>
      </w:pPr>
      <w:r w:rsidRPr="005A21EE">
        <w:t>Preliminär svensk ståndpunkt</w:t>
      </w:r>
    </w:p>
    <w:p w:rsidR="005A21EE" w:rsidRPr="005A21EE" w:rsidRDefault="005A21EE">
      <w:r w:rsidRPr="005A21EE">
        <w:t>Regeringen ställer sig positivt till den föreslagna ändringen i viseringsförordningen. Förslaget ligger i linje med svenska strävanden att underlätta resande för den enskilde individen och kan inte anses utgöra någon risk för ökad olaglig invandring.</w:t>
      </w:r>
    </w:p>
    <w:p w:rsidR="005A21EE" w:rsidRPr="005A21EE" w:rsidRDefault="005A21EE">
      <w:pPr>
        <w:pStyle w:val="Rubrik2"/>
      </w:pPr>
      <w:r w:rsidRPr="005A21EE">
        <w:t>Medlemsstaternas ståndpunkter</w:t>
      </w:r>
    </w:p>
    <w:p w:rsidR="005A21EE" w:rsidRPr="005A21EE" w:rsidRDefault="005A21EE">
      <w:r w:rsidRPr="005A21EE">
        <w:t xml:space="preserve">Ett tiotal medlemsstater har hittills indikerat att de är positivt inställda till viseringsfrihet för taiwanesiska medborgare.   </w:t>
      </w:r>
    </w:p>
    <w:p w:rsidR="005A21EE" w:rsidRPr="005A21EE" w:rsidRDefault="005A21EE">
      <w:pPr>
        <w:pStyle w:val="Rubrik2"/>
      </w:pPr>
      <w:r w:rsidRPr="005A21EE">
        <w:t>Institutionernas ståndpunkter</w:t>
      </w:r>
    </w:p>
    <w:p w:rsidR="005A21EE" w:rsidRPr="005A21EE" w:rsidRDefault="005A21EE">
      <w:r w:rsidRPr="005A21EE">
        <w:t>Institutionernas ståndpunkter är ännu okända.</w:t>
      </w:r>
    </w:p>
    <w:p w:rsidR="005A21EE" w:rsidRPr="005A21EE" w:rsidRDefault="005A21EE">
      <w:pPr>
        <w:pStyle w:val="Rubrik2"/>
      </w:pPr>
      <w:r w:rsidRPr="005A21EE">
        <w:t>Remissinstansernas ståndpunkter</w:t>
      </w:r>
    </w:p>
    <w:p w:rsidR="005A21EE" w:rsidRPr="005A21EE" w:rsidRDefault="005A21EE">
      <w:r w:rsidRPr="005A21EE">
        <w:t xml:space="preserve">Förslaget har inte remitterats. </w:t>
      </w:r>
    </w:p>
    <w:p w:rsidR="005A21EE" w:rsidRPr="005A21EE" w:rsidRDefault="005A21EE">
      <w:pPr>
        <w:pStyle w:val="Rubrik1"/>
      </w:pPr>
      <w:r w:rsidRPr="005A21EE">
        <w:t>Förslagets förutsättningar</w:t>
      </w:r>
    </w:p>
    <w:p w:rsidR="005A21EE" w:rsidRPr="005A21EE" w:rsidRDefault="005A21EE">
      <w:pPr>
        <w:pStyle w:val="Rubrik2"/>
      </w:pPr>
      <w:r w:rsidRPr="005A21EE">
        <w:t>Rättslig grund och beslutsförfarande</w:t>
      </w:r>
    </w:p>
    <w:p w:rsidR="005A21EE" w:rsidRPr="005A21EE" w:rsidRDefault="005A21EE">
      <w:r w:rsidRPr="005A21EE">
        <w:t xml:space="preserve">Den rättsliga grunden utgörs av artikel 77.2 a i EUF-fördraget. Beslut fattas genom det ordinarie lagstiftningsförfarandet, det vill säga Europaparlamentet är medbeslutande och rådet fattar beslut med kvalificerad majoritet. </w:t>
      </w:r>
    </w:p>
    <w:p w:rsidR="005A21EE" w:rsidRPr="005A21EE" w:rsidRDefault="005A21EE">
      <w:pPr>
        <w:pStyle w:val="Rubrik2"/>
      </w:pPr>
      <w:r w:rsidRPr="005A21EE">
        <w:t>Subsidiaritets- och proportionalitetsprincipen</w:t>
      </w:r>
    </w:p>
    <w:p w:rsidR="005A21EE" w:rsidRPr="005A21EE" w:rsidRDefault="005A21EE">
      <w:r w:rsidRPr="005A21EE">
        <w:t>Beslut som fattas med stöd av artikel 77.2 a i EUF-fördraget faller inom unionens exklusiva kompetens.</w:t>
      </w:r>
    </w:p>
    <w:p w:rsidR="005A21EE" w:rsidRPr="005A21EE" w:rsidRDefault="005A21EE">
      <w:pPr>
        <w:pStyle w:val="Rubrik1"/>
      </w:pPr>
      <w:r w:rsidRPr="005A21EE">
        <w:t>Övrigt</w:t>
      </w:r>
    </w:p>
    <w:p w:rsidR="005A21EE" w:rsidRPr="005A21EE" w:rsidRDefault="005A21EE">
      <w:pPr>
        <w:pStyle w:val="Rubrik2"/>
      </w:pPr>
      <w:r w:rsidRPr="005A21EE">
        <w:t>Fortsatt behandling av ärendet</w:t>
      </w:r>
    </w:p>
    <w:p w:rsidR="005A21EE" w:rsidRPr="005A21EE" w:rsidRDefault="005A21EE">
      <w:r w:rsidRPr="005A21EE">
        <w:t xml:space="preserve">Ett beslut är sannolikt att förvänta under hösten 2010. </w:t>
      </w:r>
    </w:p>
    <w:p w:rsidR="005A21EE" w:rsidRPr="005A21EE" w:rsidRDefault="005A21EE">
      <w:pPr>
        <w:pStyle w:val="Rubrik2"/>
      </w:pPr>
      <w:r w:rsidRPr="005A21EE">
        <w:t>Fackuttryck/termer</w:t>
      </w:r>
    </w:p>
    <w:p w:rsidR="005A21EE" w:rsidRPr="005A21EE" w:rsidRDefault="005A21EE">
      <w:r w:rsidRPr="005A21EE">
        <w:t>-</w:t>
      </w:r>
    </w:p>
    <w:sectPr w:rsidR="00000000" w:rsidRPr="005A21E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1EE" w:rsidRPr="005A21EE" w:rsidRDefault="005A21EE">
      <w:r w:rsidRPr="005A21EE">
        <w:separator/>
      </w:r>
    </w:p>
  </w:endnote>
  <w:endnote w:type="continuationSeparator" w:id="0">
    <w:p w:rsidR="005A21EE" w:rsidRPr="005A21EE" w:rsidRDefault="005A21EE">
      <w:r w:rsidRPr="005A2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1EE" w:rsidRPr="005A21EE" w:rsidRDefault="005A21E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1EE" w:rsidRPr="005A21EE" w:rsidRDefault="005A21EE">
    <w:pPr>
      <w:pStyle w:val="SidfotH"/>
      <w:framePr w:wrap="around"/>
    </w:pPr>
    <w:r w:rsidRPr="005A21EE">
      <w:t>3</w:t>
    </w:r>
  </w:p>
  <w:p w:rsidR="005A21EE" w:rsidRPr="005A21EE" w:rsidRDefault="005A21E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1EE" w:rsidRPr="005A21EE" w:rsidRDefault="005A21EE">
    <w:pPr>
      <w:pStyle w:val="SidfotH"/>
      <w:framePr w:wrap="around"/>
    </w:pPr>
    <w:r w:rsidRPr="005A21EE">
      <w:t>1</w:t>
    </w:r>
  </w:p>
  <w:p w:rsidR="005A21EE" w:rsidRPr="005A21EE" w:rsidRDefault="005A2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1EE" w:rsidRPr="005A21EE" w:rsidRDefault="005A21EE">
      <w:r w:rsidRPr="005A21EE">
        <w:separator/>
      </w:r>
    </w:p>
  </w:footnote>
  <w:footnote w:type="continuationSeparator" w:id="0">
    <w:p w:rsidR="005A21EE" w:rsidRPr="005A21EE" w:rsidRDefault="005A21EE">
      <w:r w:rsidRPr="005A2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1EE" w:rsidRPr="005A21EE" w:rsidRDefault="005A21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1EE" w:rsidRPr="005A21EE" w:rsidRDefault="005A21EE">
    <w:pPr>
      <w:pStyle w:val="Kantrubrik"/>
      <w:framePr w:h="1157" w:hRule="exact" w:wrap="around" w:y="738"/>
    </w:pPr>
    <w:r w:rsidRPr="005A21EE">
      <w:t>2009/10:FPM110</w:t>
    </w:r>
  </w:p>
  <w:p w:rsidR="005A21EE" w:rsidRPr="005A21EE" w:rsidRDefault="005A21E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1EE" w:rsidRPr="005A21EE" w:rsidRDefault="005A21EE">
    <w:pPr>
      <w:pStyle w:val="Sidhuvud"/>
    </w:pPr>
    <w:r w:rsidRPr="005A21E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6692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1EE" w:rsidRDefault="005A21E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A21EE" w:rsidRDefault="005A21EE">
                    <w:pPr>
                      <w:pStyle w:val="Logo"/>
                    </w:pPr>
                    <w:r>
                      <w:object w:dxaOrig="840" w:dyaOrig="1545">
                        <v:shape id="_x0000_i1025" type="#_x0000_t75" style="width:42pt;height:77.5pt" filled="t">
                          <v:imagedata r:id="rId1" o:title=""/>
                        </v:shape>
                        <o:OLEObject Type="Embed" ProgID="Word.Picture.8" ShapeID="_x0000_i1025" DrawAspect="Content" ObjectID="_18275301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4740504">
    <w:abstractNumId w:val="4"/>
  </w:num>
  <w:num w:numId="2" w16cid:durableId="757559174">
    <w:abstractNumId w:val="1"/>
  </w:num>
  <w:num w:numId="3" w16cid:durableId="906964363">
    <w:abstractNumId w:val="2"/>
  </w:num>
  <w:num w:numId="4" w16cid:durableId="1473400907">
    <w:abstractNumId w:val="3"/>
  </w:num>
  <w:num w:numId="5" w16cid:durableId="450829795">
    <w:abstractNumId w:val="5"/>
  </w:num>
  <w:num w:numId="6" w16cid:durableId="137137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8-20"/>
    <w:docVar w:name="Ar" w:val="2009/10"/>
    <w:docVar w:name="Dep" w:val="Justitiedepartementet"/>
    <w:docVar w:name="DepWeb" w:val="Justitiedepartementet"/>
    <w:docVar w:name="GDB1" w:val="KOM(2010) 35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539/2001 om fastställande av förteckningen över tredje länder vars medborgare är skyldiga att inneha visering när de passerar de yttre gränserna och av förteckningen över de tredje länder vars medborgare är undantagna från detta krav"/>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58"/>
    <w:docVar w:name="Nr" w:val="102"/>
    <w:docVar w:name="RD_APPVERSION" w:val="3.00"/>
    <w:docVar w:name="Rub" w:val="Viseringsfrihet för taiwanesiska medborgare  - Ändring av viseringsförordningen"/>
    <w:docVar w:name="UppDat" w:val="2010-08-20"/>
    <w:docVar w:name="Utsk" w:val="Socialförsäkringsutskottet"/>
  </w:docVars>
  <w:rsids>
    <w:rsidRoot w:val="002518C2"/>
    <w:rsid w:val="002518C2"/>
    <w:rsid w:val="005A21E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54D841-C992-4D0F-A60B-CF9EF347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mainbodycontent">
    <w:name w:val="mainbodycontent"/>
    <w:basedOn w:val="Standardstycketeckensnitt"/>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625</Words>
  <Characters>4144</Characters>
  <Application>Microsoft Office Word</Application>
  <DocSecurity>4</DocSecurity>
  <Lines>92</Lines>
  <Paragraphs>45</Paragraphs>
  <ScaleCrop>false</ScaleCrop>
  <HeadingPairs>
    <vt:vector size="2" baseType="variant">
      <vt:variant>
        <vt:lpstr>Rubrik</vt:lpstr>
      </vt:variant>
      <vt:variant>
        <vt:i4>1</vt:i4>
      </vt:variant>
    </vt:vector>
  </HeadingPairs>
  <TitlesOfParts>
    <vt:vector size="1" baseType="lpstr">
      <vt:lpstr>FPM_200910__110</vt:lpstr>
    </vt:vector>
  </TitlesOfParts>
  <Company>RD-DTSL</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FPM_200910__110</dc:title>
  <dc:subject>FPM_200910__110</dc:subject>
  <dc:creator>Riksdagen</dc:creator>
  <cp:keywords>Riksdagen</cp:keywords>
  <dc:description>KP2004-version.  Ändringarna påverkar enbart användningen inom Riksdagen. 050429 nya departement DTSL.</dc:description>
  <cp:lastModifiedBy>Lars Brink</cp:lastModifiedBy>
  <cp:revision>2</cp:revision>
  <cp:lastPrinted>2010-08-23T11:46:00Z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110</vt:lpwstr>
  </property>
  <property fmtid="{D5CDD505-2E9C-101B-9397-08002B2CF9AE}" pid="4" name="GDB1">
    <vt:lpwstr>KOM(2010) 358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Viseringsfrihet för taiwanesiska medborgare  - Ändring av viseringsförordningen</vt:lpwstr>
  </property>
  <property fmtid="{D5CDD505-2E9C-101B-9397-08002B2CF9AE}" pid="8" name="UppDat">
    <vt:lpwstr>2010-08-20</vt:lpwstr>
  </property>
  <property fmtid="{D5CDD505-2E9C-101B-9397-08002B2CF9AE}" pid="9" name="AnkDat">
    <vt:lpwstr>2010-08-20</vt:lpwstr>
  </property>
  <property fmtid="{D5CDD505-2E9C-101B-9397-08002B2CF9AE}" pid="10" name="Utsk">
    <vt:lpwstr>Socialförsäkringsutskottet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Sekretariatet för EU-möten i Sverige 2009">
    <vt:lpwstr>NEJ</vt:lpwstr>
  </property>
</Properties>
</file>