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77B2A">
        <w:tblPrEx>
          <w:tblCellMar>
            <w:top w:w="0" w:type="dxa"/>
            <w:bottom w:w="0" w:type="dxa"/>
          </w:tblCellMar>
        </w:tblPrEx>
        <w:trPr>
          <w:cantSplit/>
          <w:trHeight w:hRule="exact" w:val="1260"/>
        </w:trPr>
        <w:tc>
          <w:tcPr>
            <w:tcW w:w="6024" w:type="dxa"/>
            <w:gridSpan w:val="2"/>
            <w:vMerge w:val="restart"/>
          </w:tcPr>
          <w:p w:rsidR="0010061A" w:rsidRPr="00C77B2A" w:rsidRDefault="0010061A">
            <w:pPr>
              <w:pStyle w:val="HuvudRubrik"/>
            </w:pPr>
            <w:bookmarkStart w:id="0" w:name="BetänkandeRubrik"/>
            <w:bookmarkEnd w:id="0"/>
            <w:r w:rsidRPr="00C77B2A">
              <w:t>Konstitutionsutskottets betänkande</w:t>
            </w:r>
            <w:r w:rsidR="00C77B2A" w:rsidRPr="00C77B2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51444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0061A" w:rsidRPr="00C77B2A" w:rsidRDefault="0010061A">
                                  <w:pPr>
                                    <w:pStyle w:val="Logo"/>
                                  </w:pPr>
                                  <w:r w:rsidRPr="00C77B2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53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0061A" w:rsidRPr="00C77B2A" w:rsidRDefault="0010061A">
                            <w:pPr>
                              <w:pStyle w:val="Logo"/>
                            </w:pPr>
                            <w:r w:rsidRPr="00C77B2A">
                              <w:object w:dxaOrig="840" w:dyaOrig="1545">
                                <v:shape id="_x0000_i1025" type="#_x0000_t75" style="width:90.45pt;height:77.15pt" fillcolor="window">
                                  <v:imagedata r:id="rId6" o:title="" cropright="-75835f"/>
                                </v:shape>
                                <o:OLEObject Type="Embed" ProgID="Word.Picture.8" ShapeID="_x0000_i1025" DrawAspect="Content" ObjectID="_1827349530" r:id="rId8"/>
                              </w:object>
                            </w:r>
                          </w:p>
                        </w:txbxContent>
                      </v:textbox>
                      <w10:wrap anchorx="page" anchory="page"/>
                    </v:shape>
                  </w:pict>
                </mc:Fallback>
              </mc:AlternateContent>
            </w:r>
          </w:p>
          <w:p w:rsidR="0010061A" w:rsidRPr="00C77B2A" w:rsidRDefault="0010061A">
            <w:pPr>
              <w:pStyle w:val="HuvudRubrikRad2"/>
            </w:pPr>
            <w:bookmarkStart w:id="17" w:name="BetänkandeNr"/>
            <w:bookmarkEnd w:id="17"/>
            <w:r w:rsidRPr="00C77B2A">
              <w:t>2000/01:KU13</w:t>
            </w:r>
          </w:p>
          <w:p w:rsidR="0010061A" w:rsidRPr="00C77B2A" w:rsidRDefault="0010061A">
            <w:pPr>
              <w:pStyle w:val="BetnkandeRubrik"/>
            </w:pPr>
            <w:bookmarkStart w:id="18" w:name="Huvudrubrik"/>
            <w:bookmarkEnd w:id="18"/>
            <w:r w:rsidRPr="00C77B2A">
              <w:t>Justitieombudsmännens ämbetsberättelse vid riksmötet 2000/01</w:t>
            </w:r>
          </w:p>
        </w:tc>
        <w:tc>
          <w:tcPr>
            <w:tcW w:w="1559" w:type="dxa"/>
            <w:tcBorders>
              <w:bottom w:val="nil"/>
            </w:tcBorders>
          </w:tcPr>
          <w:p w:rsidR="0010061A" w:rsidRPr="00C77B2A" w:rsidRDefault="0010061A">
            <w:pPr>
              <w:spacing w:before="0" w:line="230" w:lineRule="auto"/>
              <w:rPr>
                <w:sz w:val="24"/>
              </w:rPr>
            </w:pPr>
          </w:p>
        </w:tc>
      </w:tr>
      <w:tr w:rsidR="00000000" w:rsidRPr="00C77B2A">
        <w:tblPrEx>
          <w:tblCellMar>
            <w:top w:w="0" w:type="dxa"/>
            <w:bottom w:w="0" w:type="dxa"/>
          </w:tblCellMar>
        </w:tblPrEx>
        <w:trPr>
          <w:cantSplit/>
          <w:trHeight w:hRule="exact" w:val="240"/>
        </w:trPr>
        <w:tc>
          <w:tcPr>
            <w:tcW w:w="6024" w:type="dxa"/>
            <w:gridSpan w:val="2"/>
            <w:vMerge/>
            <w:tcBorders>
              <w:top w:val="nil"/>
              <w:bottom w:val="nil"/>
            </w:tcBorders>
          </w:tcPr>
          <w:p w:rsidR="0010061A" w:rsidRPr="00C77B2A" w:rsidRDefault="0010061A">
            <w:pPr>
              <w:spacing w:before="40" w:after="900" w:line="280" w:lineRule="exact"/>
              <w:jc w:val="left"/>
              <w:rPr>
                <w:sz w:val="28"/>
              </w:rPr>
            </w:pPr>
          </w:p>
        </w:tc>
        <w:tc>
          <w:tcPr>
            <w:tcW w:w="1559" w:type="dxa"/>
          </w:tcPr>
          <w:p w:rsidR="0010061A" w:rsidRPr="00C77B2A" w:rsidRDefault="0010061A">
            <w:pPr>
              <w:pStyle w:val="rtal"/>
            </w:pPr>
            <w:r w:rsidRPr="00C77B2A">
              <w:t>2000/01</w:t>
            </w:r>
          </w:p>
        </w:tc>
      </w:tr>
      <w:tr w:rsidR="00000000" w:rsidRPr="00C77B2A">
        <w:tblPrEx>
          <w:tblCellMar>
            <w:top w:w="0" w:type="dxa"/>
            <w:bottom w:w="0" w:type="dxa"/>
          </w:tblCellMar>
        </w:tblPrEx>
        <w:trPr>
          <w:cantSplit/>
          <w:trHeight w:val="560"/>
        </w:trPr>
        <w:tc>
          <w:tcPr>
            <w:tcW w:w="6024" w:type="dxa"/>
            <w:gridSpan w:val="2"/>
            <w:vMerge/>
            <w:tcBorders>
              <w:top w:val="nil"/>
              <w:bottom w:val="single" w:sz="6" w:space="0" w:color="auto"/>
            </w:tcBorders>
          </w:tcPr>
          <w:p w:rsidR="0010061A" w:rsidRPr="00C77B2A" w:rsidRDefault="0010061A">
            <w:pPr>
              <w:spacing w:before="40" w:after="900" w:line="280" w:lineRule="exact"/>
              <w:jc w:val="left"/>
              <w:rPr>
                <w:sz w:val="28"/>
              </w:rPr>
            </w:pPr>
          </w:p>
        </w:tc>
        <w:tc>
          <w:tcPr>
            <w:tcW w:w="1559" w:type="dxa"/>
            <w:tcBorders>
              <w:bottom w:val="single" w:sz="6" w:space="0" w:color="auto"/>
            </w:tcBorders>
          </w:tcPr>
          <w:p w:rsidR="0010061A" w:rsidRPr="00C77B2A" w:rsidRDefault="0010061A">
            <w:pPr>
              <w:pStyle w:val="rtal"/>
            </w:pPr>
            <w:r w:rsidRPr="00C77B2A">
              <w:t>KU13</w:t>
            </w:r>
          </w:p>
        </w:tc>
      </w:tr>
      <w:tr w:rsidR="00000000" w:rsidRPr="00C77B2A">
        <w:tblPrEx>
          <w:tblCellMar>
            <w:top w:w="0" w:type="dxa"/>
            <w:bottom w:w="0" w:type="dxa"/>
          </w:tblCellMar>
        </w:tblPrEx>
        <w:trPr>
          <w:cantSplit/>
          <w:trHeight w:hRule="exact" w:val="660"/>
        </w:trPr>
        <w:tc>
          <w:tcPr>
            <w:tcW w:w="3012" w:type="dxa"/>
          </w:tcPr>
          <w:p w:rsidR="0010061A" w:rsidRPr="00C77B2A" w:rsidRDefault="0010061A">
            <w:pPr>
              <w:pStyle w:val="StatusSida1"/>
            </w:pPr>
          </w:p>
        </w:tc>
        <w:tc>
          <w:tcPr>
            <w:tcW w:w="3012" w:type="dxa"/>
          </w:tcPr>
          <w:p w:rsidR="0010061A" w:rsidRPr="00C77B2A" w:rsidRDefault="0010061A">
            <w:pPr>
              <w:pStyle w:val="UtskriftsdatumSida1"/>
              <w:rPr>
                <w:b/>
                <w:sz w:val="28"/>
              </w:rPr>
            </w:pPr>
          </w:p>
        </w:tc>
        <w:tc>
          <w:tcPr>
            <w:tcW w:w="1559" w:type="dxa"/>
          </w:tcPr>
          <w:p w:rsidR="0010061A" w:rsidRPr="00C77B2A" w:rsidRDefault="0010061A"/>
        </w:tc>
      </w:tr>
    </w:tbl>
    <w:p w:rsidR="0010061A" w:rsidRPr="00C77B2A" w:rsidRDefault="0010061A">
      <w:pPr>
        <w:pStyle w:val="Rubrik1"/>
        <w:spacing w:before="0"/>
      </w:pPr>
      <w:bookmarkStart w:id="19" w:name="_Toc499356879"/>
      <w:r w:rsidRPr="00C77B2A">
        <w:t>Redogörelsen</w:t>
      </w:r>
      <w:bookmarkEnd w:id="19"/>
    </w:p>
    <w:p w:rsidR="0010061A" w:rsidRPr="00C77B2A" w:rsidRDefault="0010061A">
      <w:bookmarkStart w:id="20" w:name="Textstart"/>
      <w:bookmarkEnd w:id="20"/>
      <w:r w:rsidRPr="00C77B2A">
        <w:t>Riksdagens ombudsmän har enligt 11 § lagen (1986:765) med instruktion för Riksdagens ombudsmän överlämnat sin ämbetsberättelse (redogörelse 2000/01:JO1) för tiden den 1 juli 1999–den 30 juni 2000.</w:t>
      </w:r>
    </w:p>
    <w:p w:rsidR="0010061A" w:rsidRPr="00C77B2A" w:rsidRDefault="0010061A">
      <w:pPr>
        <w:pStyle w:val="Rubrik1"/>
      </w:pPr>
      <w:bookmarkStart w:id="21" w:name="_Toc499356880"/>
      <w:r w:rsidRPr="00C77B2A">
        <w:t>Utskottet</w:t>
      </w:r>
      <w:bookmarkEnd w:id="21"/>
    </w:p>
    <w:p w:rsidR="0010061A" w:rsidRPr="00C77B2A" w:rsidRDefault="0010061A">
      <w:r w:rsidRPr="00C77B2A">
        <w:t>Ärenden som rör riksdagens ombudsmän bereds av konstitutionsutskottet. Till utskottet har hänvisats ombudsmännens ämbetsberättelse för tiden den 1 juli 1999–den 30 juni 2000.</w:t>
      </w:r>
    </w:p>
    <w:p w:rsidR="0010061A" w:rsidRPr="00C77B2A" w:rsidRDefault="0010061A">
      <w:r w:rsidRPr="00C77B2A">
        <w:t>Ämbetsberättelsen inleds med en skrivelse till riksdagen som innehåller uppgifter om organisationen och verksamheten, bl.a. vissa statistiska up</w:t>
      </w:r>
      <w:r w:rsidRPr="00C77B2A">
        <w:t>p</w:t>
      </w:r>
      <w:r w:rsidRPr="00C77B2A">
        <w:t>gifter. Under perioden nyregistrerades 4 739 ärenden, en minskning med 199 (4,0 %) i förhållande till verksamhetsåret 1998/99. Antalet avgjorda ärenden uppgick till 4 986, vilket innebär en ökning med 31 (0,6 %) jämfört med föregående verksamhetsår. De oavgjorda ärendena i balans gick under ver</w:t>
      </w:r>
      <w:r w:rsidRPr="00C77B2A">
        <w:t>k</w:t>
      </w:r>
      <w:r w:rsidRPr="00C77B2A">
        <w:t>samhetsåret ned med 22,5 %, från 1 107 till 860. Den utgående ärendebala</w:t>
      </w:r>
      <w:r w:rsidRPr="00C77B2A">
        <w:t>n</w:t>
      </w:r>
      <w:r w:rsidRPr="00C77B2A">
        <w:t>sen är den lägsta sedan 1993. Under verksamhetsåret har ett åtal väckts och en anmälning för vidtagande av disciplinär åtgärd gjorts. Fyra ini</w:t>
      </w:r>
      <w:r w:rsidRPr="00C77B2A">
        <w:t>tiativäre</w:t>
      </w:r>
      <w:r w:rsidRPr="00C77B2A">
        <w:t>n</w:t>
      </w:r>
      <w:r w:rsidRPr="00C77B2A">
        <w:t>den och 93 klagomålsärenden har överlämnats till annan myndighet för prövning och avg</w:t>
      </w:r>
      <w:r w:rsidRPr="00C77B2A">
        <w:t>ö</w:t>
      </w:r>
      <w:r w:rsidRPr="00C77B2A">
        <w:t>rande.</w:t>
      </w:r>
    </w:p>
    <w:p w:rsidR="0010061A" w:rsidRPr="00C77B2A" w:rsidRDefault="0010061A">
      <w:pPr>
        <w:pStyle w:val="Normaltindrag"/>
      </w:pPr>
      <w:r w:rsidRPr="00C77B2A">
        <w:t>I ämbetsberättelsen redovisas vidare bl.a. vilka remissyttranden m.m. som ombudsmännen avgett, vilka inspektioner som de företagit och vilka fra</w:t>
      </w:r>
      <w:r w:rsidRPr="00C77B2A">
        <w:t>m</w:t>
      </w:r>
      <w:r w:rsidRPr="00C77B2A">
        <w:t>ställningar om författningsändringar som de gjort. I 40 fall har beslut öve</w:t>
      </w:r>
      <w:r w:rsidRPr="00C77B2A">
        <w:t>r</w:t>
      </w:r>
      <w:r w:rsidRPr="00C77B2A">
        <w:t>lämnats till riksdagsutskott, departement inom Regeringskansliet eller my</w:t>
      </w:r>
      <w:r w:rsidRPr="00C77B2A">
        <w:t>n</w:t>
      </w:r>
      <w:r w:rsidRPr="00C77B2A">
        <w:t>digheter. Ämbetsberättelsen innehåller även uppgifter om deltagande i konf</w:t>
      </w:r>
      <w:r w:rsidRPr="00C77B2A">
        <w:t>e</w:t>
      </w:r>
      <w:r w:rsidRPr="00C77B2A">
        <w:t>renser, seminarier och utbildningsverksamhet samt om internationellt sama</w:t>
      </w:r>
      <w:r w:rsidRPr="00C77B2A">
        <w:t>r</w:t>
      </w:r>
      <w:r w:rsidRPr="00C77B2A">
        <w:t>bete. Huvuddelen av ämbetsberättelsen innehåller redogörelser för ärenden av större allmänt intresse.</w:t>
      </w:r>
    </w:p>
    <w:p w:rsidR="0010061A" w:rsidRPr="00C77B2A" w:rsidRDefault="0010061A">
      <w:r w:rsidRPr="00C77B2A">
        <w:t>Riksdagen omvalde den 13 oktober 1999 Claes Eklundh att vara chefsjust</w:t>
      </w:r>
      <w:r w:rsidRPr="00C77B2A">
        <w:t>i</w:t>
      </w:r>
      <w:r w:rsidRPr="00C77B2A">
        <w:t>tieombudsman  från valet till dess att nytt val genomförts under fjärde året därefter. Samma dag valde riksdagen Nils-Olof Berggren att vara justitieo</w:t>
      </w:r>
      <w:r w:rsidRPr="00C77B2A">
        <w:t>m</w:t>
      </w:r>
      <w:r w:rsidRPr="00C77B2A">
        <w:t>budsman fr.o.m. den 1 december 1999 till dess att nytt val genomförts under fjärde året därefter.</w:t>
      </w:r>
    </w:p>
    <w:p w:rsidR="0010061A" w:rsidRPr="00C77B2A" w:rsidRDefault="0010061A">
      <w:pPr>
        <w:pStyle w:val="Normaltindrag"/>
      </w:pPr>
      <w:r w:rsidRPr="00C77B2A">
        <w:lastRenderedPageBreak/>
        <w:t>Den 7 december 1999 omvalde riksdagen Gunnel Norell Söderblom att v</w:t>
      </w:r>
      <w:r w:rsidRPr="00C77B2A">
        <w:t>a</w:t>
      </w:r>
      <w:r w:rsidRPr="00C77B2A">
        <w:t>ra ställföreträdande ombudsman under en period av två år fr.o.m. den 1 jan</w:t>
      </w:r>
      <w:r w:rsidRPr="00C77B2A">
        <w:t>u</w:t>
      </w:r>
      <w:r w:rsidRPr="00C77B2A">
        <w:t>ari 2000.</w:t>
      </w:r>
    </w:p>
    <w:p w:rsidR="0010061A" w:rsidRPr="00C77B2A" w:rsidRDefault="0010061A">
      <w:r w:rsidRPr="00C77B2A">
        <w:t>Utskottet har, liksom tidigare år, fått ett antal skrivelser från allmänheten angående ombudsmännens verksamhet.</w:t>
      </w:r>
    </w:p>
    <w:p w:rsidR="0010061A" w:rsidRPr="00C77B2A" w:rsidRDefault="0010061A">
      <w:pPr>
        <w:pStyle w:val="Normaltindrag"/>
        <w:rPr>
          <w:u w:val="single"/>
        </w:rPr>
      </w:pPr>
      <w:r w:rsidRPr="00C77B2A">
        <w:t xml:space="preserve">Justitieombudsmännen har inför utskottet muntligen lämnat uppgifter om sin verksamhet. I samband med utskottets granskning har utskottskansliet besökt ombudsmannaexpeditionen och orienterat sig om verksamheten och arbetsläget. Därvid har det också gjorts en genomgång av ämbetets äldsta ännu inte avgjorda ärenden. </w:t>
      </w:r>
    </w:p>
    <w:p w:rsidR="0010061A" w:rsidRPr="00C77B2A" w:rsidRDefault="0010061A">
      <w:r w:rsidRPr="00C77B2A">
        <w:t>Den av utskottet företagna granskningen har inte gett anledning till något särskilt uttalande.</w:t>
      </w:r>
    </w:p>
    <w:p w:rsidR="0010061A" w:rsidRPr="00C77B2A" w:rsidRDefault="0010061A">
      <w:pPr>
        <w:pStyle w:val="Rubrik2"/>
      </w:pPr>
      <w:bookmarkStart w:id="22" w:name="_Toc499356881"/>
      <w:r w:rsidRPr="00C77B2A">
        <w:t>Hemställan</w:t>
      </w:r>
      <w:bookmarkEnd w:id="22"/>
    </w:p>
    <w:p w:rsidR="0010061A" w:rsidRPr="00C77B2A" w:rsidRDefault="0010061A">
      <w:r w:rsidRPr="00C77B2A">
        <w:t>Utskottet hemställer</w:t>
      </w:r>
    </w:p>
    <w:p w:rsidR="0010061A" w:rsidRPr="00C77B2A" w:rsidRDefault="0010061A">
      <w:pPr>
        <w:pStyle w:val="hembetr"/>
      </w:pPr>
      <w:bookmarkStart w:id="23" w:name="RESPARTI001"/>
      <w:bookmarkEnd w:id="23"/>
      <w:r w:rsidRPr="00C77B2A">
        <w:t>att riksdagen lägger redogörelse 2000/01:JO1 Justitieombudsmä</w:t>
      </w:r>
      <w:r w:rsidRPr="00C77B2A">
        <w:t>n</w:t>
      </w:r>
      <w:r w:rsidRPr="00C77B2A">
        <w:t>nens ä</w:t>
      </w:r>
      <w:r w:rsidRPr="00C77B2A">
        <w:t>m</w:t>
      </w:r>
      <w:r w:rsidRPr="00C77B2A">
        <w:t>betsberättelse till handlingarna.</w:t>
      </w:r>
    </w:p>
    <w:p w:rsidR="0010061A" w:rsidRPr="00C77B2A" w:rsidRDefault="0010061A">
      <w:pPr>
        <w:pStyle w:val="Normaltindrag"/>
      </w:pPr>
      <w:bookmarkStart w:id="24" w:name="Nästa_Hpunkt"/>
      <w:bookmarkEnd w:id="24"/>
    </w:p>
    <w:p w:rsidR="0010061A" w:rsidRPr="00C77B2A" w:rsidRDefault="0010061A">
      <w:pPr>
        <w:pStyle w:val="Stockholm"/>
      </w:pPr>
      <w:r w:rsidRPr="00C77B2A">
        <w:t xml:space="preserve">Stockholm den 30 november 2000 </w:t>
      </w:r>
    </w:p>
    <w:p w:rsidR="0010061A" w:rsidRPr="00C77B2A" w:rsidRDefault="0010061A">
      <w:pPr>
        <w:pStyle w:val="Vgnar"/>
      </w:pPr>
      <w:r w:rsidRPr="00C77B2A">
        <w:t>På konstitutionsutskottets vägnar</w:t>
      </w:r>
    </w:p>
    <w:p w:rsidR="0010061A" w:rsidRPr="00C77B2A" w:rsidRDefault="0010061A">
      <w:pPr>
        <w:pStyle w:val="Ordfnamn"/>
      </w:pPr>
      <w:r w:rsidRPr="00C77B2A">
        <w:t xml:space="preserve">Per Unckel </w:t>
      </w:r>
    </w:p>
    <w:p w:rsidR="0010061A" w:rsidRPr="00C77B2A" w:rsidRDefault="0010061A">
      <w:pPr>
        <w:pStyle w:val="Deltagare"/>
      </w:pPr>
      <w:r w:rsidRPr="00C77B2A">
        <w:t xml:space="preserve">I beslutet har deltagit: Per Unckel (m), Göran Magnusson (s), Barbro Hietala Nordlund (s), Kenneth Kvist (v), Ingvar Svensson (kd), Mats Berglind (s), Inger René (m), Kerstin Kristiansson Karlstedt (s), Kenth Högström (s), Mats Einarsson (v), Nils Fredrik Aurelius (m), Per Lager (mp), Helena Bargholtz (fp), Per-Samuel Nisser (m) och Anders Bengtsson (s). </w:t>
      </w:r>
    </w:p>
    <w:p w:rsidR="0010061A" w:rsidRPr="00C77B2A" w:rsidRDefault="0010061A">
      <w:pPr>
        <w:pStyle w:val="Tryckort"/>
        <w:framePr w:wrap="around"/>
      </w:pPr>
      <w:r w:rsidRPr="00C77B2A">
        <w:t>Elanders Gotab, Stockholm  2000</w:t>
      </w:r>
    </w:p>
    <w:p w:rsidR="0010061A" w:rsidRPr="00C77B2A" w:rsidRDefault="0010061A">
      <w:pPr>
        <w:pStyle w:val="Normaltindrag"/>
      </w:pPr>
    </w:p>
    <w:sectPr w:rsidR="0010061A" w:rsidRPr="00C77B2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61A" w:rsidRPr="00C77B2A" w:rsidRDefault="0010061A">
      <w:pPr>
        <w:spacing w:before="0" w:line="240" w:lineRule="auto"/>
      </w:pPr>
      <w:r w:rsidRPr="00C77B2A">
        <w:separator/>
      </w:r>
    </w:p>
  </w:endnote>
  <w:endnote w:type="continuationSeparator" w:id="0">
    <w:p w:rsidR="0010061A" w:rsidRPr="00C77B2A" w:rsidRDefault="0010061A">
      <w:pPr>
        <w:spacing w:before="0" w:line="240" w:lineRule="auto"/>
      </w:pPr>
      <w:r w:rsidRPr="00C77B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1A" w:rsidRPr="00C77B2A" w:rsidRDefault="0010061A">
    <w:pPr>
      <w:pStyle w:val="SidfotH"/>
      <w:framePr w:wrap="around"/>
    </w:pPr>
    <w:r w:rsidRPr="00C77B2A">
      <w:fldChar w:fldCharType="begin" w:fldLock="1"/>
    </w:r>
    <w:r w:rsidRPr="00C77B2A">
      <w:instrText xml:space="preserve"> PAGE </w:instrText>
    </w:r>
    <w:r w:rsidRPr="00C77B2A">
      <w:fldChar w:fldCharType="separate"/>
    </w:r>
    <w:r w:rsidRPr="00C77B2A">
      <w:t>1</w:t>
    </w:r>
    <w:r w:rsidRPr="00C77B2A">
      <w:fldChar w:fldCharType="end"/>
    </w:r>
  </w:p>
  <w:p w:rsidR="0010061A" w:rsidRPr="00C77B2A" w:rsidRDefault="00100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61A" w:rsidRPr="00C77B2A" w:rsidRDefault="0010061A">
      <w:pPr>
        <w:pStyle w:val="Sidfot"/>
      </w:pPr>
    </w:p>
  </w:footnote>
  <w:footnote w:type="continuationSeparator" w:id="0">
    <w:p w:rsidR="0010061A" w:rsidRPr="00C77B2A" w:rsidRDefault="0010061A">
      <w:pPr>
        <w:spacing w:before="0" w:line="240" w:lineRule="auto"/>
      </w:pPr>
      <w:r w:rsidRPr="00C77B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1A" w:rsidRPr="00C77B2A" w:rsidRDefault="0010061A">
    <w:pPr>
      <w:pStyle w:val="SidhuvudKant"/>
      <w:framePr w:w="1758" w:h="2744" w:hRule="exact" w:wrap="around" w:vAnchor="page" w:hAnchor="page" w:x="7372" w:y="568" w:anchorLock="0"/>
    </w:pPr>
  </w:p>
  <w:p w:rsidR="0010061A" w:rsidRPr="00C77B2A" w:rsidRDefault="0010061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615302"/>
    <w:rsid w:val="0010061A"/>
    <w:rsid w:val="00615302"/>
    <w:rsid w:val="00C77B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CD00B-F534-4FD2-A36C-61A1CE83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2981</Characters>
  <Application>Microsoft Office Word</Application>
  <DocSecurity>4</DocSecurity>
  <Lines>70</Lines>
  <Paragraphs>27</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Konstitutionsutskottets betänkande</vt:lpstr>
      <vt:lpstr>Redogörelsen</vt:lpstr>
      <vt:lpstr>Utskottet</vt:lpstr>
      <vt:lpstr>    Hemställan</vt:lpstr>
    </vt:vector>
  </TitlesOfParts>
  <Company>Riksdagen</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2000-12-01T10:45:00Z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