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1E3" w:rsidRPr="0085785D" w:rsidRDefault="00A421E3" w:rsidP="00EF0707">
      <w:pPr>
        <w:pStyle w:val="Hemstlrubrik"/>
      </w:pPr>
      <w:r w:rsidRPr="0085785D">
        <w:t>Förslag till riksdagsbeslut</w:t>
      </w:r>
    </w:p>
    <w:p w:rsidR="00A421E3" w:rsidRPr="0085785D" w:rsidRDefault="00A421E3" w:rsidP="00A421E3">
      <w:pPr>
        <w:pStyle w:val="Hemstlatt"/>
      </w:pPr>
      <w:r w:rsidRPr="0085785D">
        <w:t>Riksdagen tillkännage</w:t>
      </w:r>
      <w:r w:rsidR="002553CD" w:rsidRPr="0085785D">
        <w:t>r för regeringen som sin mening vad</w:t>
      </w:r>
      <w:r w:rsidRPr="0085785D">
        <w:t xml:space="preserve"> i motionen anförs om </w:t>
      </w:r>
      <w:r w:rsidR="00D24F05" w:rsidRPr="0085785D">
        <w:t xml:space="preserve">en fördelning av fakultetsanslagen som baseras på en tydlig och i förhand redovisad beräkningsgrund och där samtliga universitet, däribland Linköpings, behandlas på ett likvärdigt sätt. </w:t>
      </w:r>
    </w:p>
    <w:p w:rsidR="00E84F25" w:rsidRPr="0085785D" w:rsidRDefault="007C6092" w:rsidP="00E22893">
      <w:pPr>
        <w:pStyle w:val="Rubrik1"/>
      </w:pPr>
      <w:r w:rsidRPr="0085785D">
        <w:t>Motivering</w:t>
      </w:r>
    </w:p>
    <w:p w:rsidR="00EF0707" w:rsidRPr="0085785D" w:rsidRDefault="00A421E3" w:rsidP="00A421E3">
      <w:r w:rsidRPr="0085785D">
        <w:t>Våra universitet och</w:t>
      </w:r>
      <w:r w:rsidR="002553CD" w:rsidRPr="0085785D">
        <w:t xml:space="preserve"> högskolor i landet kämpar</w:t>
      </w:r>
      <w:r w:rsidRPr="0085785D">
        <w:t xml:space="preserve"> för att upprätthålla god kval</w:t>
      </w:r>
      <w:r w:rsidRPr="0085785D">
        <w:t>i</w:t>
      </w:r>
      <w:r w:rsidRPr="0085785D">
        <w:t xml:space="preserve">tet i utbildning och forskning. Skolorna har alltför låga anslag för att utveckla den kvalitet som krävs. Linköpings </w:t>
      </w:r>
      <w:r w:rsidR="00EF0707" w:rsidRPr="0085785D">
        <w:t xml:space="preserve">universitet </w:t>
      </w:r>
      <w:r w:rsidRPr="0085785D">
        <w:t>är särskilt utsatt på grund av sitt anmärkningsvärt låga fakultetsanslag. Den låga nivån står inte i rimlig proportion till övriga jämförbara universitet. Fakultetsanslag är de fasta forskningsresurser som universiteten får i anslag från riksdagen för forskning och forskarutbildning. Takbeloppet är den högsta ersättning ett lärosäte (un</w:t>
      </w:r>
      <w:r w:rsidRPr="0085785D">
        <w:t>i</w:t>
      </w:r>
      <w:r w:rsidRPr="0085785D">
        <w:t>versitet såväl som högskola) kan få för utförd grundutbildning ett visst år. Takbeloppet anger således den övre gräns ett lärosäte kan avräkna ett visst år när antalet helårsstudenter och helårsprestationer under året summeras och värderas.</w:t>
      </w:r>
      <w:r w:rsidR="00920975" w:rsidRPr="0085785D">
        <w:t xml:space="preserve"> </w:t>
      </w:r>
      <w:r w:rsidRPr="0085785D">
        <w:t xml:space="preserve">Fakultetsanslagen bör utgöra en stor del av takbeloppet för att god kvalitet ska nås. Det ligger i själva idén om att grundutbildningen ska vara forskningsanknuten. Nedan finns Linköpings </w:t>
      </w:r>
      <w:r w:rsidR="00EF0707" w:rsidRPr="0085785D">
        <w:t xml:space="preserve">universitets </w:t>
      </w:r>
      <w:r w:rsidRPr="0085785D">
        <w:t>tilldelning i jämf</w:t>
      </w:r>
      <w:r w:rsidRPr="0085785D">
        <w:t>ö</w:t>
      </w:r>
      <w:r w:rsidRPr="0085785D">
        <w:t>relse med några andra jämförbara universitet i landet.</w:t>
      </w:r>
    </w:p>
    <w:p w:rsidR="0033598A" w:rsidRPr="0085785D" w:rsidRDefault="0033598A" w:rsidP="0033598A">
      <w:pPr>
        <w:pStyle w:val="Normaltindrag"/>
        <w:spacing w:line="100" w:lineRule="exact"/>
        <w:rPr>
          <w:sz w:val="6"/>
          <w:szCs w:val="6"/>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4"/>
        <w:gridCol w:w="1619"/>
        <w:gridCol w:w="1444"/>
        <w:gridCol w:w="1466"/>
      </w:tblGrid>
      <w:tr w:rsidR="00C60D45" w:rsidRPr="0085785D">
        <w:tc>
          <w:tcPr>
            <w:tcW w:w="1471" w:type="dxa"/>
            <w:tcBorders>
              <w:top w:val="single" w:sz="4" w:space="0" w:color="auto"/>
              <w:bottom w:val="single" w:sz="4" w:space="0" w:color="auto"/>
            </w:tcBorders>
          </w:tcPr>
          <w:p w:rsidR="00C60D45" w:rsidRPr="0085785D" w:rsidRDefault="00C60D45" w:rsidP="00EF0707">
            <w:pPr>
              <w:spacing w:before="60" w:line="200" w:lineRule="exact"/>
              <w:rPr>
                <w:b/>
                <w:sz w:val="16"/>
                <w:szCs w:val="16"/>
              </w:rPr>
            </w:pPr>
          </w:p>
        </w:tc>
        <w:tc>
          <w:tcPr>
            <w:tcW w:w="1682" w:type="dxa"/>
            <w:tcBorders>
              <w:top w:val="single" w:sz="4" w:space="0" w:color="auto"/>
              <w:bottom w:val="single" w:sz="4" w:space="0" w:color="auto"/>
            </w:tcBorders>
          </w:tcPr>
          <w:p w:rsidR="00C60D45" w:rsidRPr="0085785D" w:rsidRDefault="00C60D45" w:rsidP="00EF0707">
            <w:pPr>
              <w:spacing w:before="60" w:line="200" w:lineRule="exact"/>
              <w:jc w:val="right"/>
              <w:rPr>
                <w:b/>
                <w:sz w:val="16"/>
                <w:szCs w:val="16"/>
              </w:rPr>
            </w:pPr>
            <w:r w:rsidRPr="0085785D">
              <w:rPr>
                <w:b/>
                <w:sz w:val="16"/>
                <w:szCs w:val="16"/>
              </w:rPr>
              <w:t>Fakultetsanslag</w:t>
            </w:r>
          </w:p>
        </w:tc>
        <w:tc>
          <w:tcPr>
            <w:tcW w:w="1496" w:type="dxa"/>
            <w:tcBorders>
              <w:top w:val="single" w:sz="4" w:space="0" w:color="auto"/>
              <w:bottom w:val="single" w:sz="4" w:space="0" w:color="auto"/>
            </w:tcBorders>
          </w:tcPr>
          <w:p w:rsidR="00C60D45" w:rsidRPr="0085785D" w:rsidRDefault="00C60D45" w:rsidP="00EF0707">
            <w:pPr>
              <w:spacing w:before="60" w:line="200" w:lineRule="exact"/>
              <w:jc w:val="right"/>
              <w:rPr>
                <w:b/>
                <w:sz w:val="16"/>
                <w:szCs w:val="16"/>
              </w:rPr>
            </w:pPr>
            <w:r w:rsidRPr="0085785D">
              <w:rPr>
                <w:b/>
                <w:sz w:val="16"/>
                <w:szCs w:val="16"/>
              </w:rPr>
              <w:t>Takbelopp</w:t>
            </w:r>
          </w:p>
        </w:tc>
        <w:tc>
          <w:tcPr>
            <w:tcW w:w="1520" w:type="dxa"/>
            <w:tcBorders>
              <w:top w:val="single" w:sz="4" w:space="0" w:color="auto"/>
              <w:bottom w:val="single" w:sz="4" w:space="0" w:color="auto"/>
            </w:tcBorders>
          </w:tcPr>
          <w:p w:rsidR="00C60D45" w:rsidRPr="0085785D" w:rsidRDefault="00C60D45" w:rsidP="00EF0707">
            <w:pPr>
              <w:spacing w:before="60" w:line="200" w:lineRule="exact"/>
              <w:jc w:val="right"/>
              <w:rPr>
                <w:b/>
                <w:sz w:val="16"/>
                <w:szCs w:val="16"/>
              </w:rPr>
            </w:pPr>
            <w:r w:rsidRPr="0085785D">
              <w:rPr>
                <w:b/>
                <w:sz w:val="16"/>
                <w:szCs w:val="16"/>
              </w:rPr>
              <w:t>Procentuell del</w:t>
            </w:r>
          </w:p>
        </w:tc>
      </w:tr>
      <w:tr w:rsidR="00C60D45" w:rsidRPr="0085785D">
        <w:tc>
          <w:tcPr>
            <w:tcW w:w="1471" w:type="dxa"/>
            <w:tcBorders>
              <w:top w:val="single" w:sz="4" w:space="0" w:color="auto"/>
            </w:tcBorders>
          </w:tcPr>
          <w:p w:rsidR="00C60D45" w:rsidRPr="0085785D" w:rsidRDefault="00C60D45" w:rsidP="00EF0707">
            <w:pPr>
              <w:spacing w:before="60" w:line="200" w:lineRule="exact"/>
              <w:rPr>
                <w:sz w:val="16"/>
                <w:szCs w:val="16"/>
              </w:rPr>
            </w:pPr>
            <w:r w:rsidRPr="0085785D">
              <w:rPr>
                <w:sz w:val="16"/>
                <w:szCs w:val="16"/>
              </w:rPr>
              <w:t>Stockholm</w:t>
            </w:r>
          </w:p>
        </w:tc>
        <w:tc>
          <w:tcPr>
            <w:tcW w:w="1682" w:type="dxa"/>
            <w:tcBorders>
              <w:top w:val="single" w:sz="4" w:space="0" w:color="auto"/>
            </w:tcBorders>
          </w:tcPr>
          <w:p w:rsidR="00C60D45" w:rsidRPr="0085785D" w:rsidRDefault="00C60D45"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003</w:t>
            </w:r>
          </w:p>
        </w:tc>
        <w:tc>
          <w:tcPr>
            <w:tcW w:w="1496" w:type="dxa"/>
            <w:tcBorders>
              <w:top w:val="single" w:sz="4" w:space="0" w:color="auto"/>
            </w:tcBorders>
          </w:tcPr>
          <w:p w:rsidR="00C60D45" w:rsidRPr="0085785D" w:rsidRDefault="00C60D45" w:rsidP="00EF0707">
            <w:pPr>
              <w:spacing w:before="60" w:line="200" w:lineRule="exact"/>
              <w:jc w:val="right"/>
              <w:rPr>
                <w:sz w:val="16"/>
                <w:szCs w:val="16"/>
              </w:rPr>
            </w:pPr>
            <w:r w:rsidRPr="0085785D">
              <w:rPr>
                <w:sz w:val="16"/>
                <w:szCs w:val="16"/>
              </w:rPr>
              <w:t>864</w:t>
            </w:r>
          </w:p>
        </w:tc>
        <w:tc>
          <w:tcPr>
            <w:tcW w:w="1520" w:type="dxa"/>
            <w:tcBorders>
              <w:top w:val="single" w:sz="4" w:space="0" w:color="auto"/>
            </w:tcBorders>
          </w:tcPr>
          <w:p w:rsidR="00C60D45" w:rsidRPr="0085785D" w:rsidRDefault="00C60D45" w:rsidP="00EF0707">
            <w:pPr>
              <w:spacing w:before="60" w:line="200" w:lineRule="exact"/>
              <w:jc w:val="right"/>
              <w:rPr>
                <w:sz w:val="16"/>
                <w:szCs w:val="16"/>
              </w:rPr>
            </w:pPr>
            <w:r w:rsidRPr="0085785D">
              <w:rPr>
                <w:sz w:val="16"/>
                <w:szCs w:val="16"/>
              </w:rPr>
              <w:t>116,1</w:t>
            </w:r>
          </w:p>
        </w:tc>
      </w:tr>
      <w:tr w:rsidR="00C60D45" w:rsidRPr="0085785D">
        <w:tc>
          <w:tcPr>
            <w:tcW w:w="1471" w:type="dxa"/>
          </w:tcPr>
          <w:p w:rsidR="00C60D45" w:rsidRPr="0085785D" w:rsidRDefault="00C60D45" w:rsidP="00EF0707">
            <w:pPr>
              <w:spacing w:before="60" w:line="200" w:lineRule="exact"/>
              <w:rPr>
                <w:sz w:val="16"/>
                <w:szCs w:val="16"/>
              </w:rPr>
            </w:pPr>
            <w:r w:rsidRPr="0085785D">
              <w:rPr>
                <w:sz w:val="16"/>
                <w:szCs w:val="16"/>
              </w:rPr>
              <w:t>Uppsala</w:t>
            </w:r>
          </w:p>
        </w:tc>
        <w:tc>
          <w:tcPr>
            <w:tcW w:w="1682" w:type="dxa"/>
          </w:tcPr>
          <w:p w:rsidR="00C60D45" w:rsidRPr="0085785D" w:rsidRDefault="00C60D45"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186</w:t>
            </w:r>
          </w:p>
        </w:tc>
        <w:tc>
          <w:tcPr>
            <w:tcW w:w="1496" w:type="dxa"/>
          </w:tcPr>
          <w:p w:rsidR="00C60D45" w:rsidRPr="0085785D" w:rsidRDefault="0002223F"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126</w:t>
            </w:r>
          </w:p>
        </w:tc>
        <w:tc>
          <w:tcPr>
            <w:tcW w:w="1520" w:type="dxa"/>
          </w:tcPr>
          <w:p w:rsidR="00C60D45" w:rsidRPr="0085785D" w:rsidRDefault="0002223F" w:rsidP="00EF0707">
            <w:pPr>
              <w:spacing w:before="60" w:line="200" w:lineRule="exact"/>
              <w:jc w:val="right"/>
              <w:rPr>
                <w:sz w:val="16"/>
                <w:szCs w:val="16"/>
              </w:rPr>
            </w:pPr>
            <w:r w:rsidRPr="0085785D">
              <w:rPr>
                <w:sz w:val="16"/>
                <w:szCs w:val="16"/>
              </w:rPr>
              <w:t>105,3</w:t>
            </w:r>
          </w:p>
        </w:tc>
      </w:tr>
      <w:tr w:rsidR="00C60D45" w:rsidRPr="0085785D">
        <w:tc>
          <w:tcPr>
            <w:tcW w:w="1471" w:type="dxa"/>
          </w:tcPr>
          <w:p w:rsidR="00C60D45" w:rsidRPr="0085785D" w:rsidRDefault="0002223F" w:rsidP="00EF0707">
            <w:pPr>
              <w:spacing w:before="60" w:line="200" w:lineRule="exact"/>
              <w:rPr>
                <w:sz w:val="16"/>
                <w:szCs w:val="16"/>
              </w:rPr>
            </w:pPr>
            <w:r w:rsidRPr="0085785D">
              <w:rPr>
                <w:sz w:val="16"/>
                <w:szCs w:val="16"/>
              </w:rPr>
              <w:t>Lund</w:t>
            </w:r>
          </w:p>
        </w:tc>
        <w:tc>
          <w:tcPr>
            <w:tcW w:w="1682" w:type="dxa"/>
          </w:tcPr>
          <w:p w:rsidR="00C60D45" w:rsidRPr="0085785D" w:rsidRDefault="0002223F"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204</w:t>
            </w:r>
          </w:p>
        </w:tc>
        <w:tc>
          <w:tcPr>
            <w:tcW w:w="1496" w:type="dxa"/>
          </w:tcPr>
          <w:p w:rsidR="00C60D45" w:rsidRPr="0085785D" w:rsidRDefault="0002223F"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437</w:t>
            </w:r>
          </w:p>
        </w:tc>
        <w:tc>
          <w:tcPr>
            <w:tcW w:w="1520" w:type="dxa"/>
          </w:tcPr>
          <w:p w:rsidR="00C60D45" w:rsidRPr="0085785D" w:rsidRDefault="0002223F" w:rsidP="00EF0707">
            <w:pPr>
              <w:spacing w:before="60" w:line="200" w:lineRule="exact"/>
              <w:jc w:val="right"/>
              <w:rPr>
                <w:sz w:val="16"/>
                <w:szCs w:val="16"/>
              </w:rPr>
            </w:pPr>
            <w:r w:rsidRPr="0085785D">
              <w:rPr>
                <w:sz w:val="16"/>
                <w:szCs w:val="16"/>
              </w:rPr>
              <w:t>83,8</w:t>
            </w:r>
          </w:p>
        </w:tc>
      </w:tr>
      <w:tr w:rsidR="00C60D45" w:rsidRPr="0085785D">
        <w:tc>
          <w:tcPr>
            <w:tcW w:w="1471" w:type="dxa"/>
          </w:tcPr>
          <w:p w:rsidR="00C60D45" w:rsidRPr="0085785D" w:rsidRDefault="0002223F" w:rsidP="00EF0707">
            <w:pPr>
              <w:spacing w:before="60" w:line="200" w:lineRule="exact"/>
              <w:rPr>
                <w:sz w:val="16"/>
                <w:szCs w:val="16"/>
              </w:rPr>
            </w:pPr>
            <w:r w:rsidRPr="0085785D">
              <w:rPr>
                <w:sz w:val="16"/>
                <w:szCs w:val="16"/>
              </w:rPr>
              <w:t>Göteborg</w:t>
            </w:r>
          </w:p>
        </w:tc>
        <w:tc>
          <w:tcPr>
            <w:tcW w:w="1682" w:type="dxa"/>
          </w:tcPr>
          <w:p w:rsidR="00C60D45" w:rsidRPr="0085785D" w:rsidRDefault="0002223F" w:rsidP="00EF0707">
            <w:pPr>
              <w:spacing w:before="60" w:line="200" w:lineRule="exact"/>
              <w:jc w:val="right"/>
              <w:rPr>
                <w:sz w:val="16"/>
                <w:szCs w:val="16"/>
              </w:rPr>
            </w:pPr>
            <w:r w:rsidRPr="0085785D">
              <w:rPr>
                <w:sz w:val="16"/>
                <w:szCs w:val="16"/>
              </w:rPr>
              <w:t>981</w:t>
            </w:r>
          </w:p>
        </w:tc>
        <w:tc>
          <w:tcPr>
            <w:tcW w:w="1496" w:type="dxa"/>
          </w:tcPr>
          <w:p w:rsidR="00C60D45" w:rsidRPr="0085785D" w:rsidRDefault="0002223F"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415</w:t>
            </w:r>
          </w:p>
        </w:tc>
        <w:tc>
          <w:tcPr>
            <w:tcW w:w="1520" w:type="dxa"/>
          </w:tcPr>
          <w:p w:rsidR="00C60D45" w:rsidRPr="0085785D" w:rsidRDefault="0002223F" w:rsidP="00EF0707">
            <w:pPr>
              <w:spacing w:before="60" w:line="200" w:lineRule="exact"/>
              <w:jc w:val="right"/>
              <w:rPr>
                <w:sz w:val="16"/>
                <w:szCs w:val="16"/>
              </w:rPr>
            </w:pPr>
            <w:r w:rsidRPr="0085785D">
              <w:rPr>
                <w:sz w:val="16"/>
                <w:szCs w:val="16"/>
              </w:rPr>
              <w:t>69,3</w:t>
            </w:r>
          </w:p>
        </w:tc>
      </w:tr>
      <w:tr w:rsidR="00C60D45" w:rsidRPr="0085785D">
        <w:tc>
          <w:tcPr>
            <w:tcW w:w="1471" w:type="dxa"/>
          </w:tcPr>
          <w:p w:rsidR="00C60D45" w:rsidRPr="0085785D" w:rsidRDefault="0002223F" w:rsidP="00EF0707">
            <w:pPr>
              <w:spacing w:before="60" w:line="200" w:lineRule="exact"/>
              <w:rPr>
                <w:sz w:val="16"/>
                <w:szCs w:val="16"/>
              </w:rPr>
            </w:pPr>
            <w:r w:rsidRPr="0085785D">
              <w:rPr>
                <w:sz w:val="16"/>
                <w:szCs w:val="16"/>
              </w:rPr>
              <w:t>Umeå</w:t>
            </w:r>
          </w:p>
        </w:tc>
        <w:tc>
          <w:tcPr>
            <w:tcW w:w="1682" w:type="dxa"/>
          </w:tcPr>
          <w:p w:rsidR="00C60D45" w:rsidRPr="0085785D" w:rsidRDefault="0002223F" w:rsidP="00EF0707">
            <w:pPr>
              <w:spacing w:before="60" w:line="200" w:lineRule="exact"/>
              <w:jc w:val="right"/>
              <w:rPr>
                <w:sz w:val="16"/>
                <w:szCs w:val="16"/>
              </w:rPr>
            </w:pPr>
            <w:r w:rsidRPr="0085785D">
              <w:rPr>
                <w:sz w:val="16"/>
                <w:szCs w:val="16"/>
              </w:rPr>
              <w:t>687</w:t>
            </w:r>
          </w:p>
        </w:tc>
        <w:tc>
          <w:tcPr>
            <w:tcW w:w="1496" w:type="dxa"/>
          </w:tcPr>
          <w:p w:rsidR="00C60D45" w:rsidRPr="0085785D" w:rsidRDefault="0002223F"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003</w:t>
            </w:r>
          </w:p>
        </w:tc>
        <w:tc>
          <w:tcPr>
            <w:tcW w:w="1520" w:type="dxa"/>
          </w:tcPr>
          <w:p w:rsidR="00C60D45" w:rsidRPr="0085785D" w:rsidRDefault="0002223F" w:rsidP="00EF0707">
            <w:pPr>
              <w:spacing w:before="60" w:line="200" w:lineRule="exact"/>
              <w:jc w:val="right"/>
              <w:rPr>
                <w:sz w:val="16"/>
                <w:szCs w:val="16"/>
              </w:rPr>
            </w:pPr>
            <w:r w:rsidRPr="0085785D">
              <w:rPr>
                <w:sz w:val="16"/>
                <w:szCs w:val="16"/>
              </w:rPr>
              <w:t>68,5</w:t>
            </w:r>
          </w:p>
        </w:tc>
      </w:tr>
      <w:tr w:rsidR="00C60D45" w:rsidRPr="0085785D">
        <w:tc>
          <w:tcPr>
            <w:tcW w:w="1471" w:type="dxa"/>
            <w:tcBorders>
              <w:bottom w:val="single" w:sz="4" w:space="0" w:color="auto"/>
            </w:tcBorders>
          </w:tcPr>
          <w:p w:rsidR="00C60D45" w:rsidRPr="0085785D" w:rsidRDefault="0002223F" w:rsidP="00EF0707">
            <w:pPr>
              <w:spacing w:before="60" w:line="200" w:lineRule="exact"/>
              <w:rPr>
                <w:sz w:val="16"/>
                <w:szCs w:val="16"/>
              </w:rPr>
            </w:pPr>
            <w:r w:rsidRPr="0085785D">
              <w:rPr>
                <w:sz w:val="16"/>
                <w:szCs w:val="16"/>
              </w:rPr>
              <w:t>Linköping</w:t>
            </w:r>
          </w:p>
        </w:tc>
        <w:tc>
          <w:tcPr>
            <w:tcW w:w="1682" w:type="dxa"/>
            <w:tcBorders>
              <w:bottom w:val="single" w:sz="4" w:space="0" w:color="auto"/>
            </w:tcBorders>
          </w:tcPr>
          <w:p w:rsidR="00C60D45" w:rsidRPr="0085785D" w:rsidRDefault="0002223F" w:rsidP="00EF0707">
            <w:pPr>
              <w:spacing w:before="60" w:line="200" w:lineRule="exact"/>
              <w:jc w:val="right"/>
              <w:rPr>
                <w:sz w:val="16"/>
                <w:szCs w:val="16"/>
              </w:rPr>
            </w:pPr>
            <w:r w:rsidRPr="0085785D">
              <w:rPr>
                <w:sz w:val="16"/>
                <w:szCs w:val="16"/>
              </w:rPr>
              <w:t>478</w:t>
            </w:r>
          </w:p>
        </w:tc>
        <w:tc>
          <w:tcPr>
            <w:tcW w:w="1496" w:type="dxa"/>
            <w:tcBorders>
              <w:bottom w:val="single" w:sz="4" w:space="0" w:color="auto"/>
            </w:tcBorders>
          </w:tcPr>
          <w:p w:rsidR="00C60D45" w:rsidRPr="0085785D" w:rsidRDefault="0002223F" w:rsidP="00EF0707">
            <w:pPr>
              <w:spacing w:before="60" w:line="200" w:lineRule="exact"/>
              <w:jc w:val="right"/>
              <w:rPr>
                <w:sz w:val="16"/>
                <w:szCs w:val="16"/>
              </w:rPr>
            </w:pPr>
            <w:r w:rsidRPr="0085785D">
              <w:rPr>
                <w:sz w:val="16"/>
                <w:szCs w:val="16"/>
              </w:rPr>
              <w:t>1</w:t>
            </w:r>
            <w:r w:rsidR="00EF0707" w:rsidRPr="0085785D">
              <w:rPr>
                <w:sz w:val="16"/>
                <w:szCs w:val="16"/>
              </w:rPr>
              <w:t> </w:t>
            </w:r>
            <w:r w:rsidRPr="0085785D">
              <w:rPr>
                <w:sz w:val="16"/>
                <w:szCs w:val="16"/>
              </w:rPr>
              <w:t>099</w:t>
            </w:r>
          </w:p>
        </w:tc>
        <w:tc>
          <w:tcPr>
            <w:tcW w:w="1520" w:type="dxa"/>
            <w:tcBorders>
              <w:bottom w:val="single" w:sz="4" w:space="0" w:color="auto"/>
            </w:tcBorders>
          </w:tcPr>
          <w:p w:rsidR="00C60D45" w:rsidRPr="0085785D" w:rsidRDefault="0002223F" w:rsidP="00EF0707">
            <w:pPr>
              <w:spacing w:before="60" w:line="200" w:lineRule="exact"/>
              <w:jc w:val="right"/>
              <w:rPr>
                <w:sz w:val="16"/>
                <w:szCs w:val="16"/>
              </w:rPr>
            </w:pPr>
            <w:r w:rsidRPr="0085785D">
              <w:rPr>
                <w:sz w:val="16"/>
                <w:szCs w:val="16"/>
              </w:rPr>
              <w:t>43,5</w:t>
            </w:r>
          </w:p>
        </w:tc>
      </w:tr>
    </w:tbl>
    <w:p w:rsidR="00A421E3" w:rsidRPr="0085785D" w:rsidRDefault="00A421E3" w:rsidP="00A421E3">
      <w:r w:rsidRPr="0085785D">
        <w:lastRenderedPageBreak/>
        <w:t>Trots ideliga påstötningar har inte regeringen rättat till orättvisorna i faku</w:t>
      </w:r>
      <w:r w:rsidRPr="0085785D">
        <w:t>l</w:t>
      </w:r>
      <w:r w:rsidRPr="0085785D">
        <w:t>tetsanslagen, vilket är ett hot mot god kvalitet och lika konkurrensvillkor.</w:t>
      </w:r>
    </w:p>
    <w:p w:rsidR="00A421E3" w:rsidRPr="0085785D" w:rsidRDefault="00A421E3" w:rsidP="00920975">
      <w:pPr>
        <w:pStyle w:val="Normaltindrag"/>
      </w:pPr>
      <w:r w:rsidRPr="0085785D">
        <w:t xml:space="preserve">Ministern anger i ett svar på </w:t>
      </w:r>
      <w:r w:rsidR="00EF0707" w:rsidRPr="0085785D">
        <w:t xml:space="preserve">interpellation </w:t>
      </w:r>
      <w:r w:rsidRPr="0085785D">
        <w:t>2004/05:518 att för grundu</w:t>
      </w:r>
      <w:r w:rsidRPr="0085785D">
        <w:t>t</w:t>
      </w:r>
      <w:r w:rsidRPr="0085785D">
        <w:t>bildningen bygger tilldelningen av resurser till lärosätena på de resultat som lärosätena uppnår. Det finns således en direkt koppling mellan resurser och lärosätenas resultat i form av helårsstudenter och helårsprestationer inom olika utbildningsområden.</w:t>
      </w:r>
    </w:p>
    <w:p w:rsidR="00A421E3" w:rsidRPr="0085785D" w:rsidRDefault="00A421E3" w:rsidP="00920975">
      <w:pPr>
        <w:pStyle w:val="Normaltindrag"/>
      </w:pPr>
      <w:r w:rsidRPr="0085785D">
        <w:t>Resurstilldelningen till lärosätena för forskning och forskarutbildning utgår från en samlad bedömning av behov och förutsättningar. Vilka bedömning</w:t>
      </w:r>
      <w:r w:rsidRPr="0085785D">
        <w:t>s</w:t>
      </w:r>
      <w:r w:rsidRPr="0085785D">
        <w:t>kriterierna är får dock ingen veta.</w:t>
      </w:r>
    </w:p>
    <w:p w:rsidR="00A421E3" w:rsidRPr="0085785D" w:rsidRDefault="00A421E3" w:rsidP="00920975">
      <w:pPr>
        <w:pStyle w:val="Normaltindrag"/>
      </w:pPr>
      <w:r w:rsidRPr="0085785D">
        <w:t>I Sverige finns i dag fjorton universitet med staten som huvudman. Vissa av dessa universitet, t.ex. Linköpings univ</w:t>
      </w:r>
      <w:r w:rsidR="00920975" w:rsidRPr="0085785D">
        <w:t>ersitet, har i sin verksamhet</w:t>
      </w:r>
      <w:r w:rsidRPr="0085785D">
        <w:t xml:space="preserve"> tyng</w:t>
      </w:r>
      <w:r w:rsidRPr="0085785D">
        <w:t>d</w:t>
      </w:r>
      <w:r w:rsidRPr="0085785D">
        <w:t>punkt</w:t>
      </w:r>
      <w:r w:rsidR="00920975" w:rsidRPr="0085785D">
        <w:t>en</w:t>
      </w:r>
      <w:r w:rsidRPr="0085785D">
        <w:t xml:space="preserve"> inom utbildning, medan andra, t.e</w:t>
      </w:r>
      <w:r w:rsidR="00920975" w:rsidRPr="0085785D">
        <w:t xml:space="preserve">x. Karolinska </w:t>
      </w:r>
      <w:r w:rsidR="00EF0707" w:rsidRPr="0085785D">
        <w:t>Institutet</w:t>
      </w:r>
      <w:r w:rsidR="00920975" w:rsidRPr="0085785D">
        <w:t>, har</w:t>
      </w:r>
      <w:r w:rsidRPr="0085785D">
        <w:t xml:space="preserve"> tyng</w:t>
      </w:r>
      <w:r w:rsidRPr="0085785D">
        <w:t>d</w:t>
      </w:r>
      <w:r w:rsidRPr="0085785D">
        <w:t>punkt</w:t>
      </w:r>
      <w:r w:rsidR="00920975" w:rsidRPr="0085785D">
        <w:t>en</w:t>
      </w:r>
      <w:r w:rsidRPr="0085785D">
        <w:t xml:space="preserve"> inom forskning. Det finns också betydande skillnader avseende forskningens inriktning och volym. Några universitet har ett brett spektrum av forskning inom humaniora och samhällsvetenskap, medicin, naturvetenskap och teknik, medan andra har forskning som är koncentrerad till ett </w:t>
      </w:r>
      <w:r w:rsidR="00D24F05" w:rsidRPr="0085785D">
        <w:t xml:space="preserve">visst </w:t>
      </w:r>
      <w:r w:rsidRPr="0085785D">
        <w:t>o</w:t>
      </w:r>
      <w:r w:rsidRPr="0085785D">
        <w:t>m</w:t>
      </w:r>
      <w:r w:rsidRPr="0085785D">
        <w:t>råde – t.ex. medicin eller teknik. Omfattningen av lärosätets totala forskning</w:t>
      </w:r>
      <w:r w:rsidRPr="0085785D">
        <w:t>s</w:t>
      </w:r>
      <w:r w:rsidRPr="0085785D">
        <w:t>resurser beror både på forskningsanslagens storlek och på de externa fors</w:t>
      </w:r>
      <w:r w:rsidRPr="0085785D">
        <w:t>k</w:t>
      </w:r>
      <w:r w:rsidRPr="0085785D">
        <w:t>ningsresurserna. Storleken på de direkta statliga anslagen för forskning och forskarutbildning varierar från de yngsta universitetens nivå om drygt 160 miljoner kronor i medeltal, till drygt 1,2 miljarder kronor för de största äldre universiteten.</w:t>
      </w:r>
    </w:p>
    <w:p w:rsidR="00A421E3" w:rsidRPr="0085785D" w:rsidRDefault="00A421E3" w:rsidP="00920975">
      <w:pPr>
        <w:pStyle w:val="Normaltindrag"/>
      </w:pPr>
      <w:r w:rsidRPr="0085785D">
        <w:t>Lärosätenas skilda profiler avspeglar statsmakternas intentioner och olika uppdrag till dem. Det finns inte någon direkt koppling mellan resurserna för forskning och grundutbildning. Forskningsresurserna ska dimensioneras efter en forskningspolitisk bedömning och inte bestämmas efter hur stor andel av landets grundutbildning som ett visst lärosäte bedöms ha förutsättningar att ansvara för. Detta är märkligt menar vi eftersom grundutbildningen är fors</w:t>
      </w:r>
      <w:r w:rsidRPr="0085785D">
        <w:t>k</w:t>
      </w:r>
      <w:r w:rsidRPr="0085785D">
        <w:t xml:space="preserve">ningsförberedande och naturligtvis </w:t>
      </w:r>
      <w:r w:rsidR="00EF0707" w:rsidRPr="0085785D">
        <w:t xml:space="preserve">bör </w:t>
      </w:r>
      <w:r w:rsidRPr="0085785D">
        <w:t>återspeglas i resursfördelningen.</w:t>
      </w:r>
    </w:p>
    <w:p w:rsidR="00A421E3" w:rsidRPr="0085785D" w:rsidRDefault="00A421E3" w:rsidP="00920975">
      <w:pPr>
        <w:pStyle w:val="Normaltindrag"/>
      </w:pPr>
      <w:r w:rsidRPr="0085785D">
        <w:t>I stället för strävan efter att alla lärosäten ska vara lika stora med likartade verksamhetsinriktningar finns behov av ytterligare profilering inom högskol</w:t>
      </w:r>
      <w:r w:rsidRPr="0085785D">
        <w:t>e</w:t>
      </w:r>
      <w:r w:rsidRPr="0085785D">
        <w:t>systemet. På sikt kan utvecklingen leda till ett mer diversifierat system. Un</w:t>
      </w:r>
      <w:r w:rsidRPr="0085785D">
        <w:t>i</w:t>
      </w:r>
      <w:r w:rsidRPr="0085785D">
        <w:t>versitet och högskolor behöver samarbeta utifrån egna starka profiler med olika tyngdpunkt inom sina uppdrag att utbilda, forska och samverka med det omgivande samhället.</w:t>
      </w:r>
    </w:p>
    <w:p w:rsidR="00A421E3" w:rsidRPr="0085785D" w:rsidRDefault="00A421E3" w:rsidP="00920975">
      <w:pPr>
        <w:pStyle w:val="Normaltindrag"/>
      </w:pPr>
      <w:r w:rsidRPr="0085785D">
        <w:t>Det är mycket positivt att en stor utbyggnad av grundutbildningen har kunnat ske vid Linköpings universitet. Inom forskningen har universitetet kunnat hävda sig väl i konkurrensen om externa forskningsresurser. I rege</w:t>
      </w:r>
      <w:r w:rsidRPr="0085785D">
        <w:t>r</w:t>
      </w:r>
      <w:r w:rsidRPr="0085785D">
        <w:t>ingens forskningspolitiska proposition (prop. 2004/05:80) som nyligen pr</w:t>
      </w:r>
      <w:r w:rsidRPr="0085785D">
        <w:t>e</w:t>
      </w:r>
      <w:r w:rsidRPr="0085785D">
        <w:t>senterats föreslås en ökning av forskningsresurserna till Linköpings univers</w:t>
      </w:r>
      <w:r w:rsidRPr="0085785D">
        <w:t>i</w:t>
      </w:r>
      <w:r w:rsidRPr="0085785D">
        <w:t>tet med drygt 34 miljoner kronor, vilket är en väsentligt större ökning än vad andra jämförbara universitet får. Trots denna resursförstärkning är Linköpings universitet inte i närheten av de förutsättningar som andra jämförbara unive</w:t>
      </w:r>
      <w:r w:rsidRPr="0085785D">
        <w:t>r</w:t>
      </w:r>
      <w:r w:rsidRPr="0085785D">
        <w:t>sitet har.</w:t>
      </w:r>
    </w:p>
    <w:p w:rsidR="00A421E3" w:rsidRPr="0085785D" w:rsidRDefault="00A421E3" w:rsidP="00920975">
      <w:pPr>
        <w:pStyle w:val="Normaltindrag"/>
      </w:pPr>
      <w:r w:rsidRPr="0085785D">
        <w:t xml:space="preserve">Inget universitet i landet med jämförbar storlek har så lite fakultetsmedel som Linköpings </w:t>
      </w:r>
      <w:r w:rsidR="00EF0707" w:rsidRPr="0085785D">
        <w:t>universitet</w:t>
      </w:r>
      <w:r w:rsidRPr="0085785D">
        <w:t>. Skulle samma principer för anslag gälla för Li</w:t>
      </w:r>
      <w:r w:rsidRPr="0085785D">
        <w:t>n</w:t>
      </w:r>
      <w:r w:rsidRPr="0085785D">
        <w:t xml:space="preserve">köpings </w:t>
      </w:r>
      <w:r w:rsidR="00EF0707" w:rsidRPr="0085785D">
        <w:t xml:space="preserve">universitet </w:t>
      </w:r>
      <w:r w:rsidRPr="0085785D">
        <w:t>som t</w:t>
      </w:r>
      <w:r w:rsidR="00EF0707" w:rsidRPr="0085785D">
        <w:t>.</w:t>
      </w:r>
      <w:r w:rsidRPr="0085785D">
        <w:t>ex</w:t>
      </w:r>
      <w:r w:rsidR="00EF0707" w:rsidRPr="0085785D">
        <w:t>.</w:t>
      </w:r>
      <w:r w:rsidRPr="0085785D">
        <w:t xml:space="preserve"> för Stockholms </w:t>
      </w:r>
      <w:r w:rsidR="00EF0707" w:rsidRPr="0085785D">
        <w:t xml:space="preserve">universitet </w:t>
      </w:r>
      <w:r w:rsidRPr="0085785D">
        <w:t xml:space="preserve">skulle Linköpings </w:t>
      </w:r>
      <w:r w:rsidR="00EF0707" w:rsidRPr="0085785D">
        <w:t xml:space="preserve">universitet </w:t>
      </w:r>
      <w:r w:rsidRPr="0085785D">
        <w:t>få ytterligare dryga 700 miljoner kronor</w:t>
      </w:r>
      <w:r w:rsidR="00EF0707" w:rsidRPr="0085785D">
        <w:t>,</w:t>
      </w:r>
      <w:r w:rsidRPr="0085785D">
        <w:t xml:space="preserve"> </w:t>
      </w:r>
      <w:r w:rsidR="00EF0707" w:rsidRPr="0085785D">
        <w:t xml:space="preserve">detta </w:t>
      </w:r>
      <w:r w:rsidRPr="0085785D">
        <w:t xml:space="preserve">enligt universitetets egna beräkningar. Regeringens beräkningar av hur </w:t>
      </w:r>
      <w:r w:rsidR="00EF0707" w:rsidRPr="0085785D">
        <w:t xml:space="preserve">stort </w:t>
      </w:r>
      <w:r w:rsidRPr="0085785D">
        <w:t>fakultetsanslag r</w:t>
      </w:r>
      <w:r w:rsidRPr="0085785D">
        <w:t>e</w:t>
      </w:r>
      <w:r w:rsidRPr="0085785D">
        <w:t>spek</w:t>
      </w:r>
      <w:r w:rsidR="0033598A" w:rsidRPr="0085785D">
        <w:softHyphen/>
      </w:r>
      <w:r w:rsidRPr="0085785D">
        <w:t xml:space="preserve">tive lärosäte ska erhålla är inte kända. Detta är oanständigt. Universiteten måste kunna beräkna hur </w:t>
      </w:r>
      <w:r w:rsidR="00EF0707" w:rsidRPr="0085785D">
        <w:t xml:space="preserve">stort </w:t>
      </w:r>
      <w:r w:rsidRPr="0085785D">
        <w:t>anslag som ska erhållas och utifrån vilka b</w:t>
      </w:r>
      <w:r w:rsidRPr="0085785D">
        <w:t>e</w:t>
      </w:r>
      <w:r w:rsidRPr="0085785D">
        <w:t xml:space="preserve">räkningsgrunder fakultetsanslagen ges. Riksdagen bör </w:t>
      </w:r>
      <w:r w:rsidR="00EF0707" w:rsidRPr="0085785D">
        <w:t xml:space="preserve">begära att </w:t>
      </w:r>
      <w:r w:rsidRPr="0085785D">
        <w:t>regeringen redovisa</w:t>
      </w:r>
      <w:r w:rsidR="00EF0707" w:rsidRPr="0085785D">
        <w:t>r</w:t>
      </w:r>
      <w:r w:rsidRPr="0085785D">
        <w:t xml:space="preserve"> beräkningsgrunderna för fakultetsanslag.</w:t>
      </w:r>
    </w:p>
    <w:p w:rsidR="00A421E3" w:rsidRPr="0085785D" w:rsidRDefault="00A421E3" w:rsidP="00920975">
      <w:pPr>
        <w:pStyle w:val="Normaltindrag"/>
      </w:pPr>
      <w:r w:rsidRPr="0085785D">
        <w:t xml:space="preserve">Linköping har tack vare mycket framgångsrik forskning lyckats dra till sig externa medel och kan därmed uppehålla god kvalitet. Men detta är ingen långsiktig lösning. </w:t>
      </w:r>
      <w:r w:rsidR="0035514C" w:rsidRPr="0085785D">
        <w:t xml:space="preserve">Det förefaller vara av största vikt att resurstilldelningen till </w:t>
      </w:r>
      <w:r w:rsidRPr="0085785D">
        <w:t xml:space="preserve">Linköpings </w:t>
      </w:r>
      <w:r w:rsidR="00EF0707" w:rsidRPr="0085785D">
        <w:t xml:space="preserve">universitet </w:t>
      </w:r>
      <w:r w:rsidR="00EE56DD" w:rsidRPr="0085785D">
        <w:t>inte avviker för mycket från</w:t>
      </w:r>
      <w:r w:rsidRPr="0085785D">
        <w:t xml:space="preserve"> anslag</w:t>
      </w:r>
      <w:r w:rsidR="00EE56DD" w:rsidRPr="0085785D">
        <w:t>en</w:t>
      </w:r>
      <w:r w:rsidRPr="0085785D">
        <w:t xml:space="preserve"> </w:t>
      </w:r>
      <w:r w:rsidR="00EE56DD" w:rsidRPr="0085785D">
        <w:t>till</w:t>
      </w:r>
      <w:r w:rsidRPr="0085785D">
        <w:t xml:space="preserve"> </w:t>
      </w:r>
      <w:r w:rsidR="00EE56DD" w:rsidRPr="0085785D">
        <w:t xml:space="preserve">övriga </w:t>
      </w:r>
      <w:r w:rsidRPr="0085785D">
        <w:t>un</w:t>
      </w:r>
      <w:r w:rsidRPr="0085785D">
        <w:t>i</w:t>
      </w:r>
      <w:r w:rsidRPr="0085785D">
        <w:t>versitet i landet. Våra professorer ska inte behöva använda stora delar av sin tid för att söka efter pengar</w:t>
      </w:r>
      <w:r w:rsidR="00EF0707" w:rsidRPr="0085785D">
        <w:t>;</w:t>
      </w:r>
      <w:r w:rsidRPr="0085785D">
        <w:t xml:space="preserve"> de ska forska.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0707" w:rsidRPr="0085785D">
        <w:tblPrEx>
          <w:tblCellMar>
            <w:top w:w="0" w:type="dxa"/>
            <w:bottom w:w="0" w:type="dxa"/>
          </w:tblCellMar>
        </w:tblPrEx>
        <w:trPr>
          <w:cantSplit/>
        </w:trPr>
        <w:tc>
          <w:tcPr>
            <w:tcW w:w="3046" w:type="dxa"/>
          </w:tcPr>
          <w:p w:rsidR="00EF0707" w:rsidRPr="0085785D" w:rsidRDefault="00EF0707" w:rsidP="00EF0707">
            <w:pPr>
              <w:pStyle w:val="UnderskriftDatum"/>
              <w:spacing w:before="240"/>
            </w:pPr>
            <w:r w:rsidRPr="0085785D">
              <w:t>Stockholm den 28 september 2005</w:t>
            </w:r>
          </w:p>
        </w:tc>
        <w:tc>
          <w:tcPr>
            <w:tcW w:w="3047" w:type="dxa"/>
          </w:tcPr>
          <w:p w:rsidR="00EF0707" w:rsidRPr="0085785D" w:rsidRDefault="00EF0707" w:rsidP="00EF0707">
            <w:pPr>
              <w:pStyle w:val="Underskrifter"/>
              <w:spacing w:before="240"/>
            </w:pPr>
          </w:p>
        </w:tc>
      </w:tr>
      <w:tr w:rsidR="00EF0707" w:rsidRPr="0085785D">
        <w:tblPrEx>
          <w:tblCellMar>
            <w:top w:w="0" w:type="dxa"/>
            <w:bottom w:w="0" w:type="dxa"/>
          </w:tblCellMar>
        </w:tblPrEx>
        <w:trPr>
          <w:cantSplit/>
        </w:trPr>
        <w:tc>
          <w:tcPr>
            <w:tcW w:w="3046" w:type="dxa"/>
          </w:tcPr>
          <w:p w:rsidR="00EF0707" w:rsidRPr="0085785D" w:rsidRDefault="00EF0707" w:rsidP="00EF0707">
            <w:pPr>
              <w:pStyle w:val="Underskrifter"/>
            </w:pPr>
            <w:r w:rsidRPr="0085785D">
              <w:t>Yvonne Andersson (kd)</w:t>
            </w:r>
          </w:p>
        </w:tc>
        <w:tc>
          <w:tcPr>
            <w:tcW w:w="3047" w:type="dxa"/>
          </w:tcPr>
          <w:p w:rsidR="00EF0707" w:rsidRPr="0085785D" w:rsidRDefault="00EF0707" w:rsidP="00EF0707">
            <w:pPr>
              <w:pStyle w:val="Underskrifter"/>
            </w:pPr>
          </w:p>
        </w:tc>
      </w:tr>
      <w:tr w:rsidR="00EF0707" w:rsidRPr="0085785D">
        <w:tblPrEx>
          <w:tblCellMar>
            <w:top w:w="0" w:type="dxa"/>
            <w:bottom w:w="0" w:type="dxa"/>
          </w:tblCellMar>
        </w:tblPrEx>
        <w:trPr>
          <w:cantSplit/>
        </w:trPr>
        <w:tc>
          <w:tcPr>
            <w:tcW w:w="3046" w:type="dxa"/>
          </w:tcPr>
          <w:p w:rsidR="00EF0707" w:rsidRPr="0085785D" w:rsidRDefault="00EF0707" w:rsidP="00EF0707">
            <w:pPr>
              <w:pStyle w:val="Underskrifter"/>
            </w:pPr>
            <w:r w:rsidRPr="0085785D">
              <w:t>Sven Brus (kd)</w:t>
            </w:r>
          </w:p>
        </w:tc>
        <w:tc>
          <w:tcPr>
            <w:tcW w:w="3047" w:type="dxa"/>
          </w:tcPr>
          <w:p w:rsidR="00EF0707" w:rsidRPr="0085785D" w:rsidRDefault="00EF0707" w:rsidP="00EF0707">
            <w:pPr>
              <w:pStyle w:val="Underskrifter"/>
            </w:pPr>
            <w:r w:rsidRPr="0085785D">
              <w:t>Gunnar Axén (m)</w:t>
            </w:r>
          </w:p>
        </w:tc>
      </w:tr>
      <w:tr w:rsidR="00EF0707" w:rsidRPr="0085785D">
        <w:tblPrEx>
          <w:tblCellMar>
            <w:top w:w="0" w:type="dxa"/>
            <w:bottom w:w="0" w:type="dxa"/>
          </w:tblCellMar>
        </w:tblPrEx>
        <w:trPr>
          <w:cantSplit/>
        </w:trPr>
        <w:tc>
          <w:tcPr>
            <w:tcW w:w="3046" w:type="dxa"/>
          </w:tcPr>
          <w:p w:rsidR="00EF0707" w:rsidRPr="0085785D" w:rsidRDefault="00EF0707" w:rsidP="00EF0707">
            <w:pPr>
              <w:pStyle w:val="Underskrifter"/>
            </w:pPr>
            <w:r w:rsidRPr="0085785D">
              <w:t>Stefan Hagfeldt (m)</w:t>
            </w:r>
          </w:p>
        </w:tc>
        <w:tc>
          <w:tcPr>
            <w:tcW w:w="3047" w:type="dxa"/>
          </w:tcPr>
          <w:p w:rsidR="00EF0707" w:rsidRPr="0085785D" w:rsidRDefault="00EF0707" w:rsidP="00EF0707">
            <w:pPr>
              <w:pStyle w:val="Underskrifter"/>
            </w:pPr>
            <w:r w:rsidRPr="0085785D">
              <w:t>Anna Lindgren (m)</w:t>
            </w:r>
          </w:p>
        </w:tc>
      </w:tr>
      <w:tr w:rsidR="00EF0707" w:rsidRPr="0085785D">
        <w:tblPrEx>
          <w:tblCellMar>
            <w:top w:w="0" w:type="dxa"/>
            <w:bottom w:w="0" w:type="dxa"/>
          </w:tblCellMar>
        </w:tblPrEx>
        <w:trPr>
          <w:cantSplit/>
        </w:trPr>
        <w:tc>
          <w:tcPr>
            <w:tcW w:w="3046" w:type="dxa"/>
          </w:tcPr>
          <w:p w:rsidR="00EF0707" w:rsidRPr="0085785D" w:rsidRDefault="00EF0707" w:rsidP="00EF0707">
            <w:pPr>
              <w:pStyle w:val="Underskrifter"/>
            </w:pPr>
            <w:r w:rsidRPr="0085785D">
              <w:t>Linnéa Darell (fp)</w:t>
            </w:r>
          </w:p>
        </w:tc>
        <w:tc>
          <w:tcPr>
            <w:tcW w:w="3047" w:type="dxa"/>
          </w:tcPr>
          <w:p w:rsidR="00EF0707" w:rsidRPr="0085785D" w:rsidRDefault="00EF0707" w:rsidP="00EF0707">
            <w:pPr>
              <w:pStyle w:val="Underskrifter"/>
            </w:pPr>
            <w:r w:rsidRPr="0085785D">
              <w:t>Karin Granbom (fp)</w:t>
            </w:r>
          </w:p>
        </w:tc>
      </w:tr>
      <w:tr w:rsidR="00EF0707" w:rsidRPr="0085785D">
        <w:tblPrEx>
          <w:tblCellMar>
            <w:top w:w="0" w:type="dxa"/>
            <w:bottom w:w="0" w:type="dxa"/>
          </w:tblCellMar>
        </w:tblPrEx>
        <w:trPr>
          <w:cantSplit/>
        </w:trPr>
        <w:tc>
          <w:tcPr>
            <w:tcW w:w="3046" w:type="dxa"/>
          </w:tcPr>
          <w:p w:rsidR="00EF0707" w:rsidRPr="0085785D" w:rsidRDefault="00EF0707" w:rsidP="00EF0707">
            <w:pPr>
              <w:pStyle w:val="Underskrifter"/>
            </w:pPr>
            <w:r w:rsidRPr="0085785D">
              <w:t>Staffan Danielsson (c)</w:t>
            </w:r>
          </w:p>
        </w:tc>
        <w:tc>
          <w:tcPr>
            <w:tcW w:w="3047" w:type="dxa"/>
          </w:tcPr>
          <w:p w:rsidR="00EF0707" w:rsidRPr="0085785D" w:rsidRDefault="00EF0707" w:rsidP="00EF0707">
            <w:pPr>
              <w:pStyle w:val="Underskrifter"/>
            </w:pPr>
          </w:p>
        </w:tc>
      </w:tr>
    </w:tbl>
    <w:p w:rsidR="0002223F" w:rsidRPr="0085785D" w:rsidRDefault="0002223F" w:rsidP="00EF0707">
      <w:pPr>
        <w:pStyle w:val="Normaltindrag"/>
      </w:pPr>
    </w:p>
    <w:sectPr w:rsidR="0002223F" w:rsidRPr="0085785D" w:rsidSect="00EF07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89F" w:rsidRPr="0085785D" w:rsidRDefault="009F389F">
      <w:r w:rsidRPr="0085785D">
        <w:separator/>
      </w:r>
    </w:p>
  </w:endnote>
  <w:endnote w:type="continuationSeparator" w:id="0">
    <w:p w:rsidR="009F389F" w:rsidRPr="0085785D" w:rsidRDefault="009F389F">
      <w:r w:rsidRPr="00857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0F3" w:rsidRPr="0085785D" w:rsidRDefault="0085785D" w:rsidP="00EF0707">
    <w:pPr>
      <w:pStyle w:val="Sidfot"/>
    </w:pPr>
    <w:r w:rsidRPr="00857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32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707" w:rsidRDefault="00EF0707">
                          <w:pPr>
                            <w:pStyle w:val="NormalS5sidnrV"/>
                          </w:pPr>
                          <w:r>
                            <w:fldChar w:fldCharType="begin"/>
                          </w:r>
                          <w:r>
                            <w:instrText xml:space="preserve"> PAGE *\charformat</w:instrText>
                          </w:r>
                          <w:r>
                            <w:fldChar w:fldCharType="separate"/>
                          </w:r>
                          <w:r w:rsidR="003359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707" w:rsidRDefault="00EF0707">
                    <w:pPr>
                      <w:pStyle w:val="NormalS5sidnrV"/>
                    </w:pPr>
                    <w:r>
                      <w:fldChar w:fldCharType="begin"/>
                    </w:r>
                    <w:r>
                      <w:instrText xml:space="preserve"> PAGE *\charformat</w:instrText>
                    </w:r>
                    <w:r>
                      <w:fldChar w:fldCharType="separate"/>
                    </w:r>
                    <w:r w:rsidR="003359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604" w:rsidRPr="0085785D" w:rsidRDefault="0085785D" w:rsidP="00EF0707">
    <w:pPr>
      <w:pStyle w:val="Sidfot"/>
    </w:pPr>
    <w:r w:rsidRPr="00857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083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707" w:rsidRDefault="00EF0707">
                          <w:pPr>
                            <w:pStyle w:val="NormalS5sidnrH"/>
                            <w:ind w:right="0"/>
                          </w:pPr>
                          <w:r>
                            <w:fldChar w:fldCharType="begin"/>
                          </w:r>
                          <w:r>
                            <w:instrText xml:space="preserve"> PAGE *\charformat</w:instrText>
                          </w:r>
                          <w:r>
                            <w:fldChar w:fldCharType="separate"/>
                          </w:r>
                          <w:r w:rsidR="003359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707" w:rsidRDefault="00EF0707">
                    <w:pPr>
                      <w:pStyle w:val="NormalS5sidnrH"/>
                      <w:ind w:right="0"/>
                    </w:pPr>
                    <w:r>
                      <w:fldChar w:fldCharType="begin"/>
                    </w:r>
                    <w:r>
                      <w:instrText xml:space="preserve"> PAGE *\charformat</w:instrText>
                    </w:r>
                    <w:r>
                      <w:fldChar w:fldCharType="separate"/>
                    </w:r>
                    <w:r w:rsidR="003359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604" w:rsidRPr="0085785D" w:rsidRDefault="0085785D" w:rsidP="00EF0707">
    <w:pPr>
      <w:pStyle w:val="Sidfot"/>
    </w:pPr>
    <w:r w:rsidRPr="00857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127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707" w:rsidRDefault="00EF0707">
                          <w:pPr>
                            <w:pStyle w:val="NormalS5sidnrH"/>
                            <w:ind w:right="0"/>
                          </w:pPr>
                          <w:r>
                            <w:fldChar w:fldCharType="begin"/>
                          </w:r>
                          <w:r>
                            <w:instrText xml:space="preserve"> PAGE *\charformat</w:instrText>
                          </w:r>
                          <w:r>
                            <w:fldChar w:fldCharType="separate"/>
                          </w:r>
                          <w:r w:rsidR="003359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707" w:rsidRDefault="00EF0707">
                    <w:pPr>
                      <w:pStyle w:val="NormalS5sidnrH"/>
                      <w:ind w:right="0"/>
                    </w:pPr>
                    <w:r>
                      <w:fldChar w:fldCharType="begin"/>
                    </w:r>
                    <w:r>
                      <w:instrText xml:space="preserve"> PAGE *\charformat</w:instrText>
                    </w:r>
                    <w:r>
                      <w:fldChar w:fldCharType="separate"/>
                    </w:r>
                    <w:r w:rsidR="003359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89F" w:rsidRPr="0085785D" w:rsidRDefault="009F389F">
      <w:r w:rsidRPr="0085785D">
        <w:separator/>
      </w:r>
    </w:p>
  </w:footnote>
  <w:footnote w:type="continuationSeparator" w:id="0">
    <w:p w:rsidR="009F389F" w:rsidRPr="0085785D" w:rsidRDefault="009F389F">
      <w:r w:rsidRPr="00857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0F3" w:rsidRPr="0085785D" w:rsidRDefault="0085785D" w:rsidP="00EF0707">
    <w:pPr>
      <w:pStyle w:val="Sidhuvud"/>
    </w:pPr>
    <w:r w:rsidRPr="00857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163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707" w:rsidRDefault="00EF0707">
                          <w:pPr>
                            <w:pStyle w:val="KantRubrikS5V"/>
                          </w:pPr>
                          <w:r>
                            <w:fldChar w:fldCharType="begin"/>
                          </w:r>
                          <w:r>
                            <w:instrText xml:space="preserve"> DOCPROPERTY "YearUser" *\charformat </w:instrText>
                          </w:r>
                          <w:r>
                            <w:fldChar w:fldCharType="separate"/>
                          </w:r>
                          <w:r w:rsidR="0033598A">
                            <w:t>2005/06</w:t>
                          </w:r>
                          <w:r>
                            <w:fldChar w:fldCharType="end"/>
                          </w:r>
                          <w:r>
                            <w:t>:</w:t>
                          </w:r>
                          <w:r>
                            <w:fldChar w:fldCharType="begin"/>
                          </w:r>
                          <w:r>
                            <w:instrText xml:space="preserve"> DOCPROPERTY "Motionsnummer" *\charformat </w:instrText>
                          </w:r>
                          <w:r>
                            <w:fldChar w:fldCharType="separate"/>
                          </w:r>
                          <w:r w:rsidR="0033598A">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707" w:rsidRDefault="00EF0707">
                    <w:pPr>
                      <w:pStyle w:val="KantRubrikS5V"/>
                    </w:pPr>
                    <w:r>
                      <w:fldChar w:fldCharType="begin"/>
                    </w:r>
                    <w:r>
                      <w:instrText xml:space="preserve"> DOCPROPERTY "YearUser" *\charformat </w:instrText>
                    </w:r>
                    <w:r>
                      <w:fldChar w:fldCharType="separate"/>
                    </w:r>
                    <w:r w:rsidR="0033598A">
                      <w:t>2005/06</w:t>
                    </w:r>
                    <w:r>
                      <w:fldChar w:fldCharType="end"/>
                    </w:r>
                    <w:r>
                      <w:t>:</w:t>
                    </w:r>
                    <w:r>
                      <w:fldChar w:fldCharType="begin"/>
                    </w:r>
                    <w:r>
                      <w:instrText xml:space="preserve"> DOCPROPERTY "Motionsnummer" *\charformat </w:instrText>
                    </w:r>
                    <w:r>
                      <w:fldChar w:fldCharType="separate"/>
                    </w:r>
                    <w:r w:rsidR="0033598A">
                      <w:t>Ub498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604" w:rsidRPr="0085785D" w:rsidRDefault="0085785D" w:rsidP="00EF0707">
    <w:pPr>
      <w:pStyle w:val="Sidhuvud"/>
    </w:pPr>
    <w:r w:rsidRPr="00857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535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707" w:rsidRDefault="00EF0707">
                          <w:pPr>
                            <w:pStyle w:val="KantRubrikS5H"/>
                            <w:ind w:right="0"/>
                          </w:pPr>
                          <w:r>
                            <w:fldChar w:fldCharType="begin"/>
                          </w:r>
                          <w:r>
                            <w:instrText xml:space="preserve"> DOCPROPERTY "YearUser" *\charformat </w:instrText>
                          </w:r>
                          <w:r>
                            <w:fldChar w:fldCharType="separate"/>
                          </w:r>
                          <w:r w:rsidR="0033598A">
                            <w:t>2005/06</w:t>
                          </w:r>
                          <w:r>
                            <w:fldChar w:fldCharType="end"/>
                          </w:r>
                          <w:r>
                            <w:t>:</w:t>
                          </w:r>
                          <w:r>
                            <w:fldChar w:fldCharType="begin"/>
                          </w:r>
                          <w:r>
                            <w:instrText xml:space="preserve"> DOCPROPERTY "Motionsnummer" *\charformat </w:instrText>
                          </w:r>
                          <w:r>
                            <w:fldChar w:fldCharType="separate"/>
                          </w:r>
                          <w:r w:rsidR="0033598A">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707" w:rsidRDefault="00EF0707">
                    <w:pPr>
                      <w:pStyle w:val="KantRubrikS5H"/>
                      <w:ind w:right="0"/>
                    </w:pPr>
                    <w:r>
                      <w:fldChar w:fldCharType="begin"/>
                    </w:r>
                    <w:r>
                      <w:instrText xml:space="preserve"> DOCPROPERTY "YearUser" *\charformat </w:instrText>
                    </w:r>
                    <w:r>
                      <w:fldChar w:fldCharType="separate"/>
                    </w:r>
                    <w:r w:rsidR="0033598A">
                      <w:t>2005/06</w:t>
                    </w:r>
                    <w:r>
                      <w:fldChar w:fldCharType="end"/>
                    </w:r>
                    <w:r>
                      <w:t>:</w:t>
                    </w:r>
                    <w:r>
                      <w:fldChar w:fldCharType="begin"/>
                    </w:r>
                    <w:r>
                      <w:instrText xml:space="preserve"> DOCPROPERTY "Motionsnummer" *\charformat </w:instrText>
                    </w:r>
                    <w:r>
                      <w:fldChar w:fldCharType="separate"/>
                    </w:r>
                    <w:r w:rsidR="0033598A">
                      <w:t>Ub498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707" w:rsidRPr="0085785D" w:rsidRDefault="00EF0707">
    <w:pPr>
      <w:pStyle w:val="FSHNormal"/>
      <w:tabs>
        <w:tab w:val="right" w:pos="5840"/>
      </w:tabs>
    </w:pPr>
    <w:r w:rsidRPr="0085785D">
      <w:br/>
    </w:r>
    <w:r w:rsidRPr="0085785D">
      <w:fldChar w:fldCharType="begin" w:fldLock="1"/>
    </w:r>
    <w:r w:rsidRPr="0085785D">
      <w:instrText xml:space="preserve"> DOCPROPERTY</w:instrText>
    </w:r>
    <w:r w:rsidRPr="0085785D">
      <w:rPr>
        <w:sz w:val="18"/>
      </w:rPr>
      <w:instrText xml:space="preserve"> "YearUser" *\charformat </w:instrText>
    </w:r>
    <w:r w:rsidRPr="0085785D">
      <w:fldChar w:fldCharType="separate"/>
    </w:r>
    <w:r w:rsidR="0033598A" w:rsidRPr="0085785D">
      <w:t>2005/06</w:t>
    </w:r>
    <w:r w:rsidRPr="0085785D">
      <w:fldChar w:fldCharType="end"/>
    </w:r>
    <w:r w:rsidRPr="0085785D">
      <w:t xml:space="preserve"> </w:t>
    </w:r>
    <w:r w:rsidRPr="0085785D">
      <w:tab/>
      <w:t xml:space="preserve">mnr: </w:t>
    </w:r>
    <w:r w:rsidRPr="0085785D">
      <w:fldChar w:fldCharType="begin" w:fldLock="1"/>
    </w:r>
    <w:r w:rsidRPr="0085785D">
      <w:instrText xml:space="preserve"> DOCPROPERTY</w:instrText>
    </w:r>
    <w:r w:rsidRPr="0085785D">
      <w:rPr>
        <w:sz w:val="18"/>
      </w:rPr>
      <w:instrText xml:space="preserve"> "Motionsnummer" *\charformat </w:instrText>
    </w:r>
    <w:r w:rsidRPr="0085785D">
      <w:fldChar w:fldCharType="separate"/>
    </w:r>
    <w:r w:rsidR="0033598A" w:rsidRPr="0085785D">
      <w:t>Ub498</w:t>
    </w:r>
    <w:r w:rsidRPr="0085785D">
      <w:fldChar w:fldCharType="end"/>
    </w:r>
    <w:r w:rsidRPr="0085785D">
      <w:br/>
    </w:r>
    <w:r w:rsidRPr="0085785D">
      <w:fldChar w:fldCharType="begin" w:fldLock="1"/>
    </w:r>
    <w:r w:rsidRPr="0085785D">
      <w:instrText xml:space="preserve"> DOCPROPERTY</w:instrText>
    </w:r>
    <w:r w:rsidRPr="0085785D">
      <w:rPr>
        <w:sz w:val="18"/>
      </w:rPr>
      <w:instrText xml:space="preserve"> "Samling" *\charformat </w:instrText>
    </w:r>
    <w:r w:rsidRPr="0085785D">
      <w:fldChar w:fldCharType="end"/>
    </w:r>
    <w:r w:rsidRPr="0085785D">
      <w:tab/>
      <w:t xml:space="preserve">pnr: </w:t>
    </w:r>
    <w:r w:rsidRPr="0085785D">
      <w:fldChar w:fldCharType="begin" w:fldLock="1"/>
    </w:r>
    <w:r w:rsidRPr="0085785D">
      <w:instrText xml:space="preserve"> DOCPROPERTY</w:instrText>
    </w:r>
    <w:r w:rsidRPr="0085785D">
      <w:rPr>
        <w:sz w:val="18"/>
      </w:rPr>
      <w:instrText xml:space="preserve"> "Partinummer" *\charformat </w:instrText>
    </w:r>
    <w:r w:rsidRPr="0085785D">
      <w:fldChar w:fldCharType="separate"/>
    </w:r>
    <w:r w:rsidR="0033598A" w:rsidRPr="0085785D">
      <w:t>kd592</w:t>
    </w:r>
    <w:r w:rsidRPr="0085785D">
      <w:fldChar w:fldCharType="end"/>
    </w:r>
  </w:p>
  <w:p w:rsidR="00EF0707" w:rsidRPr="0085785D" w:rsidRDefault="00EF0707">
    <w:pPr>
      <w:pStyle w:val="FSHRub1"/>
    </w:pPr>
    <w:r w:rsidRPr="0085785D">
      <w:t>Motion till riksdagen</w:t>
    </w:r>
    <w:r w:rsidRPr="0085785D">
      <w:br/>
    </w:r>
    <w:r w:rsidRPr="0085785D">
      <w:fldChar w:fldCharType="begin" w:fldLock="1"/>
    </w:r>
    <w:r w:rsidRPr="0085785D">
      <w:instrText xml:space="preserve"> DOCPROPERTY "YearUser" *\charformat </w:instrText>
    </w:r>
    <w:r w:rsidRPr="0085785D">
      <w:fldChar w:fldCharType="separate"/>
    </w:r>
    <w:r w:rsidR="0033598A" w:rsidRPr="0085785D">
      <w:t>2005/06</w:t>
    </w:r>
    <w:r w:rsidRPr="0085785D">
      <w:fldChar w:fldCharType="end"/>
    </w:r>
    <w:r w:rsidRPr="0085785D">
      <w:t>:</w:t>
    </w:r>
    <w:r w:rsidRPr="0085785D">
      <w:fldChar w:fldCharType="begin" w:fldLock="1"/>
    </w:r>
    <w:r w:rsidRPr="0085785D">
      <w:instrText xml:space="preserve"> DOCPROPERTY "Motionsnummer" *\charformat </w:instrText>
    </w:r>
    <w:r w:rsidRPr="0085785D">
      <w:fldChar w:fldCharType="separate"/>
    </w:r>
    <w:r w:rsidR="0033598A" w:rsidRPr="0085785D">
      <w:t>Ub498</w:t>
    </w:r>
    <w:r w:rsidRPr="0085785D">
      <w:fldChar w:fldCharType="end"/>
    </w:r>
  </w:p>
  <w:p w:rsidR="00EF0707" w:rsidRPr="0085785D" w:rsidRDefault="00EF0707">
    <w:pPr>
      <w:pStyle w:val="FSHNormalS5"/>
    </w:pPr>
    <w:r w:rsidRPr="0085785D">
      <w:fldChar w:fldCharType="begin" w:fldLock="1"/>
    </w:r>
    <w:r w:rsidRPr="0085785D">
      <w:instrText xml:space="preserve"> DOCPROPERTY "MotionarText" *\charformat </w:instrText>
    </w:r>
    <w:r w:rsidRPr="0085785D">
      <w:fldChar w:fldCharType="separate"/>
    </w:r>
    <w:r w:rsidR="0033598A" w:rsidRPr="0085785D">
      <w:t>av Yvonne Andersson m.fl. (kd, m, fp, c)</w:t>
    </w:r>
    <w:r w:rsidRPr="0085785D">
      <w:fldChar w:fldCharType="end"/>
    </w:r>
    <w:r w:rsidRPr="0085785D">
      <w:br/>
    </w:r>
    <w:r w:rsidRPr="0085785D">
      <w:fldChar w:fldCharType="begin" w:fldLock="1"/>
    </w:r>
    <w:r w:rsidRPr="0085785D">
      <w:instrText xml:space="preserve"> DOCPROPERTY "SvarFrasKort" *\charformat </w:instrText>
    </w:r>
    <w:r w:rsidRPr="0085785D">
      <w:fldChar w:fldCharType="end"/>
    </w:r>
  </w:p>
  <w:p w:rsidR="00EF0707" w:rsidRPr="0085785D" w:rsidRDefault="00EF0707">
    <w:pPr>
      <w:pStyle w:val="FSHTitel"/>
    </w:pPr>
    <w:r w:rsidRPr="0085785D">
      <w:fldChar w:fldCharType="begin" w:fldLock="1"/>
    </w:r>
    <w:r w:rsidRPr="0085785D">
      <w:instrText xml:space="preserve"> DOCPROPERTY</w:instrText>
    </w:r>
    <w:r w:rsidRPr="0085785D">
      <w:rPr>
        <w:sz w:val="18"/>
      </w:rPr>
      <w:instrText xml:space="preserve"> "RubrikSvar" *\charformat </w:instrText>
    </w:r>
    <w:r w:rsidRPr="0085785D">
      <w:fldChar w:fldCharType="separate"/>
    </w:r>
    <w:r w:rsidR="0033598A" w:rsidRPr="0085785D">
      <w:t>Ökat fakultetsanslag till Linköpings universitet</w:t>
    </w:r>
    <w:r w:rsidRPr="0085785D">
      <w:fldChar w:fldCharType="end"/>
    </w:r>
  </w:p>
  <w:p w:rsidR="00EF0707" w:rsidRPr="0085785D" w:rsidRDefault="00EF0707" w:rsidP="00EF07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866CEAA"/>
    <w:lvl w:ilvl="0" w:tplc="9DC400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4494737">
    <w:abstractNumId w:val="13"/>
  </w:num>
  <w:num w:numId="2" w16cid:durableId="2146969563">
    <w:abstractNumId w:val="10"/>
  </w:num>
  <w:num w:numId="3" w16cid:durableId="633604029">
    <w:abstractNumId w:val="11"/>
  </w:num>
  <w:num w:numId="4" w16cid:durableId="247273570">
    <w:abstractNumId w:val="12"/>
  </w:num>
  <w:num w:numId="5" w16cid:durableId="556208814">
    <w:abstractNumId w:val="8"/>
  </w:num>
  <w:num w:numId="6" w16cid:durableId="1098984751">
    <w:abstractNumId w:val="3"/>
  </w:num>
  <w:num w:numId="7" w16cid:durableId="600603835">
    <w:abstractNumId w:val="2"/>
  </w:num>
  <w:num w:numId="8" w16cid:durableId="1471168126">
    <w:abstractNumId w:val="1"/>
  </w:num>
  <w:num w:numId="9" w16cid:durableId="826020630">
    <w:abstractNumId w:val="0"/>
  </w:num>
  <w:num w:numId="10" w16cid:durableId="1407261270">
    <w:abstractNumId w:val="9"/>
  </w:num>
  <w:num w:numId="11" w16cid:durableId="2132631935">
    <w:abstractNumId w:val="7"/>
  </w:num>
  <w:num w:numId="12" w16cid:durableId="393816522">
    <w:abstractNumId w:val="6"/>
  </w:num>
  <w:num w:numId="13" w16cid:durableId="1841307131">
    <w:abstractNumId w:val="5"/>
  </w:num>
  <w:num w:numId="14" w16cid:durableId="172984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C60D45"/>
    <w:rsid w:val="0002223F"/>
    <w:rsid w:val="00064BC3"/>
    <w:rsid w:val="00066775"/>
    <w:rsid w:val="00072FB9"/>
    <w:rsid w:val="00100531"/>
    <w:rsid w:val="00201DFB"/>
    <w:rsid w:val="00204A63"/>
    <w:rsid w:val="00212FF1"/>
    <w:rsid w:val="002240F7"/>
    <w:rsid w:val="00230193"/>
    <w:rsid w:val="0025068A"/>
    <w:rsid w:val="002553CD"/>
    <w:rsid w:val="002818D3"/>
    <w:rsid w:val="002D11A8"/>
    <w:rsid w:val="0033598A"/>
    <w:rsid w:val="0035514C"/>
    <w:rsid w:val="00401CA1"/>
    <w:rsid w:val="00445271"/>
    <w:rsid w:val="004A0504"/>
    <w:rsid w:val="004E38D9"/>
    <w:rsid w:val="006C313C"/>
    <w:rsid w:val="00740D6D"/>
    <w:rsid w:val="00770ED8"/>
    <w:rsid w:val="00794149"/>
    <w:rsid w:val="007B67A7"/>
    <w:rsid w:val="007C6092"/>
    <w:rsid w:val="0085785D"/>
    <w:rsid w:val="00920975"/>
    <w:rsid w:val="009F389F"/>
    <w:rsid w:val="00A053C6"/>
    <w:rsid w:val="00A421E3"/>
    <w:rsid w:val="00B13BF0"/>
    <w:rsid w:val="00C0095D"/>
    <w:rsid w:val="00C1285C"/>
    <w:rsid w:val="00C27B7D"/>
    <w:rsid w:val="00C60D45"/>
    <w:rsid w:val="00CA52BF"/>
    <w:rsid w:val="00D1174F"/>
    <w:rsid w:val="00D24F05"/>
    <w:rsid w:val="00DC6C70"/>
    <w:rsid w:val="00E22893"/>
    <w:rsid w:val="00E360DE"/>
    <w:rsid w:val="00E75D28"/>
    <w:rsid w:val="00E84F25"/>
    <w:rsid w:val="00EE56DD"/>
    <w:rsid w:val="00EF0707"/>
    <w:rsid w:val="00EF10F3"/>
    <w:rsid w:val="00EF4322"/>
    <w:rsid w:val="00FF76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E4654F-5B20-470C-A8AB-66A5AEFF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0707"/>
    <w:pPr>
      <w:spacing w:after="250"/>
    </w:pPr>
  </w:style>
  <w:style w:type="paragraph" w:customStyle="1" w:styleId="Hemstlatt">
    <w:name w:val="Hemstl_att"/>
    <w:aliases w:val="HemstPunkt,HemstPunktFlera,HemställansPunkt,Förslagstext"/>
    <w:basedOn w:val="Normal"/>
    <w:next w:val="Normal"/>
    <w:rsid w:val="006C31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818</Words>
  <Characters>5172</Characters>
  <Application>Microsoft Office Word</Application>
  <DocSecurity>4</DocSecurity>
  <Lines>123</Lines>
  <Paragraphs>56</Paragraphs>
  <ScaleCrop>false</ScaleCrop>
  <HeadingPairs>
    <vt:vector size="2" baseType="variant">
      <vt:variant>
        <vt:lpstr>Rubrik</vt:lpstr>
      </vt:variant>
      <vt:variant>
        <vt:i4>1</vt:i4>
      </vt:variant>
    </vt:vector>
  </HeadingPairs>
  <TitlesOfParts>
    <vt:vector size="1" baseType="lpstr">
      <vt:lpstr>Ub498</vt:lpstr>
    </vt:vector>
  </TitlesOfParts>
  <Company>Riksdagen</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Ub498</dc:title>
  <dc:subject>Ub498</dc:subject>
  <dc:creator>Riksdagen</dc:creator>
  <cp:keywords>Riksdagen</cp:keywords>
  <dc:description/>
  <cp:lastModifiedBy>Lars Brink</cp:lastModifiedBy>
  <cp:revision>2</cp:revision>
  <cp:lastPrinted>2005-12-30T12:34:00Z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Ökat fakultetsanslag till Linköpings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fakultetsanslag till Linköpings universitet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Yvonne Andersson m.fl. (kd, m, fp, c)</vt:lpwstr>
  </property>
  <property fmtid="{D5CDD505-2E9C-101B-9397-08002B2CF9AE}" pid="26" name="MotionarLista">
    <vt:lpwstr>Andersson, Yvonne (kd)\Brus, Sven (kd)\Axén, Gunnar (m)\Hagfeldt, Stefan (m)\Lindgren, Anna (m)\Darell, Linnéa (fp)\Granbom, Karin (fp)\Danielsson,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 Gunnar Axén (m), Stefan Hagfeldt (m), Anna Lindgren (m), Linnéa Darell (fp), Karin Granbom (fp),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li.silfverberg@riksdagen.se</vt:lpwstr>
  </property>
  <property fmtid="{D5CDD505-2E9C-101B-9397-08002B2CF9AE}" pid="45" name="ReservUID">
    <vt:lpwstr>anna sund</vt:lpwstr>
  </property>
  <property fmtid="{D5CDD505-2E9C-101B-9397-08002B2CF9AE}" pid="46" name="MotionID">
    <vt:lpwstr>20052006000001070100000005920070</vt:lpwstr>
  </property>
  <property fmtid="{D5CDD505-2E9C-101B-9397-08002B2CF9AE}" pid="47" name="datum">
    <vt:lpwstr>050928</vt:lpwstr>
  </property>
  <property fmtid="{D5CDD505-2E9C-101B-9397-08002B2CF9AE}" pid="48" name="avsändar-e-post">
    <vt:lpwstr>li.silfverberg@riksdagen.se</vt:lpwstr>
  </property>
  <property fmtid="{D5CDD505-2E9C-101B-9397-08002B2CF9AE}" pid="49" name="id">
    <vt:lpwstr>20052006000001070100000005920070</vt:lpwstr>
  </property>
  <property fmtid="{D5CDD505-2E9C-101B-9397-08002B2CF9AE}" pid="50" name="nummer">
    <vt:lpwstr>498</vt:lpwstr>
  </property>
  <property fmtid="{D5CDD505-2E9C-101B-9397-08002B2CF9AE}" pid="51" name="utskottsbeteckning">
    <vt:lpwstr>Ub</vt:lpwstr>
  </property>
</Properties>
</file>