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049" w:rsidRPr="00886D21" w:rsidRDefault="006A0049">
      <w:pPr>
        <w:pStyle w:val="Frslagsrubrik"/>
      </w:pPr>
      <w:r w:rsidRPr="00886D21">
        <w:t>Förslag till riksdagsbeslut</w:t>
      </w:r>
    </w:p>
    <w:p w:rsidR="006A0049" w:rsidRPr="00886D21" w:rsidRDefault="006A0049">
      <w:pPr>
        <w:pStyle w:val="Hemstlatt"/>
        <w:numPr>
          <w:ilvl w:val="0"/>
          <w:numId w:val="1"/>
        </w:numPr>
      </w:pPr>
      <w:r w:rsidRPr="00886D21">
        <w:t>Riksdagen tillkännager för regeringen som sin mening vad som anförs i motionen om att staten ska ges möjlighet att påverka markanvändningen i anslutning till anläggningar, befäs</w:t>
      </w:r>
      <w:r w:rsidRPr="00886D21">
        <w:t>t</w:t>
      </w:r>
      <w:r w:rsidRPr="00886D21">
        <w:t>ningsanläggningar, övnings- och skjutfält, flygplatser, ammunition</w:t>
      </w:r>
      <w:r w:rsidRPr="00886D21">
        <w:t>s</w:t>
      </w:r>
      <w:r w:rsidRPr="00886D21">
        <w:t>förråd, radiostationer, radio- och teleanläggningar etc.</w:t>
      </w:r>
    </w:p>
    <w:p w:rsidR="006A0049" w:rsidRPr="00886D21" w:rsidRDefault="006A0049">
      <w:pPr>
        <w:pStyle w:val="Hemstlatt"/>
        <w:numPr>
          <w:ilvl w:val="0"/>
          <w:numId w:val="1"/>
        </w:numPr>
      </w:pPr>
      <w:r w:rsidRPr="00886D21">
        <w:t>Riksdagen tillkännager för regeringen som sin mening vad som anförs i motionen om behovet av en lagändring i fråga om öve</w:t>
      </w:r>
      <w:r w:rsidRPr="00886D21">
        <w:t>r</w:t>
      </w:r>
      <w:r w:rsidRPr="00886D21">
        <w:t>sändning av ansökningshandlingar om vindkraftverk till Försvar</w:t>
      </w:r>
      <w:r w:rsidRPr="00886D21">
        <w:t>s</w:t>
      </w:r>
      <w:r w:rsidRPr="00886D21">
        <w:t>makten.</w:t>
      </w:r>
      <w:r w:rsidRPr="00886D21">
        <w:rPr>
          <w:rStyle w:val="Fotnotsreferens"/>
        </w:rPr>
        <w:t>1</w:t>
      </w:r>
    </w:p>
    <w:p w:rsidR="006A0049" w:rsidRPr="00886D21" w:rsidRDefault="006A0049">
      <w:pPr>
        <w:pStyle w:val="Hemstlatt"/>
        <w:numPr>
          <w:ilvl w:val="0"/>
          <w:numId w:val="1"/>
        </w:numPr>
      </w:pPr>
      <w:r w:rsidRPr="00886D21">
        <w:t>Riksdagen tillkännager för regeringen som sin mening vad som anförs i motionen om att regeringen bör återkomma till riksd</w:t>
      </w:r>
      <w:r w:rsidRPr="00886D21">
        <w:t>a</w:t>
      </w:r>
      <w:r w:rsidRPr="00886D21">
        <w:t>gen med ett förslag som skärper kraven för att mark- och vatteno</w:t>
      </w:r>
      <w:r w:rsidRPr="00886D21">
        <w:t>m</w:t>
      </w:r>
      <w:r w:rsidRPr="00886D21">
        <w:t>råden ska få anses vara av avsevärd betydelse för Försvarsma</w:t>
      </w:r>
      <w:r w:rsidRPr="00886D21">
        <w:t>k</w:t>
      </w:r>
      <w:r w:rsidRPr="00886D21">
        <w:t>ten.</w:t>
      </w: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pPr>
        <w:pStyle w:val="Yrkandehnv"/>
        <w:spacing w:before="190"/>
        <w:rPr>
          <w:noProof w:val="0"/>
          <w:sz w:val="19"/>
        </w:rPr>
      </w:pPr>
    </w:p>
    <w:p w:rsidR="006A0049" w:rsidRPr="00886D21" w:rsidRDefault="006A0049">
      <w:r w:rsidRPr="00886D21">
        <w:rPr>
          <w:rStyle w:val="Fotnotsreferens"/>
        </w:rPr>
        <w:t>1</w:t>
      </w:r>
      <w:r w:rsidRPr="00886D21">
        <w:t xml:space="preserve"> Yrkande 2 hänvisat till MJU.</w:t>
      </w:r>
    </w:p>
    <w:p w:rsidR="006A0049" w:rsidRPr="00886D21" w:rsidRDefault="006A0049">
      <w:pPr>
        <w:pStyle w:val="Rubrik1"/>
      </w:pPr>
      <w:r w:rsidRPr="00886D21">
        <w:br w:type="page"/>
      </w:r>
      <w:r w:rsidRPr="00886D21">
        <w:lastRenderedPageBreak/>
        <w:t>Motivering</w:t>
      </w:r>
    </w:p>
    <w:p w:rsidR="006A0049" w:rsidRPr="00886D21" w:rsidRDefault="006A0049">
      <w:r w:rsidRPr="00886D21">
        <w:t>Regler som rör Försvarsmaktens riksintresse finns i 3 kap. 9 § MB samt i plan- och bygglagstiftningen.</w:t>
      </w:r>
    </w:p>
    <w:p w:rsidR="006A0049" w:rsidRPr="00886D21" w:rsidRDefault="006A0049">
      <w:pPr>
        <w:pStyle w:val="Normaltindrag"/>
        <w:rPr>
          <w:b/>
        </w:rPr>
      </w:pPr>
      <w:r w:rsidRPr="00886D21">
        <w:t>Försvarsmakten har framfört att ungefär 10 procent av Sveriges yta berörs av deras riksintresse och därmed inte kan användas bland annat för vindkraft.</w:t>
      </w:r>
    </w:p>
    <w:p w:rsidR="006A0049" w:rsidRPr="00886D21" w:rsidRDefault="006A0049">
      <w:pPr>
        <w:pStyle w:val="Normaltindrag"/>
      </w:pPr>
      <w:r w:rsidRPr="00886D21">
        <w:t>Enligt 3 kap. 9 § miljöbalken följer att mark- och vattenområden som har betydelse för totalförsvaret så långt möjligt skall skyddas mot åtgärder som påtagligt kan motverka totalförsvarets intressen. Områden som är av riksi</w:t>
      </w:r>
      <w:r w:rsidRPr="00886D21">
        <w:t>n</w:t>
      </w:r>
      <w:r w:rsidRPr="00886D21">
        <w:t>tresse på grund av att de behövs för totalförsvarets anläggningar skall skyddas mot åtgärder som påtagligt kan försvåra tillkomsten eller utnyttjandet av a</w:t>
      </w:r>
      <w:r w:rsidRPr="00886D21">
        <w:t>n</w:t>
      </w:r>
      <w:r w:rsidRPr="00886D21">
        <w:t>läggningarna.</w:t>
      </w:r>
    </w:p>
    <w:p w:rsidR="006A0049" w:rsidRPr="00886D21" w:rsidRDefault="006A0049">
      <w:pPr>
        <w:pStyle w:val="Normaltindrag"/>
      </w:pPr>
      <w:r w:rsidRPr="00886D21">
        <w:t>Av förarbetena till detta lagrum (regeringens proposition 1997/98:45 Mi</w:t>
      </w:r>
      <w:r w:rsidRPr="00886D21">
        <w:t>l</w:t>
      </w:r>
      <w:r w:rsidRPr="00886D21">
        <w:t>jöbalk, Författningskommentar och bilaga 1, Del 2, s. 672) framgår att b</w:t>
      </w:r>
      <w:r w:rsidRPr="00886D21">
        <w:t>e</w:t>
      </w:r>
      <w:r w:rsidRPr="00886D21">
        <w:t xml:space="preserve">stämmelsens motiv finns i proposition 1985/86:3, s. </w:t>
      </w:r>
      <w:smartTag w:uri="urn:schemas-microsoft-com:office:smarttags" w:element="metricconverter">
        <w:smartTagPr>
          <w:attr w:name="ProductID" w:val="73 f"/>
        </w:smartTagPr>
        <w:r w:rsidRPr="00886D21">
          <w:t>73 f</w:t>
        </w:r>
      </w:smartTag>
      <w:r w:rsidRPr="00886D21">
        <w:t xml:space="preserve">. och s. </w:t>
      </w:r>
      <w:smartTag w:uri="urn:schemas-microsoft-com:office:smarttags" w:element="metricconverter">
        <w:smartTagPr>
          <w:attr w:name="ProductID" w:val="168 f"/>
        </w:smartTagPr>
        <w:r w:rsidRPr="00886D21">
          <w:t>168 f</w:t>
        </w:r>
      </w:smartTag>
      <w:r w:rsidRPr="00886D21">
        <w:t>.</w:t>
      </w:r>
    </w:p>
    <w:p w:rsidR="006A0049" w:rsidRPr="00886D21" w:rsidRDefault="006A0049">
      <w:pPr>
        <w:pStyle w:val="Normaltindrag"/>
      </w:pPr>
      <w:r w:rsidRPr="00886D21">
        <w:t>Av proposition 1985/86:3 framgår bland annat följande. Totalförsvarets behov av mark- och vattenområden utgår från intressen som är gemensamma för hela landet. Anläggningar som är av särskild betydelse i detta samma</w:t>
      </w:r>
      <w:r w:rsidRPr="00886D21">
        <w:t>n</w:t>
      </w:r>
      <w:r w:rsidRPr="00886D21">
        <w:t>hang är befästnings</w:t>
      </w:r>
      <w:r w:rsidRPr="00886D21">
        <w:softHyphen/>
        <w:t>anläggningar, övnings- och skjutfält, flygplatser, ammun</w:t>
      </w:r>
      <w:r w:rsidRPr="00886D21">
        <w:t>i</w:t>
      </w:r>
      <w:r w:rsidRPr="00886D21">
        <w:t>tionsförråd, radarstationer, radio- och teleanläggningar, etc.</w:t>
      </w:r>
    </w:p>
    <w:p w:rsidR="006A0049" w:rsidRPr="00886D21" w:rsidRDefault="006A0049">
      <w:pPr>
        <w:pStyle w:val="Normaltindrag"/>
      </w:pPr>
      <w:r w:rsidRPr="00886D21">
        <w:t>Det är uppenbart att anspråk som ställs från totalförsvaret i och för sig al</w:t>
      </w:r>
      <w:r w:rsidRPr="00886D21">
        <w:t>l</w:t>
      </w:r>
      <w:r w:rsidRPr="00886D21">
        <w:t>tid kan sägas beröra nationella intressen, eftersom försvaret är en nationell angelägenhet. Staten bör därför ha möjlighet att påverka markanvändningen i anslutning till anläggningar med mera för totalförsvaret.</w:t>
      </w:r>
    </w:p>
    <w:p w:rsidR="006A0049" w:rsidRPr="00886D21" w:rsidRDefault="006A0049">
      <w:pPr>
        <w:pStyle w:val="Normaltindrag"/>
      </w:pPr>
      <w:r w:rsidRPr="00886D21">
        <w:t>Enligt 22 kap. 4 § miljöbalken, som rör förfarandet vid miljödomstolar i ansökningsmål, ska ett exemplar av ansökningshandlingarna och av kungöre</w:t>
      </w:r>
      <w:r w:rsidRPr="00886D21">
        <w:t>l</w:t>
      </w:r>
      <w:r w:rsidRPr="00886D21">
        <w:t>sen sändas till Naturvårdsverket, Kammarkollegiet, Myndigheten för sa</w:t>
      </w:r>
      <w:r w:rsidRPr="00886D21">
        <w:t>m</w:t>
      </w:r>
      <w:r w:rsidRPr="00886D21">
        <w:t>hällsskydd och beredskap, Fiskeriverket, länsstyrelsen och den eller de berö</w:t>
      </w:r>
      <w:r w:rsidRPr="00886D21">
        <w:t>r</w:t>
      </w:r>
      <w:r w:rsidRPr="00886D21">
        <w:t>da kommunala nämnder som fullgör uppgifter inom miljö- och hälsoskydd</w:t>
      </w:r>
      <w:r w:rsidRPr="00886D21">
        <w:t>s</w:t>
      </w:r>
      <w:r w:rsidRPr="00886D21">
        <w:t>området. Lagändringar skulle kunna göras så att det föreskrivs att ansö</w:t>
      </w:r>
      <w:r w:rsidRPr="00886D21">
        <w:t>k</w:t>
      </w:r>
      <w:r w:rsidRPr="00886D21">
        <w:t>ningshandlingarna och kungörelsen ska sändas till Försvarsmakten när det gäller ansökningar om vindkraftverk.</w:t>
      </w:r>
    </w:p>
    <w:p w:rsidR="006A0049" w:rsidRPr="00886D21" w:rsidRDefault="006A0049">
      <w:pPr>
        <w:pStyle w:val="Normaltindrag"/>
      </w:pPr>
      <w:r w:rsidRPr="00886D21">
        <w:t>Därigenom skulle Försvarsmakten beredas tillfälle att delta i processen från början och kunna överklaga enligt g</w:t>
      </w:r>
      <w:r w:rsidRPr="00886D21">
        <w:t>ivna fullföljdshänvisningar.</w:t>
      </w:r>
    </w:p>
    <w:p w:rsidR="006A0049" w:rsidRPr="00886D21" w:rsidRDefault="006A0049">
      <w:pPr>
        <w:pStyle w:val="Normaltindrag"/>
      </w:pPr>
      <w:r w:rsidRPr="00886D21">
        <w:t>Enligt Försvarsmaktens beslut den 4 oktober 2010 riskerar vindkraftverk att på flera sätt påverka riksintresset för totalförsvaret negativt. Detta torde kunna tolkas att gälla vindkraftverk som avses placeras någorlunda nära de militära flygplatser som tidigare av Försvarsmakten utpekats som riksintre</w:t>
      </w:r>
      <w:r w:rsidRPr="00886D21">
        <w:t>s</w:t>
      </w:r>
      <w:r w:rsidRPr="00886D21">
        <w:t>sen. Försvarsmakten redovisar i bilaga 2 till sitt beslut de så kallade stoppo</w:t>
      </w:r>
      <w:r w:rsidRPr="00886D21">
        <w:t>m</w:t>
      </w:r>
      <w:r w:rsidRPr="00886D21">
        <w:t>rådena kring de tio militära flygplatserna. Det ligger nära till hands att tolka detta som att dessa stoppområden nu av Försvarsmakten anses vara av riksi</w:t>
      </w:r>
      <w:r w:rsidRPr="00886D21">
        <w:t>n</w:t>
      </w:r>
      <w:r w:rsidRPr="00886D21">
        <w:t>tresse för totalförsvaret. Åtminstone förefaller det sannolikt att Försvarsma</w:t>
      </w:r>
      <w:r w:rsidRPr="00886D21">
        <w:t>k</w:t>
      </w:r>
      <w:r w:rsidRPr="00886D21">
        <w:t>ten inom en nära framtid kommer att utpeka dessa stoppområden som riksi</w:t>
      </w:r>
      <w:r w:rsidRPr="00886D21">
        <w:t>n</w:t>
      </w:r>
      <w:r w:rsidRPr="00886D21">
        <w:t>tressen.</w:t>
      </w:r>
    </w:p>
    <w:p w:rsidR="006A0049" w:rsidRPr="00886D21" w:rsidRDefault="006A0049">
      <w:pPr>
        <w:pStyle w:val="Normaltindrag"/>
      </w:pPr>
      <w:r w:rsidRPr="00886D21">
        <w:t>Att så mycket som 10 procent av Sveriges yta hävdas vara av riksintresse för försvaret väcker frågan om en tillräcklig</w:t>
      </w:r>
      <w:r w:rsidRPr="00886D21">
        <w:t xml:space="preserve"> noggrann, nyanserad och precis</w:t>
      </w:r>
      <w:r w:rsidRPr="00886D21">
        <w:t>e</w:t>
      </w:r>
      <w:r w:rsidRPr="00886D21">
        <w:t>rad bedömning har gjorts? Det handlar om för stora ytor för att det nu ska vara godtagbart med en slentrianmässig uppskattning där man för säkerhets skull drygar ut med god marginal. Med nya och ökande anspråk på använ</w:t>
      </w:r>
      <w:r w:rsidRPr="00886D21">
        <w:t>d</w:t>
      </w:r>
      <w:r w:rsidRPr="00886D21">
        <w:t>ning av markområden ter det sig som motiverat med en mer preciserad och snävare syn på vad som i dessa sammanhang kan anses ligga i begreppet ”rikets säkerhet”.</w:t>
      </w:r>
    </w:p>
    <w:p w:rsidR="006A0049" w:rsidRPr="00886D21" w:rsidRDefault="006A0049">
      <w:pPr>
        <w:pStyle w:val="Normaltindrag"/>
      </w:pPr>
      <w:r w:rsidRPr="00886D21">
        <w:t>Miljöpartiet de gröna anser att kraven på mark- och vattenområden ska klassas som av avsevärd betyde</w:t>
      </w:r>
      <w:r w:rsidRPr="00886D21">
        <w:t>lse för totalförsvaret ska skärpas. Varje sådant område måste motiveras på ett tydligare sätt för att i fortsättningen kunna kla</w:t>
      </w:r>
      <w:r w:rsidRPr="00886D21">
        <w:t>s</w:t>
      </w:r>
      <w:r w:rsidRPr="00886D21">
        <w:t>sificeras som riksintresse.</w:t>
      </w:r>
    </w:p>
    <w:p w:rsidR="006A0049" w:rsidRPr="00886D21" w:rsidRDefault="006A0049">
      <w:pPr>
        <w:pStyle w:val="Normaltindrag"/>
      </w:pPr>
      <w:r w:rsidRPr="00886D21">
        <w:t>När två riksintressen står mot varandra kan det inte vara rimligt att Fö</w:t>
      </w:r>
      <w:r w:rsidRPr="00886D21">
        <w:t>r</w:t>
      </w:r>
      <w:r w:rsidRPr="00886D21">
        <w:t>svarsmakten ska ha tolkningsföreträde för vilket riksintresse som ska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D21">
        <w:trPr>
          <w:cantSplit/>
        </w:trPr>
        <w:tc>
          <w:tcPr>
            <w:tcW w:w="3046" w:type="dxa"/>
          </w:tcPr>
          <w:p w:rsidR="006A0049" w:rsidRPr="00886D21" w:rsidRDefault="006A0049">
            <w:pPr>
              <w:pStyle w:val="UnderskriftDatum"/>
              <w:spacing w:before="240"/>
            </w:pPr>
            <w:r w:rsidRPr="00886D21">
              <w:t>Stockholm den 2 oktober 2011</w:t>
            </w:r>
          </w:p>
        </w:tc>
        <w:tc>
          <w:tcPr>
            <w:tcW w:w="3047" w:type="dxa"/>
          </w:tcPr>
          <w:p w:rsidR="006A0049" w:rsidRPr="00886D21" w:rsidRDefault="006A0049">
            <w:pPr>
              <w:pStyle w:val="Underskrifter"/>
              <w:spacing w:before="240"/>
            </w:pPr>
          </w:p>
        </w:tc>
      </w:tr>
      <w:tr w:rsidR="00000000" w:rsidRPr="00886D21">
        <w:trPr>
          <w:cantSplit/>
        </w:trPr>
        <w:tc>
          <w:tcPr>
            <w:tcW w:w="3046" w:type="dxa"/>
          </w:tcPr>
          <w:p w:rsidR="006A0049" w:rsidRPr="00886D21" w:rsidRDefault="006A0049">
            <w:pPr>
              <w:pStyle w:val="Underskrifter"/>
            </w:pPr>
            <w:r w:rsidRPr="00886D21">
              <w:t>Peter Rådberg (MP)</w:t>
            </w:r>
          </w:p>
        </w:tc>
        <w:tc>
          <w:tcPr>
            <w:tcW w:w="3046" w:type="dxa"/>
          </w:tcPr>
          <w:p w:rsidR="006A0049" w:rsidRPr="00886D21" w:rsidRDefault="006A0049">
            <w:pPr>
              <w:pStyle w:val="Underskrifter"/>
            </w:pPr>
          </w:p>
        </w:tc>
      </w:tr>
      <w:tr w:rsidR="00000000" w:rsidRPr="00886D21">
        <w:trPr>
          <w:cantSplit/>
        </w:trPr>
        <w:tc>
          <w:tcPr>
            <w:tcW w:w="3046" w:type="dxa"/>
          </w:tcPr>
          <w:p w:rsidR="006A0049" w:rsidRPr="00886D21" w:rsidRDefault="006A0049">
            <w:pPr>
              <w:pStyle w:val="Underskrifter"/>
            </w:pPr>
            <w:r w:rsidRPr="00886D21">
              <w:t>Annika Lillemets (MP)</w:t>
            </w:r>
          </w:p>
        </w:tc>
        <w:tc>
          <w:tcPr>
            <w:tcW w:w="3046" w:type="dxa"/>
          </w:tcPr>
          <w:p w:rsidR="006A0049" w:rsidRPr="00886D21" w:rsidRDefault="006A0049">
            <w:pPr>
              <w:pStyle w:val="Underskrifter"/>
            </w:pPr>
            <w:r w:rsidRPr="00886D21">
              <w:t>Bodil Ceballos (MP)</w:t>
            </w:r>
          </w:p>
        </w:tc>
      </w:tr>
      <w:tr w:rsidR="00000000" w:rsidRPr="00886D21">
        <w:trPr>
          <w:cantSplit/>
        </w:trPr>
        <w:tc>
          <w:tcPr>
            <w:tcW w:w="3046" w:type="dxa"/>
          </w:tcPr>
          <w:p w:rsidR="006A0049" w:rsidRPr="00886D21" w:rsidRDefault="006A0049">
            <w:pPr>
              <w:pStyle w:val="Underskrifter"/>
            </w:pPr>
            <w:r w:rsidRPr="00886D21">
              <w:t>Stina Bergström (MP)</w:t>
            </w:r>
          </w:p>
        </w:tc>
        <w:tc>
          <w:tcPr>
            <w:tcW w:w="3046" w:type="dxa"/>
          </w:tcPr>
          <w:p w:rsidR="006A0049" w:rsidRPr="00886D21" w:rsidRDefault="006A0049">
            <w:pPr>
              <w:pStyle w:val="Underskrifter"/>
            </w:pPr>
            <w:r w:rsidRPr="00886D21">
              <w:t>Jan Lindholm (MP)</w:t>
            </w:r>
          </w:p>
        </w:tc>
      </w:tr>
      <w:tr w:rsidR="00000000" w:rsidRPr="00886D21">
        <w:trPr>
          <w:cantSplit/>
        </w:trPr>
        <w:tc>
          <w:tcPr>
            <w:tcW w:w="3046" w:type="dxa"/>
          </w:tcPr>
          <w:p w:rsidR="006A0049" w:rsidRPr="00886D21" w:rsidRDefault="006A0049">
            <w:pPr>
              <w:pStyle w:val="Underskrifter"/>
            </w:pPr>
            <w:r w:rsidRPr="00886D21">
              <w:t>Lise Nordin (MP)</w:t>
            </w:r>
          </w:p>
        </w:tc>
        <w:tc>
          <w:tcPr>
            <w:tcW w:w="3046" w:type="dxa"/>
          </w:tcPr>
          <w:p w:rsidR="006A0049" w:rsidRPr="00886D21" w:rsidRDefault="006A0049">
            <w:pPr>
              <w:pStyle w:val="Underskrifter"/>
            </w:pPr>
            <w:r w:rsidRPr="00886D21">
              <w:t>Mats Pertoft (MP)</w:t>
            </w:r>
          </w:p>
        </w:tc>
      </w:tr>
      <w:tr w:rsidR="00000000" w:rsidRPr="00886D21">
        <w:trPr>
          <w:cantSplit/>
        </w:trPr>
        <w:tc>
          <w:tcPr>
            <w:tcW w:w="3046" w:type="dxa"/>
          </w:tcPr>
          <w:p w:rsidR="006A0049" w:rsidRPr="00886D21" w:rsidRDefault="006A0049">
            <w:pPr>
              <w:pStyle w:val="Underskrifter"/>
            </w:pPr>
            <w:r w:rsidRPr="00886D21">
              <w:t>Valter Mutt (MP)</w:t>
            </w:r>
          </w:p>
        </w:tc>
        <w:tc>
          <w:tcPr>
            <w:tcW w:w="3046" w:type="dxa"/>
          </w:tcPr>
          <w:p w:rsidR="006A0049" w:rsidRPr="00886D21" w:rsidRDefault="006A0049">
            <w:pPr>
              <w:pStyle w:val="Underskrifter"/>
            </w:pPr>
            <w:r w:rsidRPr="00886D21">
              <w:t>Esabelle Dingizian (MP)</w:t>
            </w:r>
          </w:p>
        </w:tc>
      </w:tr>
    </w:tbl>
    <w:p w:rsidR="006A0049" w:rsidRPr="00886D21" w:rsidRDefault="006A0049">
      <w:pPr>
        <w:pStyle w:val="Normaltindrag"/>
      </w:pPr>
    </w:p>
    <w:sectPr w:rsidR="006A0049" w:rsidRPr="00886D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049" w:rsidRPr="00886D21" w:rsidRDefault="006A0049">
      <w:r w:rsidRPr="00886D21">
        <w:separator/>
      </w:r>
    </w:p>
  </w:endnote>
  <w:endnote w:type="continuationSeparator" w:id="0">
    <w:p w:rsidR="006A0049" w:rsidRPr="00886D21" w:rsidRDefault="006A0049">
      <w:r w:rsidRPr="00886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886D21">
    <w:pPr>
      <w:pStyle w:val="Sidfot"/>
    </w:pPr>
    <w:r w:rsidRPr="00886D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128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49" w:rsidRDefault="006A0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049" w:rsidRDefault="006A0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886D21">
    <w:pPr>
      <w:pStyle w:val="Sidfot"/>
    </w:pPr>
    <w:r w:rsidRPr="00886D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527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49" w:rsidRDefault="006A00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049" w:rsidRDefault="006A00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886D21">
    <w:pPr>
      <w:pStyle w:val="Sidfot"/>
    </w:pPr>
    <w:r w:rsidRPr="00886D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613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49" w:rsidRDefault="006A0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049" w:rsidRDefault="006A0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049" w:rsidRPr="00886D21" w:rsidRDefault="006A0049">
      <w:r w:rsidRPr="00886D21">
        <w:separator/>
      </w:r>
    </w:p>
  </w:footnote>
  <w:footnote w:type="continuationSeparator" w:id="0">
    <w:p w:rsidR="006A0049" w:rsidRPr="00886D21" w:rsidRDefault="006A0049">
      <w:r w:rsidRPr="00886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886D21">
    <w:pPr>
      <w:pStyle w:val="Sidhuvud"/>
    </w:pPr>
    <w:r w:rsidRPr="00886D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806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49" w:rsidRDefault="006A00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049" w:rsidRDefault="006A00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886D21">
    <w:pPr>
      <w:pStyle w:val="Sidhuvud"/>
    </w:pPr>
    <w:r w:rsidRPr="00886D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612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49" w:rsidRDefault="006A00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049" w:rsidRDefault="006A00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049" w:rsidRPr="00886D21" w:rsidRDefault="006A0049">
    <w:pPr>
      <w:pStyle w:val="FSHNormal"/>
      <w:tabs>
        <w:tab w:val="right" w:pos="5840"/>
      </w:tabs>
    </w:pPr>
    <w:r w:rsidRPr="00886D21">
      <w:br/>
    </w:r>
    <w:r w:rsidRPr="00886D21">
      <w:fldChar w:fldCharType="begin" w:fldLock="1"/>
    </w:r>
    <w:r w:rsidRPr="00886D21">
      <w:instrText xml:space="preserve"> DOCPROPERTY</w:instrText>
    </w:r>
    <w:r w:rsidRPr="00886D21">
      <w:rPr>
        <w:sz w:val="18"/>
      </w:rPr>
      <w:instrText xml:space="preserve"> "YearUser" *\charformat </w:instrText>
    </w:r>
    <w:r w:rsidRPr="00886D21">
      <w:fldChar w:fldCharType="separate"/>
    </w:r>
    <w:r w:rsidRPr="00886D21">
      <w:t>2011/12</w:t>
    </w:r>
    <w:r w:rsidRPr="00886D21">
      <w:fldChar w:fldCharType="end"/>
    </w:r>
    <w:r w:rsidRPr="00886D21">
      <w:t xml:space="preserve"> </w:t>
    </w:r>
    <w:r w:rsidRPr="00886D21">
      <w:tab/>
      <w:t xml:space="preserve">mnr: </w:t>
    </w:r>
    <w:r w:rsidRPr="00886D21">
      <w:fldChar w:fldCharType="begin" w:fldLock="1"/>
    </w:r>
    <w:r w:rsidRPr="00886D21">
      <w:instrText xml:space="preserve"> DOCPROPERTY</w:instrText>
    </w:r>
    <w:r w:rsidRPr="00886D21">
      <w:rPr>
        <w:sz w:val="18"/>
      </w:rPr>
      <w:instrText xml:space="preserve"> "Motionsnummer" *\charformat </w:instrText>
    </w:r>
    <w:r w:rsidRPr="00886D21">
      <w:fldChar w:fldCharType="separate"/>
    </w:r>
    <w:r w:rsidRPr="00886D21">
      <w:t>C261</w:t>
    </w:r>
    <w:r w:rsidRPr="00886D21">
      <w:fldChar w:fldCharType="end"/>
    </w:r>
    <w:r w:rsidRPr="00886D21">
      <w:br/>
    </w:r>
    <w:r w:rsidRPr="00886D21">
      <w:fldChar w:fldCharType="begin" w:fldLock="1"/>
    </w:r>
    <w:r w:rsidRPr="00886D21">
      <w:instrText xml:space="preserve"> DOCPROPERTY</w:instrText>
    </w:r>
    <w:r w:rsidRPr="00886D21">
      <w:rPr>
        <w:sz w:val="18"/>
      </w:rPr>
      <w:instrText xml:space="preserve"> "Samling" *\charformat </w:instrText>
    </w:r>
    <w:r w:rsidRPr="00886D21">
      <w:fldChar w:fldCharType="end"/>
    </w:r>
    <w:r w:rsidRPr="00886D21">
      <w:tab/>
      <w:t xml:space="preserve">pnr: </w:t>
    </w:r>
    <w:r w:rsidRPr="00886D21">
      <w:fldChar w:fldCharType="begin" w:fldLock="1"/>
    </w:r>
    <w:r w:rsidRPr="00886D21">
      <w:instrText xml:space="preserve"> DOCPROPERTY</w:instrText>
    </w:r>
    <w:r w:rsidRPr="00886D21">
      <w:rPr>
        <w:sz w:val="18"/>
      </w:rPr>
      <w:instrText xml:space="preserve"> "Partinummer" *\charformat </w:instrText>
    </w:r>
    <w:r w:rsidRPr="00886D21">
      <w:fldChar w:fldCharType="separate"/>
    </w:r>
    <w:r w:rsidRPr="00886D21">
      <w:t>MP3105</w:t>
    </w:r>
    <w:r w:rsidRPr="00886D21">
      <w:fldChar w:fldCharType="end"/>
    </w:r>
  </w:p>
  <w:p w:rsidR="006A0049" w:rsidRPr="00886D21" w:rsidRDefault="006A0049">
    <w:pPr>
      <w:pStyle w:val="FSHRub1"/>
    </w:pPr>
    <w:r w:rsidRPr="00886D21">
      <w:t>Motion till riksdagen</w:t>
    </w:r>
    <w:r w:rsidRPr="00886D21">
      <w:br/>
    </w:r>
    <w:r w:rsidRPr="00886D21">
      <w:fldChar w:fldCharType="begin" w:fldLock="1"/>
    </w:r>
    <w:r w:rsidRPr="00886D21">
      <w:instrText xml:space="preserve"> DOCPROPERTY "YearUser" *\charformat </w:instrText>
    </w:r>
    <w:r w:rsidRPr="00886D21">
      <w:fldChar w:fldCharType="separate"/>
    </w:r>
    <w:r w:rsidRPr="00886D21">
      <w:t>2011/12</w:t>
    </w:r>
    <w:r w:rsidRPr="00886D21">
      <w:fldChar w:fldCharType="end"/>
    </w:r>
    <w:r w:rsidRPr="00886D21">
      <w:t>:</w:t>
    </w:r>
    <w:r w:rsidRPr="00886D21">
      <w:fldChar w:fldCharType="begin" w:fldLock="1"/>
    </w:r>
    <w:r w:rsidRPr="00886D21">
      <w:instrText xml:space="preserve"> DOCPROPERTY "Motionsnummer" *\charformat </w:instrText>
    </w:r>
    <w:r w:rsidRPr="00886D21">
      <w:fldChar w:fldCharType="separate"/>
    </w:r>
    <w:r w:rsidRPr="00886D21">
      <w:t>C261</w:t>
    </w:r>
    <w:r w:rsidRPr="00886D21">
      <w:fldChar w:fldCharType="end"/>
    </w:r>
  </w:p>
  <w:p w:rsidR="006A0049" w:rsidRPr="00886D21" w:rsidRDefault="006A0049">
    <w:pPr>
      <w:pStyle w:val="FSHNormalS5"/>
    </w:pPr>
    <w:r w:rsidRPr="00886D21">
      <w:fldChar w:fldCharType="begin" w:fldLock="1"/>
    </w:r>
    <w:r w:rsidRPr="00886D21">
      <w:instrText xml:space="preserve"> DOCPROPERTY "MotionarText" *\charformat </w:instrText>
    </w:r>
    <w:r w:rsidRPr="00886D21">
      <w:fldChar w:fldCharType="separate"/>
    </w:r>
    <w:r w:rsidRPr="00886D21">
      <w:t>av Peter Rådberg m.fl. (MP)</w:t>
    </w:r>
    <w:r w:rsidRPr="00886D21">
      <w:fldChar w:fldCharType="end"/>
    </w:r>
    <w:r w:rsidRPr="00886D21">
      <w:br/>
    </w:r>
    <w:r w:rsidRPr="00886D21">
      <w:fldChar w:fldCharType="begin" w:fldLock="1"/>
    </w:r>
    <w:r w:rsidRPr="00886D21">
      <w:instrText xml:space="preserve"> DOCPROPERTY "SvarFrasKort" *\charformat </w:instrText>
    </w:r>
    <w:r w:rsidRPr="00886D21">
      <w:fldChar w:fldCharType="end"/>
    </w:r>
  </w:p>
  <w:p w:rsidR="006A0049" w:rsidRPr="00886D21" w:rsidRDefault="006A0049">
    <w:pPr>
      <w:pStyle w:val="FSHTitel"/>
    </w:pPr>
    <w:r w:rsidRPr="00886D21">
      <w:fldChar w:fldCharType="begin" w:fldLock="1"/>
    </w:r>
    <w:r w:rsidRPr="00886D21">
      <w:instrText xml:space="preserve"> DOCPROPERTY</w:instrText>
    </w:r>
    <w:r w:rsidRPr="00886D21">
      <w:rPr>
        <w:sz w:val="18"/>
      </w:rPr>
      <w:instrText xml:space="preserve"> "RubrikSvar" *\charformat </w:instrText>
    </w:r>
    <w:r w:rsidRPr="00886D21">
      <w:fldChar w:fldCharType="separate"/>
    </w:r>
    <w:r w:rsidRPr="00886D21">
      <w:t>Försvarsmaktens riksintressen</w:t>
    </w:r>
    <w:r w:rsidRPr="00886D21">
      <w:fldChar w:fldCharType="end"/>
    </w:r>
  </w:p>
  <w:p w:rsidR="006A0049" w:rsidRPr="00886D21" w:rsidRDefault="006A0049">
    <w:pPr>
      <w:pStyle w:val="Normal00"/>
    </w:pPr>
  </w:p>
  <w:p w:rsidR="006A0049" w:rsidRPr="00886D21" w:rsidRDefault="006A0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C035EC"/>
    <w:multiLevelType w:val="hybridMultilevel"/>
    <w:tmpl w:val="56B6F91C"/>
    <w:lvl w:ilvl="0" w:tplc="4EBE2594">
      <w:start w:val="1"/>
      <w:numFmt w:val="decimal"/>
      <w:lvlText w:val="%1."/>
      <w:lvlJc w:val="left"/>
      <w:pPr>
        <w:tabs>
          <w:tab w:val="num" w:pos="720"/>
        </w:tabs>
        <w:ind w:left="720" w:hanging="360"/>
      </w:pPr>
      <w:rPr>
        <w:rFonts w:ascii="Times New Roman" w:eastAsia="Times New Roman" w:hAnsi="Times New Roman" w:cs="Times New Roman"/>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770A77"/>
    <w:multiLevelType w:val="hybridMultilevel"/>
    <w:tmpl w:val="27F2CCB2"/>
    <w:lvl w:ilvl="0" w:tplc="C0D8AE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4248437">
    <w:abstractNumId w:val="3"/>
  </w:num>
  <w:num w:numId="2" w16cid:durableId="2100909313">
    <w:abstractNumId w:val="2"/>
  </w:num>
  <w:num w:numId="3" w16cid:durableId="1361665850">
    <w:abstractNumId w:val="1"/>
  </w:num>
  <w:num w:numId="4" w16cid:durableId="1883859687">
    <w:abstractNumId w:val="0"/>
  </w:num>
  <w:num w:numId="5" w16cid:durableId="1654135735">
    <w:abstractNumId w:val="7"/>
  </w:num>
  <w:num w:numId="6" w16cid:durableId="1903370934">
    <w:abstractNumId w:val="6"/>
  </w:num>
  <w:num w:numId="7" w16cid:durableId="1684429821">
    <w:abstractNumId w:val="5"/>
  </w:num>
  <w:num w:numId="8" w16cid:durableId="893388383">
    <w:abstractNumId w:val="4"/>
  </w:num>
  <w:num w:numId="9" w16cid:durableId="301008650">
    <w:abstractNumId w:val="8"/>
  </w:num>
  <w:num w:numId="10" w16cid:durableId="1069379386">
    <w:abstractNumId w:val="9"/>
  </w:num>
  <w:num w:numId="11" w16cid:durableId="1713310325">
    <w:abstractNumId w:val="10"/>
  </w:num>
  <w:num w:numId="12" w16cid:durableId="1788768908">
    <w:abstractNumId w:val="14"/>
  </w:num>
  <w:num w:numId="13" w16cid:durableId="925305945">
    <w:abstractNumId w:val="16"/>
  </w:num>
  <w:num w:numId="14" w16cid:durableId="1849826459">
    <w:abstractNumId w:val="17"/>
  </w:num>
  <w:num w:numId="15" w16cid:durableId="653871187">
    <w:abstractNumId w:val="11"/>
  </w:num>
  <w:num w:numId="16" w16cid:durableId="1558708599">
    <w:abstractNumId w:val="19"/>
  </w:num>
  <w:num w:numId="17" w16cid:durableId="1908759982">
    <w:abstractNumId w:val="18"/>
  </w:num>
  <w:num w:numId="18" w16cid:durableId="611594732">
    <w:abstractNumId w:val="15"/>
  </w:num>
  <w:num w:numId="19" w16cid:durableId="1718046306">
    <w:abstractNumId w:val="12"/>
  </w:num>
  <w:num w:numId="20" w16cid:durableId="950890985">
    <w:abstractNumId w:val="13"/>
  </w:num>
  <w:num w:numId="21" w16cid:durableId="1073816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6F36A54-6768-4A6E-926B-6FD4A809EF2F},{CD608734-BDFD-4479-B45A-FA9EAF5B640F},{8B79F084-2FE8-43FE-81EC-B454DB4AAA24},{52DE311F-4F73-4FB3-A233-A2C3D6965172},{7B1300F0-A439-4480-ABF5-039C4646D434},{6FDD7288-6C76-4A4A-ABBE-700C3894E040},{C06BBC9F-FA9F-4AC6-95C7-7AA0B137B9C3},{08C56B17-A14B-48F1-95B3-2C8A56B44D98},{1D8EF1E5-F0F1-44B1-A39B-07018B6AC14E}"/>
  </w:docVars>
  <w:rsids>
    <w:rsidRoot w:val="00AF628C"/>
    <w:rsid w:val="006A0049"/>
    <w:rsid w:val="00886D21"/>
    <w:rsid w:val="00AF62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A50B26-3841-481F-93EC-8D6F2794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4184</Characters>
  <Application>Microsoft Office Word</Application>
  <DocSecurity>4</DocSecurity>
  <Lines>92</Lines>
  <Paragraphs>32</Paragraphs>
  <ScaleCrop>false</ScaleCrop>
  <HeadingPairs>
    <vt:vector size="2" baseType="variant">
      <vt:variant>
        <vt:lpstr>Rubrik</vt:lpstr>
      </vt:variant>
      <vt:variant>
        <vt:i4>1</vt:i4>
      </vt:variant>
    </vt:vector>
  </HeadingPairs>
  <TitlesOfParts>
    <vt:vector size="1" baseType="lpstr">
      <vt:lpstr>MP3105</vt:lpstr>
    </vt:vector>
  </TitlesOfParts>
  <Company>Riksdagen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MP3105</dc:title>
  <dc:subject>MP3105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2011-10-29T11:18:00Z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Försvarsmaktens riksintressen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riksintressen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Rådberg m.fl. (MP)</vt:lpwstr>
  </property>
  <property fmtid="{D5CDD505-2E9C-101B-9397-08002B2CF9AE}" pid="26" name="MotionarLista">
    <vt:lpwstr>Rådberg, Peter (MP)\Lillemets, Annika (MP)\Ceballos, Bodil (MP)\Bergström, Stina (MP)\Lindholm, Jan (MP)\Nordin, Lise (MP)\Pertoft, Mats (MP)\Mutt, Valter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Annika Lillemets (MP), Bodil Ceballos (MP), Stina Bergström (MP), Jan Lindholm (MP), Lise Nordin (MP), Mats Pertoft (MP), Valter Mutt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20112012000000770080000031050075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20112012000000770080000031050075</vt:lpwstr>
  </property>
  <property fmtid="{D5CDD505-2E9C-101B-9397-08002B2CF9AE}" pid="50" name="nummer">
    <vt:lpwstr>261</vt:lpwstr>
  </property>
  <property fmtid="{D5CDD505-2E9C-101B-9397-08002B2CF9AE}" pid="51" name="utskottsbeteckning">
    <vt:lpwstr>C</vt:lpwstr>
  </property>
  <property fmtid="{D5CDD505-2E9C-101B-9397-08002B2CF9AE}" pid="52" name="GlobalUID">
    <vt:lpwstr>{EE07C3B8-6107-4949-9395-A7E3CE8BD47D}</vt:lpwstr>
  </property>
  <property fmtid="{D5CDD505-2E9C-101B-9397-08002B2CF9AE}" pid="53" name="Överföringar">
    <vt:i4>0</vt:i4>
  </property>
  <property fmtid="{D5CDD505-2E9C-101B-9397-08002B2CF9AE}" pid="54" name="Checksum">
    <vt:lpwstr>*0011629855292*</vt:lpwstr>
  </property>
  <property fmtid="{D5CDD505-2E9C-101B-9397-08002B2CF9AE}" pid="55" name="skuggnummer">
    <vt:lpwstr>1025</vt:lpwstr>
  </property>
  <property fmtid="{D5CDD505-2E9C-101B-9397-08002B2CF9AE}" pid="56" name="urixVersion">
    <vt:lpwstr>4.5.0.25</vt:lpwstr>
  </property>
  <property fmtid="{D5CDD505-2E9C-101B-9397-08002B2CF9AE}" pid="57" name="urixOrigin">
    <vt:lpwstr>111102 13:06:39.318</vt:lpwstr>
  </property>
  <property fmtid="{D5CDD505-2E9C-101B-9397-08002B2CF9AE}" pid="58" name="urixGuid">
    <vt:lpwstr>{89243B6C-AF75-45DC-AFA2-D69354F58985}</vt:lpwstr>
  </property>
</Properties>
</file>