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charts/chart1.xml" ContentType="application/vnd.openxmlformats-officedocument.drawingml.chart+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style1.xml" ContentType="application/vnd.ms-office.chart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charts/colors17.xml" ContentType="application/vnd.ms-office.chartcolorstyle+xml"/>
  <Override PartName="/word/theme/theme1.xml" ContentType="application/vnd.openxmlformats-officedocument.theme+xml"/>
  <Override PartName="/word/charts/style12.xml" ContentType="application/vnd.ms-office.chartstyl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8632C" w:rsidR="00F42E48" w:rsidP="00A8632C" w:rsidRDefault="00F42E48" w14:paraId="55A1BA58" w14:textId="56AD03F3">
      <w:pPr>
        <w:pStyle w:val="Rubrik1numrerat"/>
      </w:pPr>
      <w:bookmarkStart w:name="_Toc162362951" w:id="0"/>
      <w:bookmarkStart w:name="_Toc166056425" w:id="1"/>
      <w:bookmarkStart w:name="_Toc106800475" w:id="2"/>
      <w:bookmarkStart w:name="_Hlk165283635" w:id="3"/>
      <w:r w:rsidRPr="00A8632C">
        <w:t>Sammanfattning</w:t>
      </w:r>
      <w:bookmarkEnd w:id="0"/>
      <w:bookmarkEnd w:id="1"/>
    </w:p>
    <w:p w:rsidR="0091114B" w:rsidP="0091114B" w:rsidRDefault="0091114B" w14:paraId="12A53878" w14:textId="15989A7E">
      <w:pPr>
        <w:pStyle w:val="Normalutanindragellerluft"/>
      </w:pPr>
      <w:r w:rsidRPr="00BC0826">
        <w:rPr>
          <w:spacing w:val="-3"/>
        </w:rPr>
        <w:t>Sverige befinner sig i en lågkonjunktur. Delar av den svenska ekonomin går mycket svagt</w:t>
      </w:r>
      <w:r>
        <w:t>. Detta gäller inte minst för hushållen som är pressade av hög inflation och höga bolåne</w:t>
      </w:r>
      <w:r w:rsidR="00BC0826">
        <w:softHyphen/>
      </w:r>
      <w:r>
        <w:t xml:space="preserve">kostnader. Arbetslösheten stiger och byggbranschen har drabbats av en veritabel krasch. </w:t>
      </w:r>
      <w:r w:rsidRPr="00BC0826">
        <w:rPr>
          <w:spacing w:val="-3"/>
          <w:lang w:eastAsia="sv-SE"/>
        </w:rPr>
        <w:t>Trots krisläget reagerar inte den sittande regeringen på de faktiska problem som människor</w:t>
      </w:r>
      <w:r>
        <w:rPr>
          <w:lang w:eastAsia="sv-SE"/>
        </w:rPr>
        <w:t xml:space="preserve"> </w:t>
      </w:r>
      <w:r w:rsidRPr="00BC0826">
        <w:rPr>
          <w:spacing w:val="-3"/>
          <w:lang w:eastAsia="sv-SE"/>
        </w:rPr>
        <w:t>upplever. Välfärden missköts, hushållen lämnas vind för våg och byggkrisen är i fritt fall.</w:t>
      </w:r>
      <w:r>
        <w:rPr>
          <w:lang w:eastAsia="sv-SE"/>
        </w:rPr>
        <w:t xml:space="preserve"> </w:t>
      </w:r>
    </w:p>
    <w:p w:rsidR="0091114B" w:rsidP="009E2E6C" w:rsidRDefault="0091114B" w14:paraId="2AF6EBD4" w14:textId="3780BCBC">
      <w:pPr>
        <w:rPr>
          <w:lang w:eastAsia="sv-SE"/>
        </w:rPr>
      </w:pPr>
      <w:r w:rsidRPr="00BC0826">
        <w:rPr>
          <w:spacing w:val="-3"/>
          <w:lang w:eastAsia="sv-SE"/>
        </w:rPr>
        <w:t>Skillnaden mellan vad regeringen säger sig göra och vad de faktiskt gör är stor. Genom</w:t>
      </w:r>
      <w:r>
        <w:rPr>
          <w:lang w:eastAsia="sv-SE"/>
        </w:rPr>
        <w:t xml:space="preserve"> </w:t>
      </w:r>
      <w:r w:rsidRPr="00BC0826">
        <w:rPr>
          <w:spacing w:val="-3"/>
          <w:lang w:eastAsia="sv-SE"/>
        </w:rPr>
        <w:t>påstådda välfärdssatsningar</w:t>
      </w:r>
      <w:r w:rsidRPr="00BC0826" w:rsidR="00DD3AB2">
        <w:rPr>
          <w:spacing w:val="-3"/>
          <w:lang w:eastAsia="sv-SE"/>
        </w:rPr>
        <w:t xml:space="preserve"> och påhittade utsläppsminskningar</w:t>
      </w:r>
      <w:r w:rsidRPr="00BC0826">
        <w:rPr>
          <w:spacing w:val="-3"/>
          <w:lang w:eastAsia="sv-SE"/>
        </w:rPr>
        <w:t xml:space="preserve"> </w:t>
      </w:r>
      <w:r w:rsidRPr="00BC0826" w:rsidR="004A0BBD">
        <w:rPr>
          <w:spacing w:val="-3"/>
          <w:lang w:eastAsia="sv-SE"/>
        </w:rPr>
        <w:t>försöker de skapa en falsk</w:t>
      </w:r>
      <w:r w:rsidR="004A0BBD">
        <w:rPr>
          <w:lang w:eastAsia="sv-SE"/>
        </w:rPr>
        <w:t xml:space="preserve"> </w:t>
      </w:r>
      <w:r w:rsidRPr="00BC0826" w:rsidR="004A0BBD">
        <w:rPr>
          <w:spacing w:val="-3"/>
          <w:lang w:eastAsia="sv-SE"/>
        </w:rPr>
        <w:t>bild av handlingskraft</w:t>
      </w:r>
      <w:r w:rsidRPr="00BC0826">
        <w:rPr>
          <w:spacing w:val="-3"/>
          <w:lang w:eastAsia="sv-SE"/>
        </w:rPr>
        <w:t>. Samtidigt är verkligheten en helt annan. För människor som lyssnar</w:t>
      </w:r>
      <w:r w:rsidRPr="00874458">
        <w:rPr>
          <w:lang w:eastAsia="sv-SE"/>
        </w:rPr>
        <w:t xml:space="preserve"> på regeringens prat blir det till slut</w:t>
      </w:r>
      <w:r>
        <w:rPr>
          <w:lang w:eastAsia="sv-SE"/>
        </w:rPr>
        <w:t xml:space="preserve"> svårt</w:t>
      </w:r>
      <w:r w:rsidRPr="00874458">
        <w:rPr>
          <w:lang w:eastAsia="sv-SE"/>
        </w:rPr>
        <w:t xml:space="preserve"> att veta vad man ska tro. </w:t>
      </w:r>
      <w:r>
        <w:rPr>
          <w:lang w:eastAsia="sv-SE"/>
        </w:rPr>
        <w:t xml:space="preserve">När det som sägs i </w:t>
      </w:r>
      <w:r w:rsidR="00E233D2">
        <w:rPr>
          <w:lang w:eastAsia="sv-SE"/>
        </w:rPr>
        <w:t>tv</w:t>
      </w:r>
      <w:r>
        <w:rPr>
          <w:lang w:eastAsia="sv-SE"/>
        </w:rPr>
        <w:t>-</w:t>
      </w:r>
      <w:r w:rsidRPr="00BC0826">
        <w:rPr>
          <w:spacing w:val="-3"/>
          <w:lang w:eastAsia="sv-SE"/>
        </w:rPr>
        <w:t>sofforna inte stämmer överens med den verklighet man möter på jobbet, på vårdcentralen</w:t>
      </w:r>
      <w:r>
        <w:rPr>
          <w:lang w:eastAsia="sv-SE"/>
        </w:rPr>
        <w:t xml:space="preserve"> eller när man lämnar på förskolan skapas en misstro mot politikens förändrande kraft.</w:t>
      </w:r>
    </w:p>
    <w:p w:rsidR="00FE1641" w:rsidP="00FE1641" w:rsidRDefault="00FE1641" w14:paraId="7C3C92ED" w14:textId="1A6B9663">
      <w:r>
        <w:t xml:space="preserve">Det behövs en radikal omläggning av den ekonomiska politiken. I vår motion </w:t>
      </w:r>
      <w:r w:rsidR="005C20FE">
        <w:t>till</w:t>
      </w:r>
      <w:r>
        <w:t xml:space="preserve"> </w:t>
      </w:r>
      <w:r w:rsidRPr="00BC0826">
        <w:rPr>
          <w:spacing w:val="-3"/>
        </w:rPr>
        <w:t>budgetpropositionen för 2024 lade Vänsterpartiet satsningar på välfärden, socialförsäkring</w:t>
      </w:r>
      <w:r w:rsidRPr="00BC0826" w:rsidR="00BC0826">
        <w:rPr>
          <w:spacing w:val="-3"/>
        </w:rPr>
        <w:softHyphen/>
      </w:r>
      <w:r w:rsidRPr="00BC0826">
        <w:rPr>
          <w:spacing w:val="-3"/>
        </w:rPr>
        <w:t>arna</w:t>
      </w:r>
      <w:r w:rsidR="0027480A">
        <w:t xml:space="preserve"> och</w:t>
      </w:r>
      <w:r w:rsidRPr="00403EF3">
        <w:t xml:space="preserve"> bostads- och infrastrukturfinansieringar</w:t>
      </w:r>
      <w:r>
        <w:t>. Så</w:t>
      </w:r>
      <w:r w:rsidRPr="00403EF3">
        <w:t xml:space="preserve"> bygger vi Sverige starkare i en värld av hård global konkurrens.</w:t>
      </w:r>
    </w:p>
    <w:p w:rsidR="00FE1641" w:rsidP="00FE1641" w:rsidRDefault="00FE1641" w14:paraId="2256EFDC" w14:textId="00D9BC92">
      <w:r>
        <w:t>I denna motion går vi vidare och säkrar resurserna till sjukvården</w:t>
      </w:r>
      <w:r w:rsidR="00A900D8">
        <w:t xml:space="preserve">, </w:t>
      </w:r>
      <w:r w:rsidR="00B10D40">
        <w:t xml:space="preserve">föreslår </w:t>
      </w:r>
      <w:r w:rsidR="00A900D8">
        <w:t xml:space="preserve">ett stopp </w:t>
      </w:r>
      <w:r w:rsidRPr="00BC0826" w:rsidR="00A900D8">
        <w:rPr>
          <w:spacing w:val="-3"/>
        </w:rPr>
        <w:t>för hyrpersonal i hälso- och sjukvården</w:t>
      </w:r>
      <w:r w:rsidRPr="00BC0826">
        <w:rPr>
          <w:spacing w:val="-3"/>
        </w:rPr>
        <w:t xml:space="preserve"> </w:t>
      </w:r>
      <w:r w:rsidRPr="00BC0826" w:rsidR="00A900D8">
        <w:rPr>
          <w:spacing w:val="-3"/>
        </w:rPr>
        <w:t>samt</w:t>
      </w:r>
      <w:r w:rsidRPr="00BC0826">
        <w:rPr>
          <w:spacing w:val="-3"/>
        </w:rPr>
        <w:t xml:space="preserve"> presenterar en investerings- och jobbsatsning</w:t>
      </w:r>
      <w:r>
        <w:t xml:space="preserve"> i kommunsektorn som vi kallar Sverigejobb. Denna satsning innebär att staten går in som medfinansiär för att kommuner och regioner ska kunna tidigarelägga planerade investeringar och underhåll. Det kan handla om t.ex. renovering av skolor och förskolor, anläggningsarbeten för nybyggnation, reinvesteringar i VA-infrastruktur, klimatanpass</w:t>
      </w:r>
      <w:r w:rsidR="00BC0826">
        <w:softHyphen/>
      </w:r>
      <w:r>
        <w:t xml:space="preserve">ningar i den fysiska miljön och </w:t>
      </w:r>
      <w:r w:rsidR="002175C8">
        <w:t>av</w:t>
      </w:r>
      <w:r>
        <w:t>betal</w:t>
      </w:r>
      <w:r w:rsidR="002175C8">
        <w:t>ning</w:t>
      </w:r>
      <w:r>
        <w:t xml:space="preserve"> av underhållsskulden för det kommunala vägnätet.</w:t>
      </w:r>
      <w:r w:rsidR="00895021">
        <w:t xml:space="preserve"> Vi beräknar att den kan skapa så mycket som 25</w:t>
      </w:r>
      <w:r w:rsidR="007720D0">
        <w:t> </w:t>
      </w:r>
      <w:r w:rsidR="00895021">
        <w:t>000 nya jobb.</w:t>
      </w:r>
    </w:p>
    <w:p w:rsidR="00B10D40" w:rsidP="00B10D40" w:rsidRDefault="00B10D40" w14:paraId="6C12C6E9" w14:textId="2F58708A">
      <w:r>
        <w:t xml:space="preserve">I Vänsterpartiets budgetmotion för 2024 föreslog vi att dagens överskottsmål för de </w:t>
      </w:r>
      <w:r w:rsidRPr="00BC0826">
        <w:rPr>
          <w:spacing w:val="-3"/>
        </w:rPr>
        <w:t xml:space="preserve">offentliga finanserna </w:t>
      </w:r>
      <w:r w:rsidRPr="00BC0826" w:rsidR="00522CF8">
        <w:rPr>
          <w:spacing w:val="-3"/>
        </w:rPr>
        <w:t>skulle</w:t>
      </w:r>
      <w:r w:rsidRPr="00BC0826">
        <w:rPr>
          <w:spacing w:val="-3"/>
        </w:rPr>
        <w:t xml:space="preserve"> överges till förmån för ett nytt mål för det finansiella sparandet</w:t>
      </w:r>
      <w:r w:rsidRPr="00BA671D">
        <w:t xml:space="preserve"> på</w:t>
      </w:r>
      <w:r>
        <w:t xml:space="preserve"> </w:t>
      </w:r>
      <w:r w:rsidR="001C4A9B">
        <w:t>–</w:t>
      </w:r>
      <w:r>
        <w:t xml:space="preserve">1 procent av BNP över en konjunkturcykel. Förslagen i denna motion beräknas sammanlagt försvaga de offentliga finanserna med ca 0,2 procentenheter (i relation till </w:t>
      </w:r>
      <w:proofErr w:type="spellStart"/>
      <w:r>
        <w:t>vårändringsbudgeten</w:t>
      </w:r>
      <w:proofErr w:type="spellEnd"/>
      <w:r>
        <w:t xml:space="preserve">). Det strukturella sparandet med förslagen i denna motion skulle </w:t>
      </w:r>
      <w:r>
        <w:lastRenderedPageBreak/>
        <w:t xml:space="preserve">således hamna på ca </w:t>
      </w:r>
      <w:r w:rsidR="001A136C">
        <w:t>–</w:t>
      </w:r>
      <w:r>
        <w:t>0,4 procent av BNP och ligger således väl inom ramen för Vänsterpartiets mål för de offentliga finanserna.</w:t>
      </w:r>
      <w:r>
        <w:br w:type="page"/>
      </w:r>
    </w:p>
    <w:bookmarkStart w:name="_Toc166056426" w:displacedByCustomXml="next" w:id="4"/>
    <w:sdt>
      <w:sdtPr>
        <w:rPr>
          <w:rFonts w:asciiTheme="minorHAnsi" w:hAnsiTheme="minorHAnsi" w:eastAsiaTheme="minorEastAsia" w:cstheme="minorBidi"/>
          <w:sz w:val="24"/>
          <w:szCs w:val="24"/>
          <w:lang w:eastAsia="en-US"/>
          <w14:numSpacing w14:val="proportional"/>
        </w:rPr>
        <w:id w:val="-128241127"/>
        <w:docPartObj>
          <w:docPartGallery w:val="Table of Contents"/>
          <w:docPartUnique/>
        </w:docPartObj>
      </w:sdtPr>
      <w:sdtEndPr>
        <w:rPr>
          <w:rFonts w:eastAsiaTheme="minorHAnsi"/>
          <w:b/>
          <w:bCs/>
        </w:rPr>
      </w:sdtEndPr>
      <w:sdtContent>
        <w:p w:rsidRPr="00A8632C" w:rsidR="006A7AC5" w:rsidP="00A8632C" w:rsidRDefault="006A7AC5" w14:paraId="083735A6" w14:textId="214B8FCC">
          <w:pPr>
            <w:pStyle w:val="Rubrik1numrerat"/>
          </w:pPr>
          <w:r w:rsidRPr="00A8632C">
            <w:t>Innehåll</w:t>
          </w:r>
          <w:r w:rsidRPr="00A8632C" w:rsidR="00A8632C">
            <w:t>sförteckning</w:t>
          </w:r>
          <w:bookmarkEnd w:id="4"/>
        </w:p>
        <w:p w:rsidR="00DD096E" w:rsidRDefault="00DD096E" w14:paraId="4EC6C677" w14:textId="199E953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166056425">
            <w:r w:rsidRPr="00757F2C">
              <w:rPr>
                <w:rStyle w:val="Hyperlnk"/>
                <w:noProof/>
              </w:rPr>
              <w:t>1 Sammanfattning</w:t>
            </w:r>
            <w:r>
              <w:rPr>
                <w:noProof/>
                <w:webHidden/>
              </w:rPr>
              <w:tab/>
            </w:r>
            <w:r>
              <w:rPr>
                <w:noProof/>
                <w:webHidden/>
              </w:rPr>
              <w:fldChar w:fldCharType="begin"/>
            </w:r>
            <w:r>
              <w:rPr>
                <w:noProof/>
                <w:webHidden/>
              </w:rPr>
              <w:instrText xml:space="preserve"> PAGEREF _Toc166056425 \h </w:instrText>
            </w:r>
            <w:r>
              <w:rPr>
                <w:noProof/>
                <w:webHidden/>
              </w:rPr>
            </w:r>
            <w:r>
              <w:rPr>
                <w:noProof/>
                <w:webHidden/>
              </w:rPr>
              <w:fldChar w:fldCharType="separate"/>
            </w:r>
            <w:r w:rsidR="00773AAA">
              <w:rPr>
                <w:noProof/>
                <w:webHidden/>
              </w:rPr>
              <w:t>1</w:t>
            </w:r>
            <w:r>
              <w:rPr>
                <w:noProof/>
                <w:webHidden/>
              </w:rPr>
              <w:fldChar w:fldCharType="end"/>
            </w:r>
          </w:hyperlink>
        </w:p>
        <w:p w:rsidR="00DD096E" w:rsidRDefault="00B34F34" w14:paraId="3AB89979" w14:textId="19EFEC6B">
          <w:pPr>
            <w:pStyle w:val="Innehll1"/>
            <w:tabs>
              <w:tab w:val="right" w:leader="dot" w:pos="8494"/>
            </w:tabs>
            <w:rPr>
              <w:rFonts w:eastAsiaTheme="minorEastAsia"/>
              <w:noProof/>
              <w:kern w:val="0"/>
              <w:sz w:val="22"/>
              <w:szCs w:val="22"/>
              <w:lang w:eastAsia="sv-SE"/>
              <w14:numSpacing w14:val="default"/>
            </w:rPr>
          </w:pPr>
          <w:hyperlink w:history="1" w:anchor="_Toc166056426">
            <w:r w:rsidRPr="00757F2C" w:rsidR="00DD096E">
              <w:rPr>
                <w:rStyle w:val="Hyperlnk"/>
                <w:noProof/>
              </w:rPr>
              <w:t>2 Innehållsförteckning</w:t>
            </w:r>
            <w:r w:rsidR="00DD096E">
              <w:rPr>
                <w:noProof/>
                <w:webHidden/>
              </w:rPr>
              <w:tab/>
            </w:r>
            <w:r w:rsidR="00DD096E">
              <w:rPr>
                <w:noProof/>
                <w:webHidden/>
              </w:rPr>
              <w:fldChar w:fldCharType="begin"/>
            </w:r>
            <w:r w:rsidR="00DD096E">
              <w:rPr>
                <w:noProof/>
                <w:webHidden/>
              </w:rPr>
              <w:instrText xml:space="preserve"> PAGEREF _Toc166056426 \h </w:instrText>
            </w:r>
            <w:r w:rsidR="00DD096E">
              <w:rPr>
                <w:noProof/>
                <w:webHidden/>
              </w:rPr>
            </w:r>
            <w:r w:rsidR="00DD096E">
              <w:rPr>
                <w:noProof/>
                <w:webHidden/>
              </w:rPr>
              <w:fldChar w:fldCharType="separate"/>
            </w:r>
            <w:r w:rsidR="00773AAA">
              <w:rPr>
                <w:noProof/>
                <w:webHidden/>
              </w:rPr>
              <w:t>3</w:t>
            </w:r>
            <w:r w:rsidR="00DD096E">
              <w:rPr>
                <w:noProof/>
                <w:webHidden/>
              </w:rPr>
              <w:fldChar w:fldCharType="end"/>
            </w:r>
          </w:hyperlink>
        </w:p>
        <w:p w:rsidR="00DD096E" w:rsidRDefault="00B34F34" w14:paraId="56E4936B" w14:textId="2BA13E9C">
          <w:pPr>
            <w:pStyle w:val="Innehll1"/>
            <w:tabs>
              <w:tab w:val="right" w:leader="dot" w:pos="8494"/>
            </w:tabs>
            <w:rPr>
              <w:rFonts w:eastAsiaTheme="minorEastAsia"/>
              <w:noProof/>
              <w:kern w:val="0"/>
              <w:sz w:val="22"/>
              <w:szCs w:val="22"/>
              <w:lang w:eastAsia="sv-SE"/>
              <w14:numSpacing w14:val="default"/>
            </w:rPr>
          </w:pPr>
          <w:hyperlink w:history="1" w:anchor="_Toc166056427">
            <w:r w:rsidRPr="00757F2C" w:rsidR="00DD096E">
              <w:rPr>
                <w:rStyle w:val="Hyperlnk"/>
                <w:noProof/>
              </w:rPr>
              <w:t>3 Förslag till riksdagsbeslut</w:t>
            </w:r>
            <w:r w:rsidR="00DD096E">
              <w:rPr>
                <w:noProof/>
                <w:webHidden/>
              </w:rPr>
              <w:tab/>
            </w:r>
            <w:r w:rsidR="00DD096E">
              <w:rPr>
                <w:noProof/>
                <w:webHidden/>
              </w:rPr>
              <w:fldChar w:fldCharType="begin"/>
            </w:r>
            <w:r w:rsidR="00DD096E">
              <w:rPr>
                <w:noProof/>
                <w:webHidden/>
              </w:rPr>
              <w:instrText xml:space="preserve"> PAGEREF _Toc166056427 \h </w:instrText>
            </w:r>
            <w:r w:rsidR="00DD096E">
              <w:rPr>
                <w:noProof/>
                <w:webHidden/>
              </w:rPr>
            </w:r>
            <w:r w:rsidR="00DD096E">
              <w:rPr>
                <w:noProof/>
                <w:webHidden/>
              </w:rPr>
              <w:fldChar w:fldCharType="separate"/>
            </w:r>
            <w:r w:rsidR="00773AAA">
              <w:rPr>
                <w:noProof/>
                <w:webHidden/>
              </w:rPr>
              <w:t>5</w:t>
            </w:r>
            <w:r w:rsidR="00DD096E">
              <w:rPr>
                <w:noProof/>
                <w:webHidden/>
              </w:rPr>
              <w:fldChar w:fldCharType="end"/>
            </w:r>
          </w:hyperlink>
        </w:p>
        <w:p w:rsidR="00DD096E" w:rsidRDefault="00B34F34" w14:paraId="19F84F42" w14:textId="5A988FFA">
          <w:pPr>
            <w:pStyle w:val="Innehll1"/>
            <w:tabs>
              <w:tab w:val="right" w:leader="dot" w:pos="8494"/>
            </w:tabs>
            <w:rPr>
              <w:rFonts w:eastAsiaTheme="minorEastAsia"/>
              <w:noProof/>
              <w:kern w:val="0"/>
              <w:sz w:val="22"/>
              <w:szCs w:val="22"/>
              <w:lang w:eastAsia="sv-SE"/>
              <w14:numSpacing w14:val="default"/>
            </w:rPr>
          </w:pPr>
          <w:hyperlink w:history="1" w:anchor="_Toc166056428">
            <w:r w:rsidRPr="00757F2C" w:rsidR="00DD096E">
              <w:rPr>
                <w:rStyle w:val="Hyperlnk"/>
                <w:noProof/>
              </w:rPr>
              <w:t>4 Det ekonomiska läget</w:t>
            </w:r>
            <w:r w:rsidR="00DD096E">
              <w:rPr>
                <w:noProof/>
                <w:webHidden/>
              </w:rPr>
              <w:tab/>
            </w:r>
            <w:r w:rsidR="00DD096E">
              <w:rPr>
                <w:noProof/>
                <w:webHidden/>
              </w:rPr>
              <w:fldChar w:fldCharType="begin"/>
            </w:r>
            <w:r w:rsidR="00DD096E">
              <w:rPr>
                <w:noProof/>
                <w:webHidden/>
              </w:rPr>
              <w:instrText xml:space="preserve"> PAGEREF _Toc166056428 \h </w:instrText>
            </w:r>
            <w:r w:rsidR="00DD096E">
              <w:rPr>
                <w:noProof/>
                <w:webHidden/>
              </w:rPr>
            </w:r>
            <w:r w:rsidR="00DD096E">
              <w:rPr>
                <w:noProof/>
                <w:webHidden/>
              </w:rPr>
              <w:fldChar w:fldCharType="separate"/>
            </w:r>
            <w:r w:rsidR="00773AAA">
              <w:rPr>
                <w:noProof/>
                <w:webHidden/>
              </w:rPr>
              <w:t>5</w:t>
            </w:r>
            <w:r w:rsidR="00DD096E">
              <w:rPr>
                <w:noProof/>
                <w:webHidden/>
              </w:rPr>
              <w:fldChar w:fldCharType="end"/>
            </w:r>
          </w:hyperlink>
        </w:p>
        <w:p w:rsidR="00DD096E" w:rsidRDefault="00B34F34" w14:paraId="66055338" w14:textId="08DAD6C7">
          <w:pPr>
            <w:pStyle w:val="Innehll2"/>
            <w:tabs>
              <w:tab w:val="right" w:leader="dot" w:pos="8494"/>
            </w:tabs>
            <w:rPr>
              <w:rFonts w:eastAsiaTheme="minorEastAsia"/>
              <w:noProof/>
              <w:kern w:val="0"/>
              <w:sz w:val="22"/>
              <w:szCs w:val="22"/>
              <w:lang w:eastAsia="sv-SE"/>
              <w14:numSpacing w14:val="default"/>
            </w:rPr>
          </w:pPr>
          <w:hyperlink w:history="1" w:anchor="_Toc166056429">
            <w:r w:rsidRPr="00757F2C" w:rsidR="00DD096E">
              <w:rPr>
                <w:rStyle w:val="Hyperlnk"/>
                <w:noProof/>
              </w:rPr>
              <w:t>4.1 Konjunkturläget</w:t>
            </w:r>
            <w:r w:rsidR="00DD096E">
              <w:rPr>
                <w:noProof/>
                <w:webHidden/>
              </w:rPr>
              <w:tab/>
            </w:r>
            <w:r w:rsidR="00DD096E">
              <w:rPr>
                <w:noProof/>
                <w:webHidden/>
              </w:rPr>
              <w:fldChar w:fldCharType="begin"/>
            </w:r>
            <w:r w:rsidR="00DD096E">
              <w:rPr>
                <w:noProof/>
                <w:webHidden/>
              </w:rPr>
              <w:instrText xml:space="preserve"> PAGEREF _Toc166056429 \h </w:instrText>
            </w:r>
            <w:r w:rsidR="00DD096E">
              <w:rPr>
                <w:noProof/>
                <w:webHidden/>
              </w:rPr>
            </w:r>
            <w:r w:rsidR="00DD096E">
              <w:rPr>
                <w:noProof/>
                <w:webHidden/>
              </w:rPr>
              <w:fldChar w:fldCharType="separate"/>
            </w:r>
            <w:r w:rsidR="00773AAA">
              <w:rPr>
                <w:noProof/>
                <w:webHidden/>
              </w:rPr>
              <w:t>5</w:t>
            </w:r>
            <w:r w:rsidR="00DD096E">
              <w:rPr>
                <w:noProof/>
                <w:webHidden/>
              </w:rPr>
              <w:fldChar w:fldCharType="end"/>
            </w:r>
          </w:hyperlink>
        </w:p>
        <w:p w:rsidR="00DD096E" w:rsidRDefault="00B34F34" w14:paraId="755666AE" w14:textId="68DD4883">
          <w:pPr>
            <w:pStyle w:val="Innehll2"/>
            <w:tabs>
              <w:tab w:val="right" w:leader="dot" w:pos="8494"/>
            </w:tabs>
            <w:rPr>
              <w:rFonts w:eastAsiaTheme="minorEastAsia"/>
              <w:noProof/>
              <w:kern w:val="0"/>
              <w:sz w:val="22"/>
              <w:szCs w:val="22"/>
              <w:lang w:eastAsia="sv-SE"/>
              <w14:numSpacing w14:val="default"/>
            </w:rPr>
          </w:pPr>
          <w:hyperlink w:history="1" w:anchor="_Toc166056430">
            <w:r w:rsidRPr="00757F2C" w:rsidR="00DD096E">
              <w:rPr>
                <w:rStyle w:val="Hyperlnk"/>
                <w:noProof/>
              </w:rPr>
              <w:t>4.2 Åtstramande penningpolitik</w:t>
            </w:r>
            <w:r w:rsidR="00DD096E">
              <w:rPr>
                <w:noProof/>
                <w:webHidden/>
              </w:rPr>
              <w:tab/>
            </w:r>
            <w:r w:rsidR="00DD096E">
              <w:rPr>
                <w:noProof/>
                <w:webHidden/>
              </w:rPr>
              <w:fldChar w:fldCharType="begin"/>
            </w:r>
            <w:r w:rsidR="00DD096E">
              <w:rPr>
                <w:noProof/>
                <w:webHidden/>
              </w:rPr>
              <w:instrText xml:space="preserve"> PAGEREF _Toc166056430 \h </w:instrText>
            </w:r>
            <w:r w:rsidR="00DD096E">
              <w:rPr>
                <w:noProof/>
                <w:webHidden/>
              </w:rPr>
            </w:r>
            <w:r w:rsidR="00DD096E">
              <w:rPr>
                <w:noProof/>
                <w:webHidden/>
              </w:rPr>
              <w:fldChar w:fldCharType="separate"/>
            </w:r>
            <w:r w:rsidR="00773AAA">
              <w:rPr>
                <w:noProof/>
                <w:webHidden/>
              </w:rPr>
              <w:t>8</w:t>
            </w:r>
            <w:r w:rsidR="00DD096E">
              <w:rPr>
                <w:noProof/>
                <w:webHidden/>
              </w:rPr>
              <w:fldChar w:fldCharType="end"/>
            </w:r>
          </w:hyperlink>
        </w:p>
        <w:p w:rsidR="00DD096E" w:rsidRDefault="00B34F34" w14:paraId="0EAE0B2A" w14:textId="45A059F2">
          <w:pPr>
            <w:pStyle w:val="Innehll2"/>
            <w:tabs>
              <w:tab w:val="right" w:leader="dot" w:pos="8494"/>
            </w:tabs>
            <w:rPr>
              <w:rFonts w:eastAsiaTheme="minorEastAsia"/>
              <w:noProof/>
              <w:kern w:val="0"/>
              <w:sz w:val="22"/>
              <w:szCs w:val="22"/>
              <w:lang w:eastAsia="sv-SE"/>
              <w14:numSpacing w14:val="default"/>
            </w:rPr>
          </w:pPr>
          <w:hyperlink w:history="1" w:anchor="_Toc166056431">
            <w:r w:rsidRPr="00757F2C" w:rsidR="00DD096E">
              <w:rPr>
                <w:rStyle w:val="Hyperlnk"/>
                <w:noProof/>
              </w:rPr>
              <w:t>4.3 Ökad ojämlikhet</w:t>
            </w:r>
            <w:r w:rsidR="00DD096E">
              <w:rPr>
                <w:noProof/>
                <w:webHidden/>
              </w:rPr>
              <w:tab/>
            </w:r>
            <w:r w:rsidR="00DD096E">
              <w:rPr>
                <w:noProof/>
                <w:webHidden/>
              </w:rPr>
              <w:fldChar w:fldCharType="begin"/>
            </w:r>
            <w:r w:rsidR="00DD096E">
              <w:rPr>
                <w:noProof/>
                <w:webHidden/>
              </w:rPr>
              <w:instrText xml:space="preserve"> PAGEREF _Toc166056431 \h </w:instrText>
            </w:r>
            <w:r w:rsidR="00DD096E">
              <w:rPr>
                <w:noProof/>
                <w:webHidden/>
              </w:rPr>
            </w:r>
            <w:r w:rsidR="00DD096E">
              <w:rPr>
                <w:noProof/>
                <w:webHidden/>
              </w:rPr>
              <w:fldChar w:fldCharType="separate"/>
            </w:r>
            <w:r w:rsidR="00773AAA">
              <w:rPr>
                <w:noProof/>
                <w:webHidden/>
              </w:rPr>
              <w:t>10</w:t>
            </w:r>
            <w:r w:rsidR="00DD096E">
              <w:rPr>
                <w:noProof/>
                <w:webHidden/>
              </w:rPr>
              <w:fldChar w:fldCharType="end"/>
            </w:r>
          </w:hyperlink>
        </w:p>
        <w:p w:rsidR="00DD096E" w:rsidRDefault="00B34F34" w14:paraId="45EEF7BD" w14:textId="2FB342CE">
          <w:pPr>
            <w:pStyle w:val="Innehll2"/>
            <w:tabs>
              <w:tab w:val="right" w:leader="dot" w:pos="8494"/>
            </w:tabs>
            <w:rPr>
              <w:rFonts w:eastAsiaTheme="minorEastAsia"/>
              <w:noProof/>
              <w:kern w:val="0"/>
              <w:sz w:val="22"/>
              <w:szCs w:val="22"/>
              <w:lang w:eastAsia="sv-SE"/>
              <w14:numSpacing w14:val="default"/>
            </w:rPr>
          </w:pPr>
          <w:hyperlink w:history="1" w:anchor="_Toc166056432">
            <w:r w:rsidRPr="00757F2C" w:rsidR="00DD096E">
              <w:rPr>
                <w:rStyle w:val="Hyperlnk"/>
                <w:noProof/>
              </w:rPr>
              <w:t>4.4 Finanspolitiska överväganden</w:t>
            </w:r>
            <w:r w:rsidR="00DD096E">
              <w:rPr>
                <w:noProof/>
                <w:webHidden/>
              </w:rPr>
              <w:tab/>
            </w:r>
            <w:r w:rsidR="00DD096E">
              <w:rPr>
                <w:noProof/>
                <w:webHidden/>
              </w:rPr>
              <w:fldChar w:fldCharType="begin"/>
            </w:r>
            <w:r w:rsidR="00DD096E">
              <w:rPr>
                <w:noProof/>
                <w:webHidden/>
              </w:rPr>
              <w:instrText xml:space="preserve"> PAGEREF _Toc166056432 \h </w:instrText>
            </w:r>
            <w:r w:rsidR="00DD096E">
              <w:rPr>
                <w:noProof/>
                <w:webHidden/>
              </w:rPr>
            </w:r>
            <w:r w:rsidR="00DD096E">
              <w:rPr>
                <w:noProof/>
                <w:webHidden/>
              </w:rPr>
              <w:fldChar w:fldCharType="separate"/>
            </w:r>
            <w:r w:rsidR="00773AAA">
              <w:rPr>
                <w:noProof/>
                <w:webHidden/>
              </w:rPr>
              <w:t>12</w:t>
            </w:r>
            <w:r w:rsidR="00DD096E">
              <w:rPr>
                <w:noProof/>
                <w:webHidden/>
              </w:rPr>
              <w:fldChar w:fldCharType="end"/>
            </w:r>
          </w:hyperlink>
        </w:p>
        <w:p w:rsidR="00DD096E" w:rsidRDefault="00B34F34" w14:paraId="7BA2F150" w14:textId="1694479C">
          <w:pPr>
            <w:pStyle w:val="Innehll1"/>
            <w:tabs>
              <w:tab w:val="right" w:leader="dot" w:pos="8494"/>
            </w:tabs>
            <w:rPr>
              <w:rFonts w:eastAsiaTheme="minorEastAsia"/>
              <w:noProof/>
              <w:kern w:val="0"/>
              <w:sz w:val="22"/>
              <w:szCs w:val="22"/>
              <w:lang w:eastAsia="sv-SE"/>
              <w14:numSpacing w14:val="default"/>
            </w:rPr>
          </w:pPr>
          <w:hyperlink w:history="1" w:anchor="_Toc166056433">
            <w:r w:rsidRPr="00757F2C" w:rsidR="00DD096E">
              <w:rPr>
                <w:rStyle w:val="Hyperlnk"/>
                <w:noProof/>
              </w:rPr>
              <w:t>5 Regeringen kör berg- och dalbana med kommunsektorns finansiering</w:t>
            </w:r>
            <w:r w:rsidR="00DD096E">
              <w:rPr>
                <w:noProof/>
                <w:webHidden/>
              </w:rPr>
              <w:tab/>
            </w:r>
            <w:r w:rsidR="00DD096E">
              <w:rPr>
                <w:noProof/>
                <w:webHidden/>
              </w:rPr>
              <w:fldChar w:fldCharType="begin"/>
            </w:r>
            <w:r w:rsidR="00DD096E">
              <w:rPr>
                <w:noProof/>
                <w:webHidden/>
              </w:rPr>
              <w:instrText xml:space="preserve"> PAGEREF _Toc166056433 \h </w:instrText>
            </w:r>
            <w:r w:rsidR="00DD096E">
              <w:rPr>
                <w:noProof/>
                <w:webHidden/>
              </w:rPr>
            </w:r>
            <w:r w:rsidR="00DD096E">
              <w:rPr>
                <w:noProof/>
                <w:webHidden/>
              </w:rPr>
              <w:fldChar w:fldCharType="separate"/>
            </w:r>
            <w:r w:rsidR="00773AAA">
              <w:rPr>
                <w:noProof/>
                <w:webHidden/>
              </w:rPr>
              <w:t>12</w:t>
            </w:r>
            <w:r w:rsidR="00DD096E">
              <w:rPr>
                <w:noProof/>
                <w:webHidden/>
              </w:rPr>
              <w:fldChar w:fldCharType="end"/>
            </w:r>
          </w:hyperlink>
        </w:p>
        <w:p w:rsidR="00DD096E" w:rsidRDefault="00B34F34" w14:paraId="35107A3B" w14:textId="20BF4416">
          <w:pPr>
            <w:pStyle w:val="Innehll2"/>
            <w:tabs>
              <w:tab w:val="right" w:leader="dot" w:pos="8494"/>
            </w:tabs>
            <w:rPr>
              <w:rFonts w:eastAsiaTheme="minorEastAsia"/>
              <w:noProof/>
              <w:kern w:val="0"/>
              <w:sz w:val="22"/>
              <w:szCs w:val="22"/>
              <w:lang w:eastAsia="sv-SE"/>
              <w14:numSpacing w14:val="default"/>
            </w:rPr>
          </w:pPr>
          <w:hyperlink w:history="1" w:anchor="_Toc166056434">
            <w:r w:rsidRPr="00757F2C" w:rsidR="00DD096E">
              <w:rPr>
                <w:rStyle w:val="Hyperlnk"/>
                <w:noProof/>
              </w:rPr>
              <w:t>5.1 Regionerna gjorde stora underskott 2023</w:t>
            </w:r>
            <w:r w:rsidR="00DD096E">
              <w:rPr>
                <w:noProof/>
                <w:webHidden/>
              </w:rPr>
              <w:tab/>
            </w:r>
            <w:r w:rsidR="00DD096E">
              <w:rPr>
                <w:noProof/>
                <w:webHidden/>
              </w:rPr>
              <w:fldChar w:fldCharType="begin"/>
            </w:r>
            <w:r w:rsidR="00DD096E">
              <w:rPr>
                <w:noProof/>
                <w:webHidden/>
              </w:rPr>
              <w:instrText xml:space="preserve"> PAGEREF _Toc166056434 \h </w:instrText>
            </w:r>
            <w:r w:rsidR="00DD096E">
              <w:rPr>
                <w:noProof/>
                <w:webHidden/>
              </w:rPr>
            </w:r>
            <w:r w:rsidR="00DD096E">
              <w:rPr>
                <w:noProof/>
                <w:webHidden/>
              </w:rPr>
              <w:fldChar w:fldCharType="separate"/>
            </w:r>
            <w:r w:rsidR="00773AAA">
              <w:rPr>
                <w:noProof/>
                <w:webHidden/>
              </w:rPr>
              <w:t>14</w:t>
            </w:r>
            <w:r w:rsidR="00DD096E">
              <w:rPr>
                <w:noProof/>
                <w:webHidden/>
              </w:rPr>
              <w:fldChar w:fldCharType="end"/>
            </w:r>
          </w:hyperlink>
        </w:p>
        <w:p w:rsidR="00DD096E" w:rsidRDefault="00B34F34" w14:paraId="542E0020" w14:textId="03D968D2">
          <w:pPr>
            <w:pStyle w:val="Innehll2"/>
            <w:tabs>
              <w:tab w:val="right" w:leader="dot" w:pos="8494"/>
            </w:tabs>
            <w:rPr>
              <w:rFonts w:eastAsiaTheme="minorEastAsia"/>
              <w:noProof/>
              <w:kern w:val="0"/>
              <w:sz w:val="22"/>
              <w:szCs w:val="22"/>
              <w:lang w:eastAsia="sv-SE"/>
              <w14:numSpacing w14:val="default"/>
            </w:rPr>
          </w:pPr>
          <w:hyperlink w:history="1" w:anchor="_Toc166056435">
            <w:r w:rsidRPr="00757F2C" w:rsidR="00DD096E">
              <w:rPr>
                <w:rStyle w:val="Hyperlnk"/>
                <w:noProof/>
              </w:rPr>
              <w:t>5.2 … och 2024 blir ännu sämre</w:t>
            </w:r>
            <w:r w:rsidR="00DD096E">
              <w:rPr>
                <w:noProof/>
                <w:webHidden/>
              </w:rPr>
              <w:tab/>
            </w:r>
            <w:r w:rsidR="00DD096E">
              <w:rPr>
                <w:noProof/>
                <w:webHidden/>
              </w:rPr>
              <w:fldChar w:fldCharType="begin"/>
            </w:r>
            <w:r w:rsidR="00DD096E">
              <w:rPr>
                <w:noProof/>
                <w:webHidden/>
              </w:rPr>
              <w:instrText xml:space="preserve"> PAGEREF _Toc166056435 \h </w:instrText>
            </w:r>
            <w:r w:rsidR="00DD096E">
              <w:rPr>
                <w:noProof/>
                <w:webHidden/>
              </w:rPr>
            </w:r>
            <w:r w:rsidR="00DD096E">
              <w:rPr>
                <w:noProof/>
                <w:webHidden/>
              </w:rPr>
              <w:fldChar w:fldCharType="separate"/>
            </w:r>
            <w:r w:rsidR="00773AAA">
              <w:rPr>
                <w:noProof/>
                <w:webHidden/>
              </w:rPr>
              <w:t>15</w:t>
            </w:r>
            <w:r w:rsidR="00DD096E">
              <w:rPr>
                <w:noProof/>
                <w:webHidden/>
              </w:rPr>
              <w:fldChar w:fldCharType="end"/>
            </w:r>
          </w:hyperlink>
        </w:p>
        <w:p w:rsidR="00DD096E" w:rsidRDefault="00B34F34" w14:paraId="03C7AB8A" w14:textId="51A8F035">
          <w:pPr>
            <w:pStyle w:val="Innehll2"/>
            <w:tabs>
              <w:tab w:val="right" w:leader="dot" w:pos="8494"/>
            </w:tabs>
            <w:rPr>
              <w:rFonts w:eastAsiaTheme="minorEastAsia"/>
              <w:noProof/>
              <w:kern w:val="0"/>
              <w:sz w:val="22"/>
              <w:szCs w:val="22"/>
              <w:lang w:eastAsia="sv-SE"/>
              <w14:numSpacing w14:val="default"/>
            </w:rPr>
          </w:pPr>
          <w:hyperlink w:history="1" w:anchor="_Toc166056436">
            <w:r w:rsidRPr="00757F2C" w:rsidR="00DD096E">
              <w:rPr>
                <w:rStyle w:val="Hyperlnk"/>
                <w:noProof/>
              </w:rPr>
              <w:t>5.3 Personalen måste bli fler, inte färre</w:t>
            </w:r>
            <w:r w:rsidR="00DD096E">
              <w:rPr>
                <w:noProof/>
                <w:webHidden/>
              </w:rPr>
              <w:tab/>
            </w:r>
            <w:r w:rsidR="00DD096E">
              <w:rPr>
                <w:noProof/>
                <w:webHidden/>
              </w:rPr>
              <w:fldChar w:fldCharType="begin"/>
            </w:r>
            <w:r w:rsidR="00DD096E">
              <w:rPr>
                <w:noProof/>
                <w:webHidden/>
              </w:rPr>
              <w:instrText xml:space="preserve"> PAGEREF _Toc166056436 \h </w:instrText>
            </w:r>
            <w:r w:rsidR="00DD096E">
              <w:rPr>
                <w:noProof/>
                <w:webHidden/>
              </w:rPr>
            </w:r>
            <w:r w:rsidR="00DD096E">
              <w:rPr>
                <w:noProof/>
                <w:webHidden/>
              </w:rPr>
              <w:fldChar w:fldCharType="separate"/>
            </w:r>
            <w:r w:rsidR="00773AAA">
              <w:rPr>
                <w:noProof/>
                <w:webHidden/>
              </w:rPr>
              <w:t>16</w:t>
            </w:r>
            <w:r w:rsidR="00DD096E">
              <w:rPr>
                <w:noProof/>
                <w:webHidden/>
              </w:rPr>
              <w:fldChar w:fldCharType="end"/>
            </w:r>
          </w:hyperlink>
        </w:p>
        <w:p w:rsidR="00DD096E" w:rsidRDefault="00B34F34" w14:paraId="1E0C6D6E" w14:textId="16DFF9DC">
          <w:pPr>
            <w:pStyle w:val="Innehll2"/>
            <w:tabs>
              <w:tab w:val="right" w:leader="dot" w:pos="8494"/>
            </w:tabs>
            <w:rPr>
              <w:rFonts w:eastAsiaTheme="minorEastAsia"/>
              <w:noProof/>
              <w:kern w:val="0"/>
              <w:sz w:val="22"/>
              <w:szCs w:val="22"/>
              <w:lang w:eastAsia="sv-SE"/>
              <w14:numSpacing w14:val="default"/>
            </w:rPr>
          </w:pPr>
          <w:hyperlink w:history="1" w:anchor="_Toc166056437">
            <w:r w:rsidRPr="00757F2C" w:rsidR="00DD096E">
              <w:rPr>
                <w:rStyle w:val="Hyperlnk"/>
                <w:noProof/>
              </w:rPr>
              <w:t>5.4 Förslag på stopp för hyrpersonal i vården</w:t>
            </w:r>
            <w:r w:rsidR="00DD096E">
              <w:rPr>
                <w:noProof/>
                <w:webHidden/>
              </w:rPr>
              <w:tab/>
            </w:r>
            <w:r w:rsidR="00DD096E">
              <w:rPr>
                <w:noProof/>
                <w:webHidden/>
              </w:rPr>
              <w:fldChar w:fldCharType="begin"/>
            </w:r>
            <w:r w:rsidR="00DD096E">
              <w:rPr>
                <w:noProof/>
                <w:webHidden/>
              </w:rPr>
              <w:instrText xml:space="preserve"> PAGEREF _Toc166056437 \h </w:instrText>
            </w:r>
            <w:r w:rsidR="00DD096E">
              <w:rPr>
                <w:noProof/>
                <w:webHidden/>
              </w:rPr>
            </w:r>
            <w:r w:rsidR="00DD096E">
              <w:rPr>
                <w:noProof/>
                <w:webHidden/>
              </w:rPr>
              <w:fldChar w:fldCharType="separate"/>
            </w:r>
            <w:r w:rsidR="00773AAA">
              <w:rPr>
                <w:noProof/>
                <w:webHidden/>
              </w:rPr>
              <w:t>18</w:t>
            </w:r>
            <w:r w:rsidR="00DD096E">
              <w:rPr>
                <w:noProof/>
                <w:webHidden/>
              </w:rPr>
              <w:fldChar w:fldCharType="end"/>
            </w:r>
          </w:hyperlink>
        </w:p>
        <w:p w:rsidR="00DD096E" w:rsidRDefault="00B34F34" w14:paraId="5DCED373" w14:textId="55579567">
          <w:pPr>
            <w:pStyle w:val="Innehll1"/>
            <w:tabs>
              <w:tab w:val="right" w:leader="dot" w:pos="8494"/>
            </w:tabs>
            <w:rPr>
              <w:rFonts w:eastAsiaTheme="minorEastAsia"/>
              <w:noProof/>
              <w:kern w:val="0"/>
              <w:sz w:val="22"/>
              <w:szCs w:val="22"/>
              <w:lang w:eastAsia="sv-SE"/>
              <w14:numSpacing w14:val="default"/>
            </w:rPr>
          </w:pPr>
          <w:hyperlink w:history="1" w:anchor="_Toc166056438">
            <w:r w:rsidRPr="00757F2C" w:rsidR="00DD096E">
              <w:rPr>
                <w:rStyle w:val="Hyperlnk"/>
                <w:noProof/>
              </w:rPr>
              <w:t>6 Byggkrisen</w:t>
            </w:r>
            <w:r w:rsidR="00DD096E">
              <w:rPr>
                <w:noProof/>
                <w:webHidden/>
              </w:rPr>
              <w:tab/>
            </w:r>
            <w:r w:rsidR="00DD096E">
              <w:rPr>
                <w:noProof/>
                <w:webHidden/>
              </w:rPr>
              <w:fldChar w:fldCharType="begin"/>
            </w:r>
            <w:r w:rsidR="00DD096E">
              <w:rPr>
                <w:noProof/>
                <w:webHidden/>
              </w:rPr>
              <w:instrText xml:space="preserve"> PAGEREF _Toc166056438 \h </w:instrText>
            </w:r>
            <w:r w:rsidR="00DD096E">
              <w:rPr>
                <w:noProof/>
                <w:webHidden/>
              </w:rPr>
            </w:r>
            <w:r w:rsidR="00DD096E">
              <w:rPr>
                <w:noProof/>
                <w:webHidden/>
              </w:rPr>
              <w:fldChar w:fldCharType="separate"/>
            </w:r>
            <w:r w:rsidR="00773AAA">
              <w:rPr>
                <w:noProof/>
                <w:webHidden/>
              </w:rPr>
              <w:t>20</w:t>
            </w:r>
            <w:r w:rsidR="00DD096E">
              <w:rPr>
                <w:noProof/>
                <w:webHidden/>
              </w:rPr>
              <w:fldChar w:fldCharType="end"/>
            </w:r>
          </w:hyperlink>
        </w:p>
        <w:p w:rsidR="00DD096E" w:rsidRDefault="00B34F34" w14:paraId="6292CF59" w14:textId="1A8E43D6">
          <w:pPr>
            <w:pStyle w:val="Innehll2"/>
            <w:tabs>
              <w:tab w:val="right" w:leader="dot" w:pos="8494"/>
            </w:tabs>
            <w:rPr>
              <w:rFonts w:eastAsiaTheme="minorEastAsia"/>
              <w:noProof/>
              <w:kern w:val="0"/>
              <w:sz w:val="22"/>
              <w:szCs w:val="22"/>
              <w:lang w:eastAsia="sv-SE"/>
              <w14:numSpacing w14:val="default"/>
            </w:rPr>
          </w:pPr>
          <w:hyperlink w:history="1" w:anchor="_Toc166056439">
            <w:r w:rsidRPr="00757F2C" w:rsidR="00DD096E">
              <w:rPr>
                <w:rStyle w:val="Hyperlnk"/>
                <w:noProof/>
              </w:rPr>
              <w:t>6.1 Stora investeringsbehov i kommunerna</w:t>
            </w:r>
            <w:r w:rsidR="00DD096E">
              <w:rPr>
                <w:noProof/>
                <w:webHidden/>
              </w:rPr>
              <w:tab/>
            </w:r>
            <w:r w:rsidR="00DD096E">
              <w:rPr>
                <w:noProof/>
                <w:webHidden/>
              </w:rPr>
              <w:fldChar w:fldCharType="begin"/>
            </w:r>
            <w:r w:rsidR="00DD096E">
              <w:rPr>
                <w:noProof/>
                <w:webHidden/>
              </w:rPr>
              <w:instrText xml:space="preserve"> PAGEREF _Toc166056439 \h </w:instrText>
            </w:r>
            <w:r w:rsidR="00DD096E">
              <w:rPr>
                <w:noProof/>
                <w:webHidden/>
              </w:rPr>
            </w:r>
            <w:r w:rsidR="00DD096E">
              <w:rPr>
                <w:noProof/>
                <w:webHidden/>
              </w:rPr>
              <w:fldChar w:fldCharType="separate"/>
            </w:r>
            <w:r w:rsidR="00773AAA">
              <w:rPr>
                <w:noProof/>
                <w:webHidden/>
              </w:rPr>
              <w:t>23</w:t>
            </w:r>
            <w:r w:rsidR="00DD096E">
              <w:rPr>
                <w:noProof/>
                <w:webHidden/>
              </w:rPr>
              <w:fldChar w:fldCharType="end"/>
            </w:r>
          </w:hyperlink>
        </w:p>
        <w:p w:rsidR="00DD096E" w:rsidRDefault="00B34F34" w14:paraId="35296ABD" w14:textId="42985749">
          <w:pPr>
            <w:pStyle w:val="Innehll2"/>
            <w:tabs>
              <w:tab w:val="right" w:leader="dot" w:pos="8494"/>
            </w:tabs>
            <w:rPr>
              <w:rFonts w:eastAsiaTheme="minorEastAsia"/>
              <w:noProof/>
              <w:kern w:val="0"/>
              <w:sz w:val="22"/>
              <w:szCs w:val="22"/>
              <w:lang w:eastAsia="sv-SE"/>
              <w14:numSpacing w14:val="default"/>
            </w:rPr>
          </w:pPr>
          <w:hyperlink w:history="1" w:anchor="_Toc166056440">
            <w:r w:rsidRPr="00757F2C" w:rsidR="00DD096E">
              <w:rPr>
                <w:rStyle w:val="Hyperlnk"/>
                <w:noProof/>
              </w:rPr>
              <w:t>6.2 Förslag: Sverigejobb</w:t>
            </w:r>
            <w:r w:rsidR="00DD096E">
              <w:rPr>
                <w:noProof/>
                <w:webHidden/>
              </w:rPr>
              <w:tab/>
            </w:r>
            <w:r w:rsidR="00DD096E">
              <w:rPr>
                <w:noProof/>
                <w:webHidden/>
              </w:rPr>
              <w:fldChar w:fldCharType="begin"/>
            </w:r>
            <w:r w:rsidR="00DD096E">
              <w:rPr>
                <w:noProof/>
                <w:webHidden/>
              </w:rPr>
              <w:instrText xml:space="preserve"> PAGEREF _Toc166056440 \h </w:instrText>
            </w:r>
            <w:r w:rsidR="00DD096E">
              <w:rPr>
                <w:noProof/>
                <w:webHidden/>
              </w:rPr>
            </w:r>
            <w:r w:rsidR="00DD096E">
              <w:rPr>
                <w:noProof/>
                <w:webHidden/>
              </w:rPr>
              <w:fldChar w:fldCharType="separate"/>
            </w:r>
            <w:r w:rsidR="00773AAA">
              <w:rPr>
                <w:noProof/>
                <w:webHidden/>
              </w:rPr>
              <w:t>24</w:t>
            </w:r>
            <w:r w:rsidR="00DD096E">
              <w:rPr>
                <w:noProof/>
                <w:webHidden/>
              </w:rPr>
              <w:fldChar w:fldCharType="end"/>
            </w:r>
          </w:hyperlink>
        </w:p>
        <w:p w:rsidR="00DD096E" w:rsidRDefault="00B34F34" w14:paraId="10F0B399" w14:textId="27D70724">
          <w:pPr>
            <w:pStyle w:val="Innehll1"/>
            <w:tabs>
              <w:tab w:val="right" w:leader="dot" w:pos="8494"/>
            </w:tabs>
            <w:rPr>
              <w:rFonts w:eastAsiaTheme="minorEastAsia"/>
              <w:noProof/>
              <w:kern w:val="0"/>
              <w:sz w:val="22"/>
              <w:szCs w:val="22"/>
              <w:lang w:eastAsia="sv-SE"/>
              <w14:numSpacing w14:val="default"/>
            </w:rPr>
          </w:pPr>
          <w:hyperlink w:history="1" w:anchor="_Toc166056441">
            <w:r w:rsidRPr="00757F2C" w:rsidR="00DD096E">
              <w:rPr>
                <w:rStyle w:val="Hyperlnk"/>
                <w:noProof/>
              </w:rPr>
              <w:t>7 Hushållskrisen har stadigt förvärrats</w:t>
            </w:r>
            <w:r w:rsidR="00DD096E">
              <w:rPr>
                <w:noProof/>
                <w:webHidden/>
              </w:rPr>
              <w:tab/>
            </w:r>
            <w:r w:rsidR="00DD096E">
              <w:rPr>
                <w:noProof/>
                <w:webHidden/>
              </w:rPr>
              <w:fldChar w:fldCharType="begin"/>
            </w:r>
            <w:r w:rsidR="00DD096E">
              <w:rPr>
                <w:noProof/>
                <w:webHidden/>
              </w:rPr>
              <w:instrText xml:space="preserve"> PAGEREF _Toc166056441 \h </w:instrText>
            </w:r>
            <w:r w:rsidR="00DD096E">
              <w:rPr>
                <w:noProof/>
                <w:webHidden/>
              </w:rPr>
            </w:r>
            <w:r w:rsidR="00DD096E">
              <w:rPr>
                <w:noProof/>
                <w:webHidden/>
              </w:rPr>
              <w:fldChar w:fldCharType="separate"/>
            </w:r>
            <w:r w:rsidR="00773AAA">
              <w:rPr>
                <w:noProof/>
                <w:webHidden/>
              </w:rPr>
              <w:t>25</w:t>
            </w:r>
            <w:r w:rsidR="00DD096E">
              <w:rPr>
                <w:noProof/>
                <w:webHidden/>
              </w:rPr>
              <w:fldChar w:fldCharType="end"/>
            </w:r>
          </w:hyperlink>
        </w:p>
        <w:p w:rsidR="00DD096E" w:rsidRDefault="00B34F34" w14:paraId="7D26AD60" w14:textId="49B6558E">
          <w:pPr>
            <w:pStyle w:val="Innehll2"/>
            <w:tabs>
              <w:tab w:val="right" w:leader="dot" w:pos="8494"/>
            </w:tabs>
            <w:rPr>
              <w:rFonts w:eastAsiaTheme="minorEastAsia"/>
              <w:noProof/>
              <w:kern w:val="0"/>
              <w:sz w:val="22"/>
              <w:szCs w:val="22"/>
              <w:lang w:eastAsia="sv-SE"/>
              <w14:numSpacing w14:val="default"/>
            </w:rPr>
          </w:pPr>
          <w:hyperlink w:history="1" w:anchor="_Toc166056442">
            <w:r w:rsidRPr="00757F2C" w:rsidR="00DD096E">
              <w:rPr>
                <w:rStyle w:val="Hyperlnk"/>
                <w:noProof/>
              </w:rPr>
              <w:t>7.1 Regeringens jobbskatteavdrag går till de välbeställda</w:t>
            </w:r>
            <w:r w:rsidR="00DD096E">
              <w:rPr>
                <w:noProof/>
                <w:webHidden/>
              </w:rPr>
              <w:tab/>
            </w:r>
            <w:r w:rsidR="00DD096E">
              <w:rPr>
                <w:noProof/>
                <w:webHidden/>
              </w:rPr>
              <w:fldChar w:fldCharType="begin"/>
            </w:r>
            <w:r w:rsidR="00DD096E">
              <w:rPr>
                <w:noProof/>
                <w:webHidden/>
              </w:rPr>
              <w:instrText xml:space="preserve"> PAGEREF _Toc166056442 \h </w:instrText>
            </w:r>
            <w:r w:rsidR="00DD096E">
              <w:rPr>
                <w:noProof/>
                <w:webHidden/>
              </w:rPr>
            </w:r>
            <w:r w:rsidR="00DD096E">
              <w:rPr>
                <w:noProof/>
                <w:webHidden/>
              </w:rPr>
              <w:fldChar w:fldCharType="separate"/>
            </w:r>
            <w:r w:rsidR="00773AAA">
              <w:rPr>
                <w:noProof/>
                <w:webHidden/>
              </w:rPr>
              <w:t>28</w:t>
            </w:r>
            <w:r w:rsidR="00DD096E">
              <w:rPr>
                <w:noProof/>
                <w:webHidden/>
              </w:rPr>
              <w:fldChar w:fldCharType="end"/>
            </w:r>
          </w:hyperlink>
        </w:p>
        <w:p w:rsidR="00DD096E" w:rsidRDefault="00B34F34" w14:paraId="4FD62FF0" w14:textId="206028DD">
          <w:pPr>
            <w:pStyle w:val="Innehll2"/>
            <w:tabs>
              <w:tab w:val="right" w:leader="dot" w:pos="8494"/>
            </w:tabs>
            <w:rPr>
              <w:rFonts w:eastAsiaTheme="minorEastAsia"/>
              <w:noProof/>
              <w:kern w:val="0"/>
              <w:sz w:val="22"/>
              <w:szCs w:val="22"/>
              <w:lang w:eastAsia="sv-SE"/>
              <w14:numSpacing w14:val="default"/>
            </w:rPr>
          </w:pPr>
          <w:hyperlink w:history="1" w:anchor="_Toc166056443">
            <w:r w:rsidRPr="00757F2C" w:rsidR="00DD096E">
              <w:rPr>
                <w:rStyle w:val="Hyperlnk"/>
                <w:noProof/>
              </w:rPr>
              <w:t>7.2 Förslag på avgiftsfri kollektivtrafik för unga på kvällar, helger och lov</w:t>
            </w:r>
            <w:r w:rsidR="00DD096E">
              <w:rPr>
                <w:noProof/>
                <w:webHidden/>
              </w:rPr>
              <w:tab/>
            </w:r>
            <w:r w:rsidR="00DD096E">
              <w:rPr>
                <w:noProof/>
                <w:webHidden/>
              </w:rPr>
              <w:fldChar w:fldCharType="begin"/>
            </w:r>
            <w:r w:rsidR="00DD096E">
              <w:rPr>
                <w:noProof/>
                <w:webHidden/>
              </w:rPr>
              <w:instrText xml:space="preserve"> PAGEREF _Toc166056443 \h </w:instrText>
            </w:r>
            <w:r w:rsidR="00DD096E">
              <w:rPr>
                <w:noProof/>
                <w:webHidden/>
              </w:rPr>
            </w:r>
            <w:r w:rsidR="00DD096E">
              <w:rPr>
                <w:noProof/>
                <w:webHidden/>
              </w:rPr>
              <w:fldChar w:fldCharType="separate"/>
            </w:r>
            <w:r w:rsidR="00773AAA">
              <w:rPr>
                <w:noProof/>
                <w:webHidden/>
              </w:rPr>
              <w:t>29</w:t>
            </w:r>
            <w:r w:rsidR="00DD096E">
              <w:rPr>
                <w:noProof/>
                <w:webHidden/>
              </w:rPr>
              <w:fldChar w:fldCharType="end"/>
            </w:r>
          </w:hyperlink>
        </w:p>
        <w:p w:rsidR="00DD096E" w:rsidRDefault="00B34F34" w14:paraId="66F9F1F6" w14:textId="2465EB4E">
          <w:pPr>
            <w:pStyle w:val="Innehll2"/>
            <w:tabs>
              <w:tab w:val="right" w:leader="dot" w:pos="8494"/>
            </w:tabs>
            <w:rPr>
              <w:rFonts w:eastAsiaTheme="minorEastAsia"/>
              <w:noProof/>
              <w:kern w:val="0"/>
              <w:sz w:val="22"/>
              <w:szCs w:val="22"/>
              <w:lang w:eastAsia="sv-SE"/>
              <w14:numSpacing w14:val="default"/>
            </w:rPr>
          </w:pPr>
          <w:hyperlink w:history="1" w:anchor="_Toc166056444">
            <w:r w:rsidRPr="00757F2C" w:rsidR="00DD096E">
              <w:rPr>
                <w:rStyle w:val="Hyperlnk"/>
                <w:noProof/>
              </w:rPr>
              <w:t>7.3 Förslag på skatt på övervinster i elnätsbolagen</w:t>
            </w:r>
            <w:r w:rsidR="00DD096E">
              <w:rPr>
                <w:noProof/>
                <w:webHidden/>
              </w:rPr>
              <w:tab/>
            </w:r>
            <w:r w:rsidR="00DD096E">
              <w:rPr>
                <w:noProof/>
                <w:webHidden/>
              </w:rPr>
              <w:fldChar w:fldCharType="begin"/>
            </w:r>
            <w:r w:rsidR="00DD096E">
              <w:rPr>
                <w:noProof/>
                <w:webHidden/>
              </w:rPr>
              <w:instrText xml:space="preserve"> PAGEREF _Toc166056444 \h </w:instrText>
            </w:r>
            <w:r w:rsidR="00DD096E">
              <w:rPr>
                <w:noProof/>
                <w:webHidden/>
              </w:rPr>
            </w:r>
            <w:r w:rsidR="00DD096E">
              <w:rPr>
                <w:noProof/>
                <w:webHidden/>
              </w:rPr>
              <w:fldChar w:fldCharType="separate"/>
            </w:r>
            <w:r w:rsidR="00773AAA">
              <w:rPr>
                <w:noProof/>
                <w:webHidden/>
              </w:rPr>
              <w:t>30</w:t>
            </w:r>
            <w:r w:rsidR="00DD096E">
              <w:rPr>
                <w:noProof/>
                <w:webHidden/>
              </w:rPr>
              <w:fldChar w:fldCharType="end"/>
            </w:r>
          </w:hyperlink>
        </w:p>
        <w:p w:rsidR="00DD096E" w:rsidRDefault="00B34F34" w14:paraId="1DC45A2A" w14:textId="55B807C7">
          <w:pPr>
            <w:pStyle w:val="Innehll1"/>
            <w:tabs>
              <w:tab w:val="right" w:leader="dot" w:pos="8494"/>
            </w:tabs>
            <w:rPr>
              <w:rFonts w:eastAsiaTheme="minorEastAsia"/>
              <w:noProof/>
              <w:kern w:val="0"/>
              <w:sz w:val="22"/>
              <w:szCs w:val="22"/>
              <w:lang w:eastAsia="sv-SE"/>
              <w14:numSpacing w14:val="default"/>
            </w:rPr>
          </w:pPr>
          <w:hyperlink w:history="1" w:anchor="_Toc166056445">
            <w:r w:rsidRPr="00757F2C" w:rsidR="00DD096E">
              <w:rPr>
                <w:rStyle w:val="Hyperlnk"/>
                <w:noProof/>
              </w:rPr>
              <w:t>8 Klimatomställningen och behovet av ett reformerat ramverk</w:t>
            </w:r>
            <w:r w:rsidR="00DD096E">
              <w:rPr>
                <w:noProof/>
                <w:webHidden/>
              </w:rPr>
              <w:tab/>
            </w:r>
            <w:r w:rsidR="00DD096E">
              <w:rPr>
                <w:noProof/>
                <w:webHidden/>
              </w:rPr>
              <w:fldChar w:fldCharType="begin"/>
            </w:r>
            <w:r w:rsidR="00DD096E">
              <w:rPr>
                <w:noProof/>
                <w:webHidden/>
              </w:rPr>
              <w:instrText xml:space="preserve"> PAGEREF _Toc166056445 \h </w:instrText>
            </w:r>
            <w:r w:rsidR="00DD096E">
              <w:rPr>
                <w:noProof/>
                <w:webHidden/>
              </w:rPr>
            </w:r>
            <w:r w:rsidR="00DD096E">
              <w:rPr>
                <w:noProof/>
                <w:webHidden/>
              </w:rPr>
              <w:fldChar w:fldCharType="separate"/>
            </w:r>
            <w:r w:rsidR="00773AAA">
              <w:rPr>
                <w:noProof/>
                <w:webHidden/>
              </w:rPr>
              <w:t>33</w:t>
            </w:r>
            <w:r w:rsidR="00DD096E">
              <w:rPr>
                <w:noProof/>
                <w:webHidden/>
              </w:rPr>
              <w:fldChar w:fldCharType="end"/>
            </w:r>
          </w:hyperlink>
        </w:p>
        <w:p w:rsidR="00DD096E" w:rsidRDefault="00B34F34" w14:paraId="10C3B109" w14:textId="132E16F0">
          <w:pPr>
            <w:pStyle w:val="Innehll2"/>
            <w:tabs>
              <w:tab w:val="right" w:leader="dot" w:pos="8494"/>
            </w:tabs>
            <w:rPr>
              <w:rFonts w:eastAsiaTheme="minorEastAsia"/>
              <w:noProof/>
              <w:kern w:val="0"/>
              <w:sz w:val="22"/>
              <w:szCs w:val="22"/>
              <w:lang w:eastAsia="sv-SE"/>
              <w14:numSpacing w14:val="default"/>
            </w:rPr>
          </w:pPr>
          <w:hyperlink w:history="1" w:anchor="_Toc166056446">
            <w:r w:rsidRPr="00757F2C" w:rsidR="00DD096E">
              <w:rPr>
                <w:rStyle w:val="Hyperlnk"/>
                <w:noProof/>
              </w:rPr>
              <w:t>8.1 Ett ramverk för ett rikare Sverige</w:t>
            </w:r>
            <w:r w:rsidR="00DD096E">
              <w:rPr>
                <w:noProof/>
                <w:webHidden/>
              </w:rPr>
              <w:tab/>
            </w:r>
            <w:r w:rsidR="00DD096E">
              <w:rPr>
                <w:noProof/>
                <w:webHidden/>
              </w:rPr>
              <w:fldChar w:fldCharType="begin"/>
            </w:r>
            <w:r w:rsidR="00DD096E">
              <w:rPr>
                <w:noProof/>
                <w:webHidden/>
              </w:rPr>
              <w:instrText xml:space="preserve"> PAGEREF _Toc166056446 \h </w:instrText>
            </w:r>
            <w:r w:rsidR="00DD096E">
              <w:rPr>
                <w:noProof/>
                <w:webHidden/>
              </w:rPr>
            </w:r>
            <w:r w:rsidR="00DD096E">
              <w:rPr>
                <w:noProof/>
                <w:webHidden/>
              </w:rPr>
              <w:fldChar w:fldCharType="separate"/>
            </w:r>
            <w:r w:rsidR="00773AAA">
              <w:rPr>
                <w:noProof/>
                <w:webHidden/>
              </w:rPr>
              <w:t>33</w:t>
            </w:r>
            <w:r w:rsidR="00DD096E">
              <w:rPr>
                <w:noProof/>
                <w:webHidden/>
              </w:rPr>
              <w:fldChar w:fldCharType="end"/>
            </w:r>
          </w:hyperlink>
        </w:p>
        <w:p w:rsidR="00DD096E" w:rsidRDefault="00B34F34" w14:paraId="3E6B6D74" w14:textId="742A5719">
          <w:pPr>
            <w:pStyle w:val="Innehll2"/>
            <w:tabs>
              <w:tab w:val="right" w:leader="dot" w:pos="8494"/>
            </w:tabs>
            <w:rPr>
              <w:rFonts w:eastAsiaTheme="minorEastAsia"/>
              <w:noProof/>
              <w:kern w:val="0"/>
              <w:sz w:val="22"/>
              <w:szCs w:val="22"/>
              <w:lang w:eastAsia="sv-SE"/>
              <w14:numSpacing w14:val="default"/>
            </w:rPr>
          </w:pPr>
          <w:hyperlink w:history="1" w:anchor="_Toc166056447">
            <w:r w:rsidRPr="00757F2C" w:rsidR="00DD096E">
              <w:rPr>
                <w:rStyle w:val="Hyperlnk"/>
                <w:noProof/>
              </w:rPr>
              <w:t>8.2 Nytt mål för de offentliga finanserna</w:t>
            </w:r>
            <w:r w:rsidR="00DD096E">
              <w:rPr>
                <w:noProof/>
                <w:webHidden/>
              </w:rPr>
              <w:tab/>
            </w:r>
            <w:r w:rsidR="00DD096E">
              <w:rPr>
                <w:noProof/>
                <w:webHidden/>
              </w:rPr>
              <w:fldChar w:fldCharType="begin"/>
            </w:r>
            <w:r w:rsidR="00DD096E">
              <w:rPr>
                <w:noProof/>
                <w:webHidden/>
              </w:rPr>
              <w:instrText xml:space="preserve"> PAGEREF _Toc166056447 \h </w:instrText>
            </w:r>
            <w:r w:rsidR="00DD096E">
              <w:rPr>
                <w:noProof/>
                <w:webHidden/>
              </w:rPr>
            </w:r>
            <w:r w:rsidR="00DD096E">
              <w:rPr>
                <w:noProof/>
                <w:webHidden/>
              </w:rPr>
              <w:fldChar w:fldCharType="separate"/>
            </w:r>
            <w:r w:rsidR="00773AAA">
              <w:rPr>
                <w:noProof/>
                <w:webHidden/>
              </w:rPr>
              <w:t>34</w:t>
            </w:r>
            <w:r w:rsidR="00DD096E">
              <w:rPr>
                <w:noProof/>
                <w:webHidden/>
              </w:rPr>
              <w:fldChar w:fldCharType="end"/>
            </w:r>
          </w:hyperlink>
        </w:p>
        <w:p w:rsidR="00DD096E" w:rsidRDefault="00B34F34" w14:paraId="3A52C40C" w14:textId="42D77DE6">
          <w:pPr>
            <w:pStyle w:val="Innehll2"/>
            <w:tabs>
              <w:tab w:val="right" w:leader="dot" w:pos="8494"/>
            </w:tabs>
            <w:rPr>
              <w:rFonts w:eastAsiaTheme="minorEastAsia"/>
              <w:noProof/>
              <w:kern w:val="0"/>
              <w:sz w:val="22"/>
              <w:szCs w:val="22"/>
              <w:lang w:eastAsia="sv-SE"/>
              <w14:numSpacing w14:val="default"/>
            </w:rPr>
          </w:pPr>
          <w:hyperlink w:history="1" w:anchor="_Toc166056448">
            <w:r w:rsidRPr="00757F2C" w:rsidR="00DD096E">
              <w:rPr>
                <w:rStyle w:val="Hyperlnk"/>
                <w:noProof/>
              </w:rPr>
              <w:t>8.3 Höj nivån på skuldankaret</w:t>
            </w:r>
            <w:r w:rsidR="00DD096E">
              <w:rPr>
                <w:noProof/>
                <w:webHidden/>
              </w:rPr>
              <w:tab/>
            </w:r>
            <w:r w:rsidR="00DD096E">
              <w:rPr>
                <w:noProof/>
                <w:webHidden/>
              </w:rPr>
              <w:fldChar w:fldCharType="begin"/>
            </w:r>
            <w:r w:rsidR="00DD096E">
              <w:rPr>
                <w:noProof/>
                <w:webHidden/>
              </w:rPr>
              <w:instrText xml:space="preserve"> PAGEREF _Toc166056448 \h </w:instrText>
            </w:r>
            <w:r w:rsidR="00DD096E">
              <w:rPr>
                <w:noProof/>
                <w:webHidden/>
              </w:rPr>
            </w:r>
            <w:r w:rsidR="00DD096E">
              <w:rPr>
                <w:noProof/>
                <w:webHidden/>
              </w:rPr>
              <w:fldChar w:fldCharType="separate"/>
            </w:r>
            <w:r w:rsidR="00773AAA">
              <w:rPr>
                <w:noProof/>
                <w:webHidden/>
              </w:rPr>
              <w:t>35</w:t>
            </w:r>
            <w:r w:rsidR="00DD096E">
              <w:rPr>
                <w:noProof/>
                <w:webHidden/>
              </w:rPr>
              <w:fldChar w:fldCharType="end"/>
            </w:r>
          </w:hyperlink>
        </w:p>
        <w:p w:rsidR="00DD096E" w:rsidRDefault="00B34F34" w14:paraId="1437D016" w14:textId="40BB5DA2">
          <w:pPr>
            <w:pStyle w:val="Innehll2"/>
            <w:tabs>
              <w:tab w:val="right" w:leader="dot" w:pos="8494"/>
            </w:tabs>
            <w:rPr>
              <w:rFonts w:eastAsiaTheme="minorEastAsia"/>
              <w:noProof/>
              <w:kern w:val="0"/>
              <w:sz w:val="22"/>
              <w:szCs w:val="22"/>
              <w:lang w:eastAsia="sv-SE"/>
              <w14:numSpacing w14:val="default"/>
            </w:rPr>
          </w:pPr>
          <w:hyperlink w:history="1" w:anchor="_Toc166056449">
            <w:r w:rsidRPr="00757F2C" w:rsidR="00DD096E">
              <w:rPr>
                <w:rStyle w:val="Hyperlnk"/>
                <w:noProof/>
              </w:rPr>
              <w:t>8.4 Inkomstgolv</w:t>
            </w:r>
            <w:r w:rsidR="00DD096E">
              <w:rPr>
                <w:noProof/>
                <w:webHidden/>
              </w:rPr>
              <w:tab/>
            </w:r>
            <w:r w:rsidR="00DD096E">
              <w:rPr>
                <w:noProof/>
                <w:webHidden/>
              </w:rPr>
              <w:fldChar w:fldCharType="begin"/>
            </w:r>
            <w:r w:rsidR="00DD096E">
              <w:rPr>
                <w:noProof/>
                <w:webHidden/>
              </w:rPr>
              <w:instrText xml:space="preserve"> PAGEREF _Toc166056449 \h </w:instrText>
            </w:r>
            <w:r w:rsidR="00DD096E">
              <w:rPr>
                <w:noProof/>
                <w:webHidden/>
              </w:rPr>
            </w:r>
            <w:r w:rsidR="00DD096E">
              <w:rPr>
                <w:noProof/>
                <w:webHidden/>
              </w:rPr>
              <w:fldChar w:fldCharType="separate"/>
            </w:r>
            <w:r w:rsidR="00773AAA">
              <w:rPr>
                <w:noProof/>
                <w:webHidden/>
              </w:rPr>
              <w:t>36</w:t>
            </w:r>
            <w:r w:rsidR="00DD096E">
              <w:rPr>
                <w:noProof/>
                <w:webHidden/>
              </w:rPr>
              <w:fldChar w:fldCharType="end"/>
            </w:r>
          </w:hyperlink>
        </w:p>
        <w:p w:rsidR="00DD096E" w:rsidRDefault="00B34F34" w14:paraId="3C3699A9" w14:textId="5C867139">
          <w:pPr>
            <w:pStyle w:val="Innehll2"/>
            <w:tabs>
              <w:tab w:val="right" w:leader="dot" w:pos="8494"/>
            </w:tabs>
            <w:rPr>
              <w:rFonts w:eastAsiaTheme="minorEastAsia"/>
              <w:noProof/>
              <w:kern w:val="0"/>
              <w:sz w:val="22"/>
              <w:szCs w:val="22"/>
              <w:lang w:eastAsia="sv-SE"/>
              <w14:numSpacing w14:val="default"/>
            </w:rPr>
          </w:pPr>
          <w:hyperlink w:history="1" w:anchor="_Toc166056450">
            <w:r w:rsidRPr="00757F2C" w:rsidR="00DD096E">
              <w:rPr>
                <w:rStyle w:val="Hyperlnk"/>
                <w:noProof/>
              </w:rPr>
              <w:t>8.5 Ökad transparens i budgetpolitiken</w:t>
            </w:r>
            <w:r w:rsidR="00DD096E">
              <w:rPr>
                <w:noProof/>
                <w:webHidden/>
              </w:rPr>
              <w:tab/>
            </w:r>
            <w:r w:rsidR="00DD096E">
              <w:rPr>
                <w:noProof/>
                <w:webHidden/>
              </w:rPr>
              <w:fldChar w:fldCharType="begin"/>
            </w:r>
            <w:r w:rsidR="00DD096E">
              <w:rPr>
                <w:noProof/>
                <w:webHidden/>
              </w:rPr>
              <w:instrText xml:space="preserve"> PAGEREF _Toc166056450 \h </w:instrText>
            </w:r>
            <w:r w:rsidR="00DD096E">
              <w:rPr>
                <w:noProof/>
                <w:webHidden/>
              </w:rPr>
            </w:r>
            <w:r w:rsidR="00DD096E">
              <w:rPr>
                <w:noProof/>
                <w:webHidden/>
              </w:rPr>
              <w:fldChar w:fldCharType="separate"/>
            </w:r>
            <w:r w:rsidR="00773AAA">
              <w:rPr>
                <w:noProof/>
                <w:webHidden/>
              </w:rPr>
              <w:t>37</w:t>
            </w:r>
            <w:r w:rsidR="00DD096E">
              <w:rPr>
                <w:noProof/>
                <w:webHidden/>
              </w:rPr>
              <w:fldChar w:fldCharType="end"/>
            </w:r>
          </w:hyperlink>
        </w:p>
        <w:p w:rsidR="00DD096E" w:rsidRDefault="00B34F34" w14:paraId="15B1AEAE" w14:textId="2A824B13">
          <w:pPr>
            <w:pStyle w:val="Innehll2"/>
            <w:tabs>
              <w:tab w:val="right" w:leader="dot" w:pos="8494"/>
            </w:tabs>
            <w:rPr>
              <w:rFonts w:eastAsiaTheme="minorEastAsia"/>
              <w:noProof/>
              <w:kern w:val="0"/>
              <w:sz w:val="22"/>
              <w:szCs w:val="22"/>
              <w:lang w:eastAsia="sv-SE"/>
              <w14:numSpacing w14:val="default"/>
            </w:rPr>
          </w:pPr>
          <w:hyperlink w:history="1" w:anchor="_Toc166056451">
            <w:r w:rsidRPr="00757F2C" w:rsidR="00DD096E">
              <w:rPr>
                <w:rStyle w:val="Hyperlnk"/>
                <w:noProof/>
              </w:rPr>
              <w:t>8.6 Realekonomiska mål bör komplettera de finansiella målen</w:t>
            </w:r>
            <w:r w:rsidR="00DD096E">
              <w:rPr>
                <w:noProof/>
                <w:webHidden/>
              </w:rPr>
              <w:tab/>
            </w:r>
            <w:r w:rsidR="00DD096E">
              <w:rPr>
                <w:noProof/>
                <w:webHidden/>
              </w:rPr>
              <w:fldChar w:fldCharType="begin"/>
            </w:r>
            <w:r w:rsidR="00DD096E">
              <w:rPr>
                <w:noProof/>
                <w:webHidden/>
              </w:rPr>
              <w:instrText xml:space="preserve"> PAGEREF _Toc166056451 \h </w:instrText>
            </w:r>
            <w:r w:rsidR="00DD096E">
              <w:rPr>
                <w:noProof/>
                <w:webHidden/>
              </w:rPr>
            </w:r>
            <w:r w:rsidR="00DD096E">
              <w:rPr>
                <w:noProof/>
                <w:webHidden/>
              </w:rPr>
              <w:fldChar w:fldCharType="separate"/>
            </w:r>
            <w:r w:rsidR="00773AAA">
              <w:rPr>
                <w:noProof/>
                <w:webHidden/>
              </w:rPr>
              <w:t>37</w:t>
            </w:r>
            <w:r w:rsidR="00DD096E">
              <w:rPr>
                <w:noProof/>
                <w:webHidden/>
              </w:rPr>
              <w:fldChar w:fldCharType="end"/>
            </w:r>
          </w:hyperlink>
        </w:p>
        <w:p w:rsidR="00DD096E" w:rsidRDefault="00B34F34" w14:paraId="5C870B39" w14:textId="7B595452">
          <w:pPr>
            <w:pStyle w:val="Innehll1"/>
            <w:tabs>
              <w:tab w:val="right" w:leader="dot" w:pos="8494"/>
            </w:tabs>
            <w:rPr>
              <w:rFonts w:eastAsiaTheme="minorEastAsia"/>
              <w:noProof/>
              <w:kern w:val="0"/>
              <w:sz w:val="22"/>
              <w:szCs w:val="22"/>
              <w:lang w:eastAsia="sv-SE"/>
              <w14:numSpacing w14:val="default"/>
            </w:rPr>
          </w:pPr>
          <w:hyperlink w:history="1" w:anchor="_Toc166056452">
            <w:r w:rsidRPr="00757F2C" w:rsidR="00DD096E">
              <w:rPr>
                <w:rStyle w:val="Hyperlnk"/>
                <w:noProof/>
              </w:rPr>
              <w:t>9 Vänsterpartiets syn på regeringens ekonomiska politik</w:t>
            </w:r>
            <w:r w:rsidR="00DD096E">
              <w:rPr>
                <w:noProof/>
                <w:webHidden/>
              </w:rPr>
              <w:tab/>
            </w:r>
            <w:r w:rsidR="00DD096E">
              <w:rPr>
                <w:noProof/>
                <w:webHidden/>
              </w:rPr>
              <w:fldChar w:fldCharType="begin"/>
            </w:r>
            <w:r w:rsidR="00DD096E">
              <w:rPr>
                <w:noProof/>
                <w:webHidden/>
              </w:rPr>
              <w:instrText xml:space="preserve"> PAGEREF _Toc166056452 \h </w:instrText>
            </w:r>
            <w:r w:rsidR="00DD096E">
              <w:rPr>
                <w:noProof/>
                <w:webHidden/>
              </w:rPr>
            </w:r>
            <w:r w:rsidR="00DD096E">
              <w:rPr>
                <w:noProof/>
                <w:webHidden/>
              </w:rPr>
              <w:fldChar w:fldCharType="separate"/>
            </w:r>
            <w:r w:rsidR="00773AAA">
              <w:rPr>
                <w:noProof/>
                <w:webHidden/>
              </w:rPr>
              <w:t>38</w:t>
            </w:r>
            <w:r w:rsidR="00DD096E">
              <w:rPr>
                <w:noProof/>
                <w:webHidden/>
              </w:rPr>
              <w:fldChar w:fldCharType="end"/>
            </w:r>
          </w:hyperlink>
        </w:p>
        <w:p w:rsidR="00DD096E" w:rsidRDefault="00B34F34" w14:paraId="43C66485" w14:textId="45BC4A67">
          <w:pPr>
            <w:pStyle w:val="Innehll2"/>
            <w:tabs>
              <w:tab w:val="right" w:leader="dot" w:pos="8494"/>
            </w:tabs>
            <w:rPr>
              <w:rFonts w:eastAsiaTheme="minorEastAsia"/>
              <w:noProof/>
              <w:kern w:val="0"/>
              <w:sz w:val="22"/>
              <w:szCs w:val="22"/>
              <w:lang w:eastAsia="sv-SE"/>
              <w14:numSpacing w14:val="default"/>
            </w:rPr>
          </w:pPr>
          <w:hyperlink w:history="1" w:anchor="_Toc166056453">
            <w:r w:rsidRPr="00757F2C" w:rsidR="00DD096E">
              <w:rPr>
                <w:rStyle w:val="Hyperlnk"/>
                <w:noProof/>
              </w:rPr>
              <w:t>9.1 Välfärden är i stort behov av resurser</w:t>
            </w:r>
            <w:r w:rsidR="00DD096E">
              <w:rPr>
                <w:noProof/>
                <w:webHidden/>
              </w:rPr>
              <w:tab/>
            </w:r>
            <w:r w:rsidR="00DD096E">
              <w:rPr>
                <w:noProof/>
                <w:webHidden/>
              </w:rPr>
              <w:fldChar w:fldCharType="begin"/>
            </w:r>
            <w:r w:rsidR="00DD096E">
              <w:rPr>
                <w:noProof/>
                <w:webHidden/>
              </w:rPr>
              <w:instrText xml:space="preserve"> PAGEREF _Toc166056453 \h </w:instrText>
            </w:r>
            <w:r w:rsidR="00DD096E">
              <w:rPr>
                <w:noProof/>
                <w:webHidden/>
              </w:rPr>
            </w:r>
            <w:r w:rsidR="00DD096E">
              <w:rPr>
                <w:noProof/>
                <w:webHidden/>
              </w:rPr>
              <w:fldChar w:fldCharType="separate"/>
            </w:r>
            <w:r w:rsidR="00773AAA">
              <w:rPr>
                <w:noProof/>
                <w:webHidden/>
              </w:rPr>
              <w:t>38</w:t>
            </w:r>
            <w:r w:rsidR="00DD096E">
              <w:rPr>
                <w:noProof/>
                <w:webHidden/>
              </w:rPr>
              <w:fldChar w:fldCharType="end"/>
            </w:r>
          </w:hyperlink>
        </w:p>
        <w:p w:rsidR="00DD096E" w:rsidRDefault="00B34F34" w14:paraId="2D0B21DA" w14:textId="4468117A">
          <w:pPr>
            <w:pStyle w:val="Innehll2"/>
            <w:tabs>
              <w:tab w:val="right" w:leader="dot" w:pos="8494"/>
            </w:tabs>
            <w:rPr>
              <w:rFonts w:eastAsiaTheme="minorEastAsia"/>
              <w:noProof/>
              <w:kern w:val="0"/>
              <w:sz w:val="22"/>
              <w:szCs w:val="22"/>
              <w:lang w:eastAsia="sv-SE"/>
              <w14:numSpacing w14:val="default"/>
            </w:rPr>
          </w:pPr>
          <w:hyperlink w:history="1" w:anchor="_Toc166056454">
            <w:r w:rsidRPr="00757F2C" w:rsidR="00DD096E">
              <w:rPr>
                <w:rStyle w:val="Hyperlnk"/>
                <w:noProof/>
              </w:rPr>
              <w:t>9.2 Hushållen i krisen</w:t>
            </w:r>
            <w:r w:rsidR="00DD096E">
              <w:rPr>
                <w:noProof/>
                <w:webHidden/>
              </w:rPr>
              <w:tab/>
            </w:r>
            <w:r w:rsidR="00DD096E">
              <w:rPr>
                <w:noProof/>
                <w:webHidden/>
              </w:rPr>
              <w:fldChar w:fldCharType="begin"/>
            </w:r>
            <w:r w:rsidR="00DD096E">
              <w:rPr>
                <w:noProof/>
                <w:webHidden/>
              </w:rPr>
              <w:instrText xml:space="preserve"> PAGEREF _Toc166056454 \h </w:instrText>
            </w:r>
            <w:r w:rsidR="00DD096E">
              <w:rPr>
                <w:noProof/>
                <w:webHidden/>
              </w:rPr>
            </w:r>
            <w:r w:rsidR="00DD096E">
              <w:rPr>
                <w:noProof/>
                <w:webHidden/>
              </w:rPr>
              <w:fldChar w:fldCharType="separate"/>
            </w:r>
            <w:r w:rsidR="00773AAA">
              <w:rPr>
                <w:noProof/>
                <w:webHidden/>
              </w:rPr>
              <w:t>39</w:t>
            </w:r>
            <w:r w:rsidR="00DD096E">
              <w:rPr>
                <w:noProof/>
                <w:webHidden/>
              </w:rPr>
              <w:fldChar w:fldCharType="end"/>
            </w:r>
          </w:hyperlink>
        </w:p>
        <w:p w:rsidR="00DD096E" w:rsidRDefault="00B34F34" w14:paraId="1F1E7260" w14:textId="1783FEEC">
          <w:pPr>
            <w:pStyle w:val="Innehll2"/>
            <w:tabs>
              <w:tab w:val="right" w:leader="dot" w:pos="8494"/>
            </w:tabs>
            <w:rPr>
              <w:rFonts w:eastAsiaTheme="minorEastAsia"/>
              <w:noProof/>
              <w:kern w:val="0"/>
              <w:sz w:val="22"/>
              <w:szCs w:val="22"/>
              <w:lang w:eastAsia="sv-SE"/>
              <w14:numSpacing w14:val="default"/>
            </w:rPr>
          </w:pPr>
          <w:hyperlink w:history="1" w:anchor="_Toc166056455">
            <w:r w:rsidRPr="00757F2C" w:rsidR="00DD096E">
              <w:rPr>
                <w:rStyle w:val="Hyperlnk"/>
                <w:noProof/>
              </w:rPr>
              <w:t>9.3 Arbetslösheten stiger, regeringen tiger still</w:t>
            </w:r>
            <w:r w:rsidR="00DD096E">
              <w:rPr>
                <w:noProof/>
                <w:webHidden/>
              </w:rPr>
              <w:tab/>
            </w:r>
            <w:r w:rsidR="00DD096E">
              <w:rPr>
                <w:noProof/>
                <w:webHidden/>
              </w:rPr>
              <w:fldChar w:fldCharType="begin"/>
            </w:r>
            <w:r w:rsidR="00DD096E">
              <w:rPr>
                <w:noProof/>
                <w:webHidden/>
              </w:rPr>
              <w:instrText xml:space="preserve"> PAGEREF _Toc166056455 \h </w:instrText>
            </w:r>
            <w:r w:rsidR="00DD096E">
              <w:rPr>
                <w:noProof/>
                <w:webHidden/>
              </w:rPr>
            </w:r>
            <w:r w:rsidR="00DD096E">
              <w:rPr>
                <w:noProof/>
                <w:webHidden/>
              </w:rPr>
              <w:fldChar w:fldCharType="separate"/>
            </w:r>
            <w:r w:rsidR="00773AAA">
              <w:rPr>
                <w:noProof/>
                <w:webHidden/>
              </w:rPr>
              <w:t>40</w:t>
            </w:r>
            <w:r w:rsidR="00DD096E">
              <w:rPr>
                <w:noProof/>
                <w:webHidden/>
              </w:rPr>
              <w:fldChar w:fldCharType="end"/>
            </w:r>
          </w:hyperlink>
        </w:p>
        <w:p w:rsidR="00DD096E" w:rsidRDefault="00B34F34" w14:paraId="6E169FF8" w14:textId="06307488">
          <w:pPr>
            <w:pStyle w:val="Innehll2"/>
            <w:tabs>
              <w:tab w:val="right" w:leader="dot" w:pos="8494"/>
            </w:tabs>
            <w:rPr>
              <w:rFonts w:eastAsiaTheme="minorEastAsia"/>
              <w:noProof/>
              <w:kern w:val="0"/>
              <w:sz w:val="22"/>
              <w:szCs w:val="22"/>
              <w:lang w:eastAsia="sv-SE"/>
              <w14:numSpacing w14:val="default"/>
            </w:rPr>
          </w:pPr>
          <w:hyperlink w:history="1" w:anchor="_Toc166056456">
            <w:r w:rsidRPr="00757F2C" w:rsidR="00DD096E">
              <w:rPr>
                <w:rStyle w:val="Hyperlnk"/>
                <w:noProof/>
              </w:rPr>
              <w:t>9.4 En katastrofal klimatpolitik</w:t>
            </w:r>
            <w:r w:rsidR="00DD096E">
              <w:rPr>
                <w:noProof/>
                <w:webHidden/>
              </w:rPr>
              <w:tab/>
            </w:r>
            <w:r w:rsidR="00DD096E">
              <w:rPr>
                <w:noProof/>
                <w:webHidden/>
              </w:rPr>
              <w:fldChar w:fldCharType="begin"/>
            </w:r>
            <w:r w:rsidR="00DD096E">
              <w:rPr>
                <w:noProof/>
                <w:webHidden/>
              </w:rPr>
              <w:instrText xml:space="preserve"> PAGEREF _Toc166056456 \h </w:instrText>
            </w:r>
            <w:r w:rsidR="00DD096E">
              <w:rPr>
                <w:noProof/>
                <w:webHidden/>
              </w:rPr>
            </w:r>
            <w:r w:rsidR="00DD096E">
              <w:rPr>
                <w:noProof/>
                <w:webHidden/>
              </w:rPr>
              <w:fldChar w:fldCharType="separate"/>
            </w:r>
            <w:r w:rsidR="00773AAA">
              <w:rPr>
                <w:noProof/>
                <w:webHidden/>
              </w:rPr>
              <w:t>41</w:t>
            </w:r>
            <w:r w:rsidR="00DD096E">
              <w:rPr>
                <w:noProof/>
                <w:webHidden/>
              </w:rPr>
              <w:fldChar w:fldCharType="end"/>
            </w:r>
          </w:hyperlink>
        </w:p>
        <w:p w:rsidR="00DD096E" w:rsidRDefault="00B34F34" w14:paraId="7503D7CA" w14:textId="77FCFC85">
          <w:pPr>
            <w:pStyle w:val="Innehll2"/>
            <w:tabs>
              <w:tab w:val="right" w:leader="dot" w:pos="8494"/>
            </w:tabs>
            <w:rPr>
              <w:rFonts w:eastAsiaTheme="minorEastAsia"/>
              <w:noProof/>
              <w:kern w:val="0"/>
              <w:sz w:val="22"/>
              <w:szCs w:val="22"/>
              <w:lang w:eastAsia="sv-SE"/>
              <w14:numSpacing w14:val="default"/>
            </w:rPr>
          </w:pPr>
          <w:hyperlink w:history="1" w:anchor="_Toc166056457">
            <w:r w:rsidRPr="00757F2C" w:rsidR="00DD096E">
              <w:rPr>
                <w:rStyle w:val="Hyperlnk"/>
                <w:noProof/>
              </w:rPr>
              <w:t>9.5 Sveriges bistånd och ansvar för att få stopp på kriget i Gaza</w:t>
            </w:r>
            <w:r w:rsidR="00DD096E">
              <w:rPr>
                <w:noProof/>
                <w:webHidden/>
              </w:rPr>
              <w:tab/>
            </w:r>
            <w:r w:rsidR="00DD096E">
              <w:rPr>
                <w:noProof/>
                <w:webHidden/>
              </w:rPr>
              <w:fldChar w:fldCharType="begin"/>
            </w:r>
            <w:r w:rsidR="00DD096E">
              <w:rPr>
                <w:noProof/>
                <w:webHidden/>
              </w:rPr>
              <w:instrText xml:space="preserve"> PAGEREF _Toc166056457 \h </w:instrText>
            </w:r>
            <w:r w:rsidR="00DD096E">
              <w:rPr>
                <w:noProof/>
                <w:webHidden/>
              </w:rPr>
            </w:r>
            <w:r w:rsidR="00DD096E">
              <w:rPr>
                <w:noProof/>
                <w:webHidden/>
              </w:rPr>
              <w:fldChar w:fldCharType="separate"/>
            </w:r>
            <w:r w:rsidR="00773AAA">
              <w:rPr>
                <w:noProof/>
                <w:webHidden/>
              </w:rPr>
              <w:t>42</w:t>
            </w:r>
            <w:r w:rsidR="00DD096E">
              <w:rPr>
                <w:noProof/>
                <w:webHidden/>
              </w:rPr>
              <w:fldChar w:fldCharType="end"/>
            </w:r>
          </w:hyperlink>
        </w:p>
        <w:p w:rsidR="00DD096E" w:rsidRDefault="00B34F34" w14:paraId="2F7A5366" w14:textId="14185025">
          <w:pPr>
            <w:pStyle w:val="Innehll1"/>
            <w:tabs>
              <w:tab w:val="right" w:leader="dot" w:pos="8494"/>
            </w:tabs>
            <w:rPr>
              <w:rFonts w:eastAsiaTheme="minorEastAsia"/>
              <w:noProof/>
              <w:kern w:val="0"/>
              <w:sz w:val="22"/>
              <w:szCs w:val="22"/>
              <w:lang w:eastAsia="sv-SE"/>
              <w14:numSpacing w14:val="default"/>
            </w:rPr>
          </w:pPr>
          <w:hyperlink w:history="1" w:anchor="_Toc166056458">
            <w:r w:rsidRPr="00757F2C" w:rsidR="00DD096E">
              <w:rPr>
                <w:rStyle w:val="Hyperlnk"/>
                <w:noProof/>
              </w:rPr>
              <w:t>10 Vänsterpartiets riktlinjer för den ekonomiska politiken</w:t>
            </w:r>
            <w:r w:rsidR="00DD096E">
              <w:rPr>
                <w:noProof/>
                <w:webHidden/>
              </w:rPr>
              <w:tab/>
            </w:r>
            <w:r w:rsidR="00DD096E">
              <w:rPr>
                <w:noProof/>
                <w:webHidden/>
              </w:rPr>
              <w:fldChar w:fldCharType="begin"/>
            </w:r>
            <w:r w:rsidR="00DD096E">
              <w:rPr>
                <w:noProof/>
                <w:webHidden/>
              </w:rPr>
              <w:instrText xml:space="preserve"> PAGEREF _Toc166056458 \h </w:instrText>
            </w:r>
            <w:r w:rsidR="00DD096E">
              <w:rPr>
                <w:noProof/>
                <w:webHidden/>
              </w:rPr>
            </w:r>
            <w:r w:rsidR="00DD096E">
              <w:rPr>
                <w:noProof/>
                <w:webHidden/>
              </w:rPr>
              <w:fldChar w:fldCharType="separate"/>
            </w:r>
            <w:r w:rsidR="00773AAA">
              <w:rPr>
                <w:noProof/>
                <w:webHidden/>
              </w:rPr>
              <w:t>43</w:t>
            </w:r>
            <w:r w:rsidR="00DD096E">
              <w:rPr>
                <w:noProof/>
                <w:webHidden/>
              </w:rPr>
              <w:fldChar w:fldCharType="end"/>
            </w:r>
          </w:hyperlink>
        </w:p>
        <w:p w:rsidR="00DD096E" w:rsidRDefault="00B34F34" w14:paraId="02DE4301" w14:textId="606EA536">
          <w:pPr>
            <w:pStyle w:val="Innehll2"/>
            <w:tabs>
              <w:tab w:val="right" w:leader="dot" w:pos="8494"/>
            </w:tabs>
            <w:rPr>
              <w:rFonts w:eastAsiaTheme="minorEastAsia"/>
              <w:noProof/>
              <w:kern w:val="0"/>
              <w:sz w:val="22"/>
              <w:szCs w:val="22"/>
              <w:lang w:eastAsia="sv-SE"/>
              <w14:numSpacing w14:val="default"/>
            </w:rPr>
          </w:pPr>
          <w:hyperlink w:history="1" w:anchor="_Toc166056459">
            <w:r w:rsidRPr="00757F2C" w:rsidR="00DD096E">
              <w:rPr>
                <w:rStyle w:val="Hyperlnk"/>
                <w:noProof/>
              </w:rPr>
              <w:t>10.1 Den svenska modellen</w:t>
            </w:r>
            <w:r w:rsidR="00DD096E">
              <w:rPr>
                <w:noProof/>
                <w:webHidden/>
              </w:rPr>
              <w:tab/>
            </w:r>
            <w:r w:rsidR="00DD096E">
              <w:rPr>
                <w:noProof/>
                <w:webHidden/>
              </w:rPr>
              <w:fldChar w:fldCharType="begin"/>
            </w:r>
            <w:r w:rsidR="00DD096E">
              <w:rPr>
                <w:noProof/>
                <w:webHidden/>
              </w:rPr>
              <w:instrText xml:space="preserve"> PAGEREF _Toc166056459 \h </w:instrText>
            </w:r>
            <w:r w:rsidR="00DD096E">
              <w:rPr>
                <w:noProof/>
                <w:webHidden/>
              </w:rPr>
            </w:r>
            <w:r w:rsidR="00DD096E">
              <w:rPr>
                <w:noProof/>
                <w:webHidden/>
              </w:rPr>
              <w:fldChar w:fldCharType="separate"/>
            </w:r>
            <w:r w:rsidR="00773AAA">
              <w:rPr>
                <w:noProof/>
                <w:webHidden/>
              </w:rPr>
              <w:t>43</w:t>
            </w:r>
            <w:r w:rsidR="00DD096E">
              <w:rPr>
                <w:noProof/>
                <w:webHidden/>
              </w:rPr>
              <w:fldChar w:fldCharType="end"/>
            </w:r>
          </w:hyperlink>
        </w:p>
        <w:p w:rsidR="00DD096E" w:rsidRDefault="00B34F34" w14:paraId="23BD33C3" w14:textId="315F74C1">
          <w:pPr>
            <w:pStyle w:val="Innehll2"/>
            <w:tabs>
              <w:tab w:val="right" w:leader="dot" w:pos="8494"/>
            </w:tabs>
            <w:rPr>
              <w:rFonts w:eastAsiaTheme="minorEastAsia"/>
              <w:noProof/>
              <w:kern w:val="0"/>
              <w:sz w:val="22"/>
              <w:szCs w:val="22"/>
              <w:lang w:eastAsia="sv-SE"/>
              <w14:numSpacing w14:val="default"/>
            </w:rPr>
          </w:pPr>
          <w:hyperlink w:history="1" w:anchor="_Toc166056460">
            <w:r w:rsidRPr="00757F2C" w:rsidR="00DD096E">
              <w:rPr>
                <w:rStyle w:val="Hyperlnk"/>
                <w:noProof/>
              </w:rPr>
              <w:t>10.2 Bryt med normpolitiken</w:t>
            </w:r>
            <w:r w:rsidR="00DD096E">
              <w:rPr>
                <w:noProof/>
                <w:webHidden/>
              </w:rPr>
              <w:tab/>
            </w:r>
            <w:r w:rsidR="00DD096E">
              <w:rPr>
                <w:noProof/>
                <w:webHidden/>
              </w:rPr>
              <w:fldChar w:fldCharType="begin"/>
            </w:r>
            <w:r w:rsidR="00DD096E">
              <w:rPr>
                <w:noProof/>
                <w:webHidden/>
              </w:rPr>
              <w:instrText xml:space="preserve"> PAGEREF _Toc166056460 \h </w:instrText>
            </w:r>
            <w:r w:rsidR="00DD096E">
              <w:rPr>
                <w:noProof/>
                <w:webHidden/>
              </w:rPr>
            </w:r>
            <w:r w:rsidR="00DD096E">
              <w:rPr>
                <w:noProof/>
                <w:webHidden/>
              </w:rPr>
              <w:fldChar w:fldCharType="separate"/>
            </w:r>
            <w:r w:rsidR="00773AAA">
              <w:rPr>
                <w:noProof/>
                <w:webHidden/>
              </w:rPr>
              <w:t>43</w:t>
            </w:r>
            <w:r w:rsidR="00DD096E">
              <w:rPr>
                <w:noProof/>
                <w:webHidden/>
              </w:rPr>
              <w:fldChar w:fldCharType="end"/>
            </w:r>
          </w:hyperlink>
        </w:p>
        <w:p w:rsidR="00DD096E" w:rsidRDefault="00B34F34" w14:paraId="2C7794BD" w14:textId="390DE17B">
          <w:pPr>
            <w:pStyle w:val="Innehll2"/>
            <w:tabs>
              <w:tab w:val="right" w:leader="dot" w:pos="8494"/>
            </w:tabs>
            <w:rPr>
              <w:rFonts w:eastAsiaTheme="minorEastAsia"/>
              <w:noProof/>
              <w:kern w:val="0"/>
              <w:sz w:val="22"/>
              <w:szCs w:val="22"/>
              <w:lang w:eastAsia="sv-SE"/>
              <w14:numSpacing w14:val="default"/>
            </w:rPr>
          </w:pPr>
          <w:hyperlink w:history="1" w:anchor="_Toc166056461">
            <w:r w:rsidRPr="00757F2C" w:rsidR="00DD096E">
              <w:rPr>
                <w:rStyle w:val="Hyperlnk"/>
                <w:noProof/>
              </w:rPr>
              <w:t>10.3 En aktiv arbetsmarknadspolitik och trygga försäkringar</w:t>
            </w:r>
            <w:r w:rsidR="00DD096E">
              <w:rPr>
                <w:noProof/>
                <w:webHidden/>
              </w:rPr>
              <w:tab/>
            </w:r>
            <w:r w:rsidR="00DD096E">
              <w:rPr>
                <w:noProof/>
                <w:webHidden/>
              </w:rPr>
              <w:fldChar w:fldCharType="begin"/>
            </w:r>
            <w:r w:rsidR="00DD096E">
              <w:rPr>
                <w:noProof/>
                <w:webHidden/>
              </w:rPr>
              <w:instrText xml:space="preserve"> PAGEREF _Toc166056461 \h </w:instrText>
            </w:r>
            <w:r w:rsidR="00DD096E">
              <w:rPr>
                <w:noProof/>
                <w:webHidden/>
              </w:rPr>
            </w:r>
            <w:r w:rsidR="00DD096E">
              <w:rPr>
                <w:noProof/>
                <w:webHidden/>
              </w:rPr>
              <w:fldChar w:fldCharType="separate"/>
            </w:r>
            <w:r w:rsidR="00773AAA">
              <w:rPr>
                <w:noProof/>
                <w:webHidden/>
              </w:rPr>
              <w:t>44</w:t>
            </w:r>
            <w:r w:rsidR="00DD096E">
              <w:rPr>
                <w:noProof/>
                <w:webHidden/>
              </w:rPr>
              <w:fldChar w:fldCharType="end"/>
            </w:r>
          </w:hyperlink>
        </w:p>
        <w:p w:rsidR="00DD096E" w:rsidRDefault="00B34F34" w14:paraId="0291D96D" w14:textId="27276614">
          <w:pPr>
            <w:pStyle w:val="Innehll2"/>
            <w:tabs>
              <w:tab w:val="right" w:leader="dot" w:pos="8494"/>
            </w:tabs>
            <w:rPr>
              <w:rFonts w:eastAsiaTheme="minorEastAsia"/>
              <w:noProof/>
              <w:kern w:val="0"/>
              <w:sz w:val="22"/>
              <w:szCs w:val="22"/>
              <w:lang w:eastAsia="sv-SE"/>
              <w14:numSpacing w14:val="default"/>
            </w:rPr>
          </w:pPr>
          <w:hyperlink w:history="1" w:anchor="_Toc166056462">
            <w:r w:rsidRPr="00757F2C" w:rsidR="00DD096E">
              <w:rPr>
                <w:rStyle w:val="Hyperlnk"/>
                <w:noProof/>
              </w:rPr>
              <w:t>10.4 Generell välfärd är en del av arbetslinjen</w:t>
            </w:r>
            <w:r w:rsidR="00DD096E">
              <w:rPr>
                <w:noProof/>
                <w:webHidden/>
              </w:rPr>
              <w:tab/>
            </w:r>
            <w:r w:rsidR="00DD096E">
              <w:rPr>
                <w:noProof/>
                <w:webHidden/>
              </w:rPr>
              <w:fldChar w:fldCharType="begin"/>
            </w:r>
            <w:r w:rsidR="00DD096E">
              <w:rPr>
                <w:noProof/>
                <w:webHidden/>
              </w:rPr>
              <w:instrText xml:space="preserve"> PAGEREF _Toc166056462 \h </w:instrText>
            </w:r>
            <w:r w:rsidR="00DD096E">
              <w:rPr>
                <w:noProof/>
                <w:webHidden/>
              </w:rPr>
            </w:r>
            <w:r w:rsidR="00DD096E">
              <w:rPr>
                <w:noProof/>
                <w:webHidden/>
              </w:rPr>
              <w:fldChar w:fldCharType="separate"/>
            </w:r>
            <w:r w:rsidR="00773AAA">
              <w:rPr>
                <w:noProof/>
                <w:webHidden/>
              </w:rPr>
              <w:t>45</w:t>
            </w:r>
            <w:r w:rsidR="00DD096E">
              <w:rPr>
                <w:noProof/>
                <w:webHidden/>
              </w:rPr>
              <w:fldChar w:fldCharType="end"/>
            </w:r>
          </w:hyperlink>
        </w:p>
        <w:p w:rsidR="00DD096E" w:rsidRDefault="00B34F34" w14:paraId="304ED801" w14:textId="3893C452">
          <w:pPr>
            <w:pStyle w:val="Innehll2"/>
            <w:tabs>
              <w:tab w:val="right" w:leader="dot" w:pos="8494"/>
            </w:tabs>
            <w:rPr>
              <w:rFonts w:eastAsiaTheme="minorEastAsia"/>
              <w:noProof/>
              <w:kern w:val="0"/>
              <w:sz w:val="22"/>
              <w:szCs w:val="22"/>
              <w:lang w:eastAsia="sv-SE"/>
              <w14:numSpacing w14:val="default"/>
            </w:rPr>
          </w:pPr>
          <w:hyperlink w:history="1" w:anchor="_Toc166056463">
            <w:r w:rsidRPr="00757F2C" w:rsidR="00DD096E">
              <w:rPr>
                <w:rStyle w:val="Hyperlnk"/>
                <w:noProof/>
              </w:rPr>
              <w:t>10.5 En kunskapsnation i världsklass</w:t>
            </w:r>
            <w:r w:rsidR="00DD096E">
              <w:rPr>
                <w:noProof/>
                <w:webHidden/>
              </w:rPr>
              <w:tab/>
            </w:r>
            <w:r w:rsidR="00DD096E">
              <w:rPr>
                <w:noProof/>
                <w:webHidden/>
              </w:rPr>
              <w:fldChar w:fldCharType="begin"/>
            </w:r>
            <w:r w:rsidR="00DD096E">
              <w:rPr>
                <w:noProof/>
                <w:webHidden/>
              </w:rPr>
              <w:instrText xml:space="preserve"> PAGEREF _Toc166056463 \h </w:instrText>
            </w:r>
            <w:r w:rsidR="00DD096E">
              <w:rPr>
                <w:noProof/>
                <w:webHidden/>
              </w:rPr>
            </w:r>
            <w:r w:rsidR="00DD096E">
              <w:rPr>
                <w:noProof/>
                <w:webHidden/>
              </w:rPr>
              <w:fldChar w:fldCharType="separate"/>
            </w:r>
            <w:r w:rsidR="00773AAA">
              <w:rPr>
                <w:noProof/>
                <w:webHidden/>
              </w:rPr>
              <w:t>45</w:t>
            </w:r>
            <w:r w:rsidR="00DD096E">
              <w:rPr>
                <w:noProof/>
                <w:webHidden/>
              </w:rPr>
              <w:fldChar w:fldCharType="end"/>
            </w:r>
          </w:hyperlink>
        </w:p>
        <w:p w:rsidR="00DD096E" w:rsidRDefault="00B34F34" w14:paraId="5BC17B0D" w14:textId="04133ACD">
          <w:pPr>
            <w:pStyle w:val="Innehll2"/>
            <w:tabs>
              <w:tab w:val="right" w:leader="dot" w:pos="8494"/>
            </w:tabs>
            <w:rPr>
              <w:rFonts w:eastAsiaTheme="minorEastAsia"/>
              <w:noProof/>
              <w:kern w:val="0"/>
              <w:sz w:val="22"/>
              <w:szCs w:val="22"/>
              <w:lang w:eastAsia="sv-SE"/>
              <w14:numSpacing w14:val="default"/>
            </w:rPr>
          </w:pPr>
          <w:hyperlink w:history="1" w:anchor="_Toc166056464">
            <w:r w:rsidRPr="00757F2C" w:rsidR="00DD096E">
              <w:rPr>
                <w:rStyle w:val="Hyperlnk"/>
                <w:noProof/>
              </w:rPr>
              <w:t>10.6 Klimat</w:t>
            </w:r>
            <w:r w:rsidR="00DD096E">
              <w:rPr>
                <w:noProof/>
                <w:webHidden/>
              </w:rPr>
              <w:tab/>
            </w:r>
            <w:r w:rsidR="00DD096E">
              <w:rPr>
                <w:noProof/>
                <w:webHidden/>
              </w:rPr>
              <w:fldChar w:fldCharType="begin"/>
            </w:r>
            <w:r w:rsidR="00DD096E">
              <w:rPr>
                <w:noProof/>
                <w:webHidden/>
              </w:rPr>
              <w:instrText xml:space="preserve"> PAGEREF _Toc166056464 \h </w:instrText>
            </w:r>
            <w:r w:rsidR="00DD096E">
              <w:rPr>
                <w:noProof/>
                <w:webHidden/>
              </w:rPr>
            </w:r>
            <w:r w:rsidR="00DD096E">
              <w:rPr>
                <w:noProof/>
                <w:webHidden/>
              </w:rPr>
              <w:fldChar w:fldCharType="separate"/>
            </w:r>
            <w:r w:rsidR="00773AAA">
              <w:rPr>
                <w:noProof/>
                <w:webHidden/>
              </w:rPr>
              <w:t>46</w:t>
            </w:r>
            <w:r w:rsidR="00DD096E">
              <w:rPr>
                <w:noProof/>
                <w:webHidden/>
              </w:rPr>
              <w:fldChar w:fldCharType="end"/>
            </w:r>
          </w:hyperlink>
        </w:p>
        <w:p w:rsidR="00DD096E" w:rsidRDefault="00B34F34" w14:paraId="289A86A7" w14:textId="2DB46821">
          <w:pPr>
            <w:pStyle w:val="Innehll2"/>
            <w:tabs>
              <w:tab w:val="right" w:leader="dot" w:pos="8494"/>
            </w:tabs>
            <w:rPr>
              <w:rFonts w:eastAsiaTheme="minorEastAsia"/>
              <w:noProof/>
              <w:kern w:val="0"/>
              <w:sz w:val="22"/>
              <w:szCs w:val="22"/>
              <w:lang w:eastAsia="sv-SE"/>
              <w14:numSpacing w14:val="default"/>
            </w:rPr>
          </w:pPr>
          <w:hyperlink w:history="1" w:anchor="_Toc166056465">
            <w:r w:rsidRPr="00757F2C" w:rsidR="00DD096E">
              <w:rPr>
                <w:rStyle w:val="Hyperlnk"/>
                <w:noProof/>
              </w:rPr>
              <w:t>10.7 Lägre skatter ger inte högre skatteintäkter</w:t>
            </w:r>
            <w:r w:rsidR="00DD096E">
              <w:rPr>
                <w:noProof/>
                <w:webHidden/>
              </w:rPr>
              <w:tab/>
            </w:r>
            <w:r w:rsidR="00DD096E">
              <w:rPr>
                <w:noProof/>
                <w:webHidden/>
              </w:rPr>
              <w:fldChar w:fldCharType="begin"/>
            </w:r>
            <w:r w:rsidR="00DD096E">
              <w:rPr>
                <w:noProof/>
                <w:webHidden/>
              </w:rPr>
              <w:instrText xml:space="preserve"> PAGEREF _Toc166056465 \h </w:instrText>
            </w:r>
            <w:r w:rsidR="00DD096E">
              <w:rPr>
                <w:noProof/>
                <w:webHidden/>
              </w:rPr>
            </w:r>
            <w:r w:rsidR="00DD096E">
              <w:rPr>
                <w:noProof/>
                <w:webHidden/>
              </w:rPr>
              <w:fldChar w:fldCharType="separate"/>
            </w:r>
            <w:r w:rsidR="00773AAA">
              <w:rPr>
                <w:noProof/>
                <w:webHidden/>
              </w:rPr>
              <w:t>46</w:t>
            </w:r>
            <w:r w:rsidR="00DD096E">
              <w:rPr>
                <w:noProof/>
                <w:webHidden/>
              </w:rPr>
              <w:fldChar w:fldCharType="end"/>
            </w:r>
          </w:hyperlink>
        </w:p>
        <w:p w:rsidR="00DD096E" w:rsidRDefault="00B34F34" w14:paraId="4B2C81D8" w14:textId="293CC690">
          <w:pPr>
            <w:pStyle w:val="Innehll1"/>
            <w:tabs>
              <w:tab w:val="right" w:leader="dot" w:pos="8494"/>
            </w:tabs>
            <w:rPr>
              <w:rFonts w:eastAsiaTheme="minorEastAsia"/>
              <w:noProof/>
              <w:kern w:val="0"/>
              <w:sz w:val="22"/>
              <w:szCs w:val="22"/>
              <w:lang w:eastAsia="sv-SE"/>
              <w14:numSpacing w14:val="default"/>
            </w:rPr>
          </w:pPr>
          <w:hyperlink w:history="1" w:anchor="_Toc166056466">
            <w:r w:rsidRPr="00757F2C" w:rsidR="00DD096E">
              <w:rPr>
                <w:rStyle w:val="Hyperlnk"/>
                <w:noProof/>
              </w:rPr>
              <w:t>11 Förslag på budgetåtgärder för 2024</w:t>
            </w:r>
            <w:r w:rsidR="00DD096E">
              <w:rPr>
                <w:noProof/>
                <w:webHidden/>
              </w:rPr>
              <w:tab/>
            </w:r>
            <w:r w:rsidR="00DD096E">
              <w:rPr>
                <w:noProof/>
                <w:webHidden/>
              </w:rPr>
              <w:fldChar w:fldCharType="begin"/>
            </w:r>
            <w:r w:rsidR="00DD096E">
              <w:rPr>
                <w:noProof/>
                <w:webHidden/>
              </w:rPr>
              <w:instrText xml:space="preserve"> PAGEREF _Toc166056466 \h </w:instrText>
            </w:r>
            <w:r w:rsidR="00DD096E">
              <w:rPr>
                <w:noProof/>
                <w:webHidden/>
              </w:rPr>
            </w:r>
            <w:r w:rsidR="00DD096E">
              <w:rPr>
                <w:noProof/>
                <w:webHidden/>
              </w:rPr>
              <w:fldChar w:fldCharType="separate"/>
            </w:r>
            <w:r w:rsidR="00773AAA">
              <w:rPr>
                <w:noProof/>
                <w:webHidden/>
              </w:rPr>
              <w:t>48</w:t>
            </w:r>
            <w:r w:rsidR="00DD096E">
              <w:rPr>
                <w:noProof/>
                <w:webHidden/>
              </w:rPr>
              <w:fldChar w:fldCharType="end"/>
            </w:r>
          </w:hyperlink>
        </w:p>
        <w:p w:rsidR="006A7AC5" w:rsidRDefault="00DD096E" w14:paraId="177A8387" w14:textId="057E18C2">
          <w:r>
            <w:fldChar w:fldCharType="end"/>
          </w:r>
        </w:p>
      </w:sdtContent>
    </w:sdt>
    <w:p w:rsidRPr="006A7AC5" w:rsidR="006A7AC5" w:rsidP="0024179A" w:rsidRDefault="0024179A" w14:paraId="45214142" w14:textId="4C524E30">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62362953" w:id="5"/>
    <w:bookmarkStart w:name="_Toc166056427" w:id="6"/>
    <w:p w:rsidRPr="00A8632C" w:rsidR="00AF30DD" w:rsidP="005E2446" w:rsidRDefault="00B34F34" w14:paraId="215380BD" w14:textId="77777777">
      <w:pPr>
        <w:pStyle w:val="Rubrik1numrerat"/>
        <w:spacing w:after="300"/>
      </w:pPr>
      <w:sdt>
        <w:sdtPr>
          <w:alias w:val="CC_Boilerplate_4"/>
          <w:tag w:val="CC_Boilerplate_4"/>
          <w:id w:val="-1644581176"/>
          <w:lock w:val="sdtLocked"/>
          <w:placeholder>
            <w:docPart w:val="1B9245D4173342DA95A360AC2EF4E707"/>
          </w:placeholder>
          <w:text/>
        </w:sdtPr>
        <w:sdtEndPr/>
        <w:sdtContent>
          <w:r w:rsidRPr="00A8632C" w:rsidR="00AF30DD">
            <w:t>Förslag till riksdagsbeslut</w:t>
          </w:r>
        </w:sdtContent>
      </w:sdt>
      <w:bookmarkEnd w:id="2"/>
      <w:bookmarkEnd w:id="5"/>
      <w:bookmarkEnd w:id="6"/>
    </w:p>
    <w:sdt>
      <w:sdtPr>
        <w:alias w:val="Yrkande 1"/>
        <w:tag w:val="85c9a7a5-2686-4b80-a3de-fb836f4235c8"/>
        <w:id w:val="257097713"/>
        <w:lock w:val="sdtLocked"/>
      </w:sdtPr>
      <w:sdtEndPr/>
      <w:sdtContent>
        <w:p w:rsidR="00AA472C" w:rsidRDefault="00672A67" w14:paraId="34816FAE" w14:textId="3D95810E">
          <w:pPr>
            <w:pStyle w:val="Frslagstext"/>
            <w:numPr>
              <w:ilvl w:val="0"/>
              <w:numId w:val="0"/>
            </w:numPr>
          </w:pPr>
          <w:r>
            <w:t>Riksdagen godkänner förslaget till riktlinjer för den ekonomiska politiken och budget</w:t>
          </w:r>
          <w:r w:rsidR="00DD096E">
            <w:softHyphen/>
          </w:r>
          <w:r>
            <w:t>politiken (avsnitt 10–11 i motionen).</w:t>
          </w:r>
        </w:p>
      </w:sdtContent>
    </w:sdt>
    <w:bookmarkStart w:name="MotionsStart" w:displacedByCustomXml="next" w:id="7"/>
    <w:bookmarkEnd w:displacedByCustomXml="next" w:id="7"/>
    <w:bookmarkStart w:name="_Toc166056428" w:displacedByCustomXml="next" w:id="8"/>
    <w:bookmarkStart w:name="_Toc162362954" w:displacedByCustomXml="next" w:id="9"/>
    <w:bookmarkStart w:name="_Toc106800476" w:displacedByCustomXml="next" w:id="10"/>
    <w:sdt>
      <w:sdtPr>
        <w:alias w:val="CC_Motivering_Rubrik"/>
        <w:tag w:val="CC_Motivering_Rubrik"/>
        <w:id w:val="1433397530"/>
        <w:lock w:val="sdtLocked"/>
        <w:placeholder>
          <w:docPart w:val="400112C4499842A7BDF849339DAB9E7C"/>
        </w:placeholder>
        <w:text/>
      </w:sdtPr>
      <w:sdtEndPr/>
      <w:sdtContent>
        <w:p w:rsidRPr="00A8632C" w:rsidR="006D79C9" w:rsidP="00A8632C" w:rsidRDefault="00F42E48" w14:paraId="63FD4F92" w14:textId="74005987">
          <w:pPr>
            <w:pStyle w:val="Rubrik1numrerat"/>
          </w:pPr>
          <w:r w:rsidRPr="00A8632C">
            <w:t>Det ekonomiska läget</w:t>
          </w:r>
        </w:p>
      </w:sdtContent>
    </w:sdt>
    <w:bookmarkEnd w:displacedByCustomXml="prev" w:id="8"/>
    <w:bookmarkEnd w:displacedByCustomXml="prev" w:id="9"/>
    <w:bookmarkEnd w:displacedByCustomXml="prev" w:id="10"/>
    <w:p w:rsidRPr="00A8632C" w:rsidR="0028337E" w:rsidP="00A8632C" w:rsidRDefault="000D424E" w14:paraId="745D088C" w14:textId="0FF1F638">
      <w:pPr>
        <w:pStyle w:val="Rubrik2numrerat"/>
        <w:spacing w:before="440"/>
      </w:pPr>
      <w:bookmarkStart w:name="_Toc166056429" w:id="11"/>
      <w:r w:rsidRPr="00A8632C">
        <w:t>Konjunkturläget</w:t>
      </w:r>
      <w:bookmarkEnd w:id="11"/>
    </w:p>
    <w:p w:rsidRPr="0074520F" w:rsidR="0028337E" w:rsidP="00070A99" w:rsidRDefault="0028337E" w14:paraId="01428F19" w14:textId="7ABB56F2">
      <w:pPr>
        <w:pStyle w:val="Normalutanindragellerluft"/>
      </w:pPr>
      <w:r w:rsidRPr="0074520F">
        <w:t xml:space="preserve">Sverige befinner sig i en lågkonjunktur, där BNP har minskat tre kvartal på raken. Delar av den svenska ekonomin går mycket svagt. Detta gäller inte minst för hushållen som är pressade av hög inflation och höga bolånekostnader. Hushållens konsumtion minskade fem kvartal i följd, mellan 2022Q2 och 2023Q3, vilket är historiskt svaga siffror. </w:t>
      </w:r>
    </w:p>
    <w:p w:rsidRPr="0074520F" w:rsidR="0028337E" w:rsidP="00AE1CB8" w:rsidRDefault="0028337E" w14:paraId="71785479" w14:textId="77777777">
      <w:pPr>
        <w:pStyle w:val="Tabellrubrik"/>
      </w:pPr>
      <w:r w:rsidRPr="0074520F">
        <w:t>Figur 1 Hushållens konsumtion, 2000Q1–2024Q1</w:t>
      </w:r>
    </w:p>
    <w:p w:rsidRPr="0074520F" w:rsidR="0028337E" w:rsidP="00E74A15" w:rsidRDefault="0028337E" w14:paraId="304D8E1C" w14:textId="43F24047">
      <w:pPr>
        <w:pStyle w:val="Tabellunderrubrik"/>
      </w:pPr>
      <w:r w:rsidRPr="0074520F">
        <w:t>Procentuell förändring, fasta priser</w:t>
      </w:r>
    </w:p>
    <w:p w:rsidRPr="0074520F" w:rsidR="0028337E" w:rsidP="001759AE" w:rsidRDefault="001759AE" w14:paraId="42216823" w14:textId="41FA56AE">
      <w:pPr>
        <w:pStyle w:val="Tabellunderrubrik"/>
        <w:rPr>
          <w:i w:val="0"/>
          <w:iCs/>
          <w:szCs w:val="22"/>
        </w:rPr>
      </w:pPr>
      <w:r w:rsidRPr="0074520F">
        <w:rPr>
          <w:noProof/>
          <w14:numSpacing w14:val="default"/>
        </w:rPr>
        <w:drawing>
          <wp:inline distT="0" distB="0" distL="0" distR="0" wp14:anchorId="6A5EA9B3" wp14:editId="71A32B18">
            <wp:extent cx="5400000" cy="3240000"/>
            <wp:effectExtent l="0" t="0" r="10795" b="17780"/>
            <wp:docPr id="15" name="Diagram 15" descr="">
              <a:extLst xmlns:a="http://schemas.openxmlformats.org/drawingml/2006/main">
                <a:ext uri="{FF2B5EF4-FFF2-40B4-BE49-F238E27FC236}">
                  <a16:creationId xmlns:a16="http://schemas.microsoft.com/office/drawing/2014/main" id="{6BDB16B1-039F-49E3-AB05-81EBB6550511}"/>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74520F" w:rsidR="0028337E" w:rsidP="005D1BA7" w:rsidRDefault="0028337E" w14:paraId="5DCA31BC" w14:textId="21DEABF4">
      <w:pPr>
        <w:pStyle w:val="Klla"/>
        <w:rPr>
          <w:szCs w:val="22"/>
        </w:rPr>
      </w:pPr>
      <w:r w:rsidRPr="0074520F">
        <w:rPr>
          <w:szCs w:val="22"/>
        </w:rPr>
        <w:t>Källa: Konjunkturinstitutet</w:t>
      </w:r>
      <w:r w:rsidRPr="0074520F" w:rsidR="00304300">
        <w:rPr>
          <w:szCs w:val="22"/>
        </w:rPr>
        <w:t>.</w:t>
      </w:r>
    </w:p>
    <w:p w:rsidRPr="0074520F" w:rsidR="0028337E" w:rsidP="00BF1E6A" w:rsidRDefault="0028337E" w14:paraId="2B6DA6F3" w14:textId="20E76BBF">
      <w:pPr>
        <w:pStyle w:val="Normalutanindragellerluft"/>
        <w:rPr>
          <w:szCs w:val="22"/>
        </w:rPr>
      </w:pPr>
      <w:r w:rsidRPr="0074520F">
        <w:t>Ett annat område som utveckla</w:t>
      </w:r>
      <w:r w:rsidR="004728CA">
        <w:t>de</w:t>
      </w:r>
      <w:r w:rsidRPr="0074520F">
        <w:t xml:space="preserve">s mycket svagt under 2023 </w:t>
      </w:r>
      <w:r w:rsidR="004728CA">
        <w:t>va</w:t>
      </w:r>
      <w:r w:rsidRPr="0074520F">
        <w:t>r bygg- och bostads</w:t>
      </w:r>
      <w:r w:rsidR="00DD096E">
        <w:softHyphen/>
      </w:r>
      <w:r w:rsidRPr="0074520F">
        <w:t>marknaden. I flerbostadshus påbörjades ca 22</w:t>
      </w:r>
      <w:r w:rsidRPr="0074520F" w:rsidR="006F0E10">
        <w:t> </w:t>
      </w:r>
      <w:r w:rsidRPr="0074520F">
        <w:t>750 lägenheter under 2023</w:t>
      </w:r>
      <w:r w:rsidR="004728CA">
        <w:t>,</w:t>
      </w:r>
      <w:r w:rsidRPr="0074520F">
        <w:t xml:space="preserve"> vilket är ungefär 49 procent färre än 2022. Motsvarande siffror för småhus är ca 6</w:t>
      </w:r>
      <w:r w:rsidRPr="0074520F" w:rsidR="00260088">
        <w:t> </w:t>
      </w:r>
      <w:r w:rsidRPr="0074520F">
        <w:t>600 lägen</w:t>
      </w:r>
      <w:r w:rsidR="00DD096E">
        <w:softHyphen/>
      </w:r>
      <w:r w:rsidRPr="0074520F">
        <w:t>heter</w:t>
      </w:r>
      <w:r w:rsidR="004728CA">
        <w:t>,</w:t>
      </w:r>
      <w:r w:rsidRPr="0074520F">
        <w:t xml:space="preserve"> vilket är 47 procent färre än under 2022.</w:t>
      </w:r>
      <w:r w:rsidRPr="0074520F">
        <w:rPr>
          <w:rStyle w:val="Fotnotsreferens"/>
        </w:rPr>
        <w:footnoteReference w:id="2"/>
      </w:r>
      <w:r w:rsidRPr="0074520F">
        <w:t xml:space="preserve"> Även för 2024 ser det dystert ut</w:t>
      </w:r>
      <w:r w:rsidR="008B58F2">
        <w:t>;</w:t>
      </w:r>
      <w:r w:rsidRPr="0074520F">
        <w:t xml:space="preserve"> de totala bostadsinvesteringarna väntas falla med 16 procent.</w:t>
      </w:r>
      <w:r w:rsidRPr="0074520F">
        <w:rPr>
          <w:rStyle w:val="Fotnotsreferens"/>
        </w:rPr>
        <w:footnoteReference w:id="3"/>
      </w:r>
    </w:p>
    <w:p w:rsidRPr="0074520F" w:rsidR="0028337E" w:rsidP="003B12A2" w:rsidRDefault="0028337E" w14:paraId="3235E043" w14:textId="77777777">
      <w:pPr>
        <w:pStyle w:val="Tabellrubrik"/>
      </w:pPr>
      <w:r w:rsidRPr="0074520F">
        <w:lastRenderedPageBreak/>
        <w:t>Figur 2 Antal påbörjade lägenheter, 1975–2023</w:t>
      </w:r>
    </w:p>
    <w:p w:rsidRPr="0074520F" w:rsidR="0028337E" w:rsidP="0028337E" w:rsidRDefault="008C20E8" w14:paraId="57E9393D" w14:textId="11D84510">
      <w:pPr>
        <w:ind w:firstLine="0"/>
      </w:pPr>
      <w:r w:rsidRPr="0074520F">
        <w:rPr>
          <w:noProof/>
          <w14:numSpacing w14:val="default"/>
        </w:rPr>
        <w:drawing>
          <wp:inline distT="0" distB="0" distL="0" distR="0" wp14:anchorId="4ADC922F" wp14:editId="2AAED58D">
            <wp:extent cx="5400000" cy="3813120"/>
            <wp:effectExtent l="0" t="0" r="10795" b="16510"/>
            <wp:docPr id="25" name="Diagram 25" descr="">
              <a:extLst xmlns:a="http://schemas.openxmlformats.org/drawingml/2006/main">
                <a:ext uri="{FF2B5EF4-FFF2-40B4-BE49-F238E27FC236}">
                  <a16:creationId xmlns:a16="http://schemas.microsoft.com/office/drawing/2014/main" id="{3573E259-2AEB-4217-A14C-A556F42E7DF9}"/>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74520F" w:rsidR="0028337E" w:rsidP="0051535F" w:rsidRDefault="0028337E" w14:paraId="2945BD44" w14:textId="12E60590">
      <w:pPr>
        <w:pStyle w:val="Klla"/>
      </w:pPr>
      <w:r w:rsidRPr="0074520F">
        <w:t>Källa: SCB</w:t>
      </w:r>
      <w:r w:rsidRPr="0074520F" w:rsidR="009F2576">
        <w:t>.</w:t>
      </w:r>
    </w:p>
    <w:p w:rsidRPr="0074520F" w:rsidR="0028337E" w:rsidP="00BF1E6A" w:rsidRDefault="0028337E" w14:paraId="4363C2E5" w14:textId="691D4378">
      <w:pPr>
        <w:pStyle w:val="Normalutanindragellerluft"/>
      </w:pPr>
      <w:r w:rsidRPr="0074520F">
        <w:t>Lågkonjunkturen har nu också börjat synas på arbetsmarknaden. Sysselsättningsgraden har fallit tillbaka något</w:t>
      </w:r>
      <w:r w:rsidR="00FF5B6F">
        <w:t>,</w:t>
      </w:r>
      <w:r w:rsidRPr="0074520F">
        <w:t xml:space="preserve"> och arbetslösheten har under det senaste året ökat från ca 7,3 procent till dagens </w:t>
      </w:r>
      <w:r w:rsidRPr="0074520F" w:rsidR="001759AE">
        <w:t>8,3</w:t>
      </w:r>
      <w:r w:rsidRPr="0074520F">
        <w:t xml:space="preserve"> procent</w:t>
      </w:r>
      <w:r w:rsidRPr="0074520F" w:rsidR="001759AE">
        <w:t xml:space="preserve"> (säsongsrensad trend)</w:t>
      </w:r>
      <w:r w:rsidRPr="0074520F">
        <w:t xml:space="preserve">. Indikatorer som varsel och </w:t>
      </w:r>
      <w:r w:rsidRPr="00DD096E">
        <w:rPr>
          <w:spacing w:val="-3"/>
        </w:rPr>
        <w:t>ny</w:t>
      </w:r>
      <w:r w:rsidRPr="00DD096E" w:rsidR="00DD096E">
        <w:rPr>
          <w:spacing w:val="-3"/>
        </w:rPr>
        <w:softHyphen/>
      </w:r>
      <w:r w:rsidRPr="00DD096E">
        <w:rPr>
          <w:spacing w:val="-3"/>
        </w:rPr>
        <w:t>anmälda lediga jobb pekar i samma riktning.</w:t>
      </w:r>
      <w:r w:rsidRPr="00DD096E" w:rsidR="001E301A">
        <w:rPr>
          <w:spacing w:val="-3"/>
        </w:rPr>
        <w:t xml:space="preserve"> Det finns dock stora </w:t>
      </w:r>
      <w:r w:rsidRPr="00DD096E" w:rsidR="00BF4591">
        <w:rPr>
          <w:spacing w:val="-3"/>
        </w:rPr>
        <w:t xml:space="preserve">geografiska </w:t>
      </w:r>
      <w:r w:rsidRPr="00DD096E" w:rsidR="001E301A">
        <w:rPr>
          <w:spacing w:val="-3"/>
        </w:rPr>
        <w:t>variationer</w:t>
      </w:r>
      <w:r w:rsidRPr="0074520F" w:rsidR="001E301A">
        <w:t xml:space="preserve"> i arbetslösheten. På många orter är bristen på arbetskraft ett stort problem. Detta gäller inte minst på flera ställen i norra Sverige. Generellt sett är arbetslösheten lägre i norra Sverige och högre i södra Sverige. Kiruna kommun är den kommun </w:t>
      </w:r>
      <w:r w:rsidR="005443BE">
        <w:t>som har</w:t>
      </w:r>
      <w:r w:rsidRPr="0074520F" w:rsidR="001E301A">
        <w:t xml:space="preserve"> lägst arbetslöshet i Sverige, med en arbetslöshet på 2,1 procent.</w:t>
      </w:r>
      <w:r w:rsidRPr="0074520F" w:rsidR="001E301A">
        <w:rPr>
          <w:rStyle w:val="Fotnotsreferens"/>
        </w:rPr>
        <w:footnoteReference w:id="4"/>
      </w:r>
    </w:p>
    <w:p w:rsidRPr="0074520F" w:rsidR="0028337E" w:rsidP="003B12A2" w:rsidRDefault="0028337E" w14:paraId="495972FE" w14:textId="01A95EE2">
      <w:pPr>
        <w:pStyle w:val="Tabellrubrik"/>
        <w:rPr>
          <w:b w:val="0"/>
        </w:rPr>
      </w:pPr>
      <w:r w:rsidRPr="0074520F">
        <w:lastRenderedPageBreak/>
        <w:t>Figur 3 Arbetslöshet och sysselsättningsgrad, 15–74 år, 2001–2024 (</w:t>
      </w:r>
      <w:r w:rsidRPr="0074520F" w:rsidR="001759AE">
        <w:t>mars</w:t>
      </w:r>
      <w:r w:rsidRPr="0074520F">
        <w:t>)</w:t>
      </w:r>
    </w:p>
    <w:p w:rsidRPr="0074520F" w:rsidR="0028337E" w:rsidP="003B12A2" w:rsidRDefault="0028337E" w14:paraId="079D4DF9" w14:textId="50D14051">
      <w:pPr>
        <w:pStyle w:val="Tabellunderrubrik"/>
      </w:pPr>
      <w:r w:rsidRPr="0074520F">
        <w:t>Säsongsrensade trendvärden, månadsdata</w:t>
      </w:r>
    </w:p>
    <w:p w:rsidRPr="0074520F" w:rsidR="00FA0591" w:rsidP="001759AE" w:rsidRDefault="001759AE" w14:paraId="1A4BF080" w14:textId="09B571F0">
      <w:pPr>
        <w:pStyle w:val="Normalutanindragellerluft"/>
      </w:pPr>
      <w:r w:rsidRPr="0074520F">
        <w:rPr>
          <w:noProof/>
          <w14:numSpacing w14:val="default"/>
        </w:rPr>
        <w:drawing>
          <wp:inline distT="0" distB="0" distL="0" distR="0" wp14:anchorId="1115C4CB" wp14:editId="0035E5C3">
            <wp:extent cx="5400000" cy="3240000"/>
            <wp:effectExtent l="0" t="0" r="10795" b="17780"/>
            <wp:docPr id="11" name="Diagram 11" descr="">
              <a:extLst xmlns:a="http://schemas.openxmlformats.org/drawingml/2006/main">
                <a:ext uri="{FF2B5EF4-FFF2-40B4-BE49-F238E27FC236}">
                  <a16:creationId xmlns:a16="http://schemas.microsoft.com/office/drawing/2014/main" id="{A56AD07C-4260-4C82-90B3-D31357F9050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2526CA" w:rsidR="0028337E" w:rsidP="002526CA" w:rsidRDefault="0028337E" w14:paraId="778A159B" w14:textId="07220E9A">
      <w:pPr>
        <w:pStyle w:val="Klla"/>
      </w:pPr>
      <w:r w:rsidRPr="002526CA">
        <w:t>Källa: SCB (AKU)</w:t>
      </w:r>
      <w:r w:rsidRPr="002526CA" w:rsidR="00F404E2">
        <w:t>.</w:t>
      </w:r>
    </w:p>
    <w:p w:rsidRPr="0074520F" w:rsidR="0028337E" w:rsidP="0051535F" w:rsidRDefault="0028337E" w14:paraId="4F38A944" w14:textId="43311EE5">
      <w:pPr>
        <w:pStyle w:val="Normalutanindragellerluft"/>
      </w:pPr>
      <w:r w:rsidRPr="0074520F">
        <w:t>Sysselsättningsnedgången har varit relativt större bland utrikes födda. Särskilt stor har nedgången varit bland utrikes födda kvinnor, där sysselsättningsgraden minskat med närmare 2 procentenheter sedan andra kvartalet 2023. Därmed har trend</w:t>
      </w:r>
      <w:r w:rsidR="00C334E8">
        <w:t>en</w:t>
      </w:r>
      <w:r w:rsidRPr="0074520F">
        <w:t xml:space="preserve"> med väldigt stark sysselsättningsutveckling bland utrikes födda under de senaste 3</w:t>
      </w:r>
      <w:r w:rsidRPr="0074520F" w:rsidR="000D424E">
        <w:t>–</w:t>
      </w:r>
      <w:r w:rsidRPr="0074520F">
        <w:t>4 åren brutits, se figur 4 nedan.</w:t>
      </w:r>
    </w:p>
    <w:p w:rsidRPr="0074520F" w:rsidR="00FA0591" w:rsidP="001777BF" w:rsidRDefault="00FA0591" w14:paraId="44C3ADDD" w14:textId="6C8D2256">
      <w:pPr>
        <w:pStyle w:val="Tabellrubrik"/>
        <w:rPr>
          <w:b w:val="0"/>
        </w:rPr>
      </w:pPr>
      <w:r w:rsidRPr="0074520F">
        <w:t>Figur 4 Sysselsättningsgrad, 15</w:t>
      </w:r>
      <w:r w:rsidRPr="0074520F" w:rsidR="000D424E">
        <w:rPr>
          <w:b w:val="0"/>
        </w:rPr>
        <w:t>–</w:t>
      </w:r>
      <w:r w:rsidRPr="0074520F">
        <w:t>74 år</w:t>
      </w:r>
    </w:p>
    <w:p w:rsidRPr="0074520F" w:rsidR="00FA0591" w:rsidP="001777BF" w:rsidRDefault="00FA0591" w14:paraId="21F1C86F" w14:textId="5A6D6013">
      <w:pPr>
        <w:pStyle w:val="Tabellunderrubrik"/>
        <w:rPr>
          <w:i w:val="0"/>
        </w:rPr>
      </w:pPr>
      <w:r w:rsidRPr="0074520F">
        <w:t>Säsongsrensade kvartalsvärden</w:t>
      </w:r>
    </w:p>
    <w:p w:rsidRPr="0074520F" w:rsidR="000D424E" w:rsidP="00FA0591" w:rsidRDefault="000D424E" w14:paraId="4FFF95F2" w14:textId="41A0033F">
      <w:pPr>
        <w:ind w:firstLine="0"/>
        <w:rPr>
          <w:i/>
          <w:iCs/>
          <w:sz w:val="20"/>
          <w:szCs w:val="20"/>
        </w:rPr>
      </w:pPr>
      <w:r w:rsidRPr="0074520F">
        <w:rPr>
          <w:noProof/>
          <w14:numSpacing w14:val="default"/>
        </w:rPr>
        <w:drawing>
          <wp:inline distT="0" distB="0" distL="0" distR="0" wp14:anchorId="32A95B82" wp14:editId="7E9B822D">
            <wp:extent cx="5400000" cy="3240000"/>
            <wp:effectExtent l="0" t="0" r="10795" b="17780"/>
            <wp:docPr id="18" name="Diagram 18" descr="">
              <a:extLst xmlns:a="http://schemas.openxmlformats.org/drawingml/2006/main">
                <a:ext uri="{FF2B5EF4-FFF2-40B4-BE49-F238E27FC236}">
                  <a16:creationId xmlns:a16="http://schemas.microsoft.com/office/drawing/2014/main" id="{6EF5CFA7-0052-4A10-BD42-F187B70ACBD7}"/>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74520F" w:rsidR="00FA0591" w:rsidP="00BD04DB" w:rsidRDefault="00FA0591" w14:paraId="330E63AF" w14:textId="53AE2E29">
      <w:pPr>
        <w:pStyle w:val="Klla"/>
      </w:pPr>
      <w:r w:rsidRPr="0074520F">
        <w:t>Källa: Konjunkturinstitutet</w:t>
      </w:r>
      <w:r w:rsidRPr="0074520F" w:rsidR="00BD6FE7">
        <w:t>.</w:t>
      </w:r>
    </w:p>
    <w:p w:rsidRPr="0074520F" w:rsidR="000D424E" w:rsidP="00FA0591" w:rsidRDefault="000D424E" w14:paraId="215B23A4" w14:textId="40730A0B">
      <w:pPr>
        <w:ind w:firstLine="0"/>
        <w:rPr>
          <w:szCs w:val="22"/>
        </w:rPr>
      </w:pPr>
    </w:p>
    <w:p w:rsidRPr="002526CA" w:rsidR="000D424E" w:rsidP="002526CA" w:rsidRDefault="000D424E" w14:paraId="18551C12" w14:textId="272818BA">
      <w:pPr>
        <w:pStyle w:val="Rubrik2numrerat"/>
      </w:pPr>
      <w:bookmarkStart w:name="_Toc166056430" w:id="12"/>
      <w:r w:rsidRPr="002526CA">
        <w:lastRenderedPageBreak/>
        <w:t>Åtstramande penningpolitik</w:t>
      </w:r>
      <w:bookmarkEnd w:id="12"/>
    </w:p>
    <w:p w:rsidRPr="0074520F" w:rsidR="000D424E" w:rsidP="00111F9A" w:rsidRDefault="000D424E" w14:paraId="77356E6D" w14:textId="63462632">
      <w:pPr>
        <w:pStyle w:val="Normalutanindragellerluft"/>
      </w:pPr>
      <w:r w:rsidRPr="0074520F">
        <w:t xml:space="preserve">De senaste årens ekonomiska utveckling har präglats av den höga inflation som satte fart i slutet av 2021. Efter pandemin hann produktionen inte anpassa sig till den snabbt </w:t>
      </w:r>
      <w:r w:rsidRPr="00B220BA">
        <w:rPr>
          <w:spacing w:val="-3"/>
        </w:rPr>
        <w:t>stigande efterfrågan i världsekonomin. Detta resulterade i stigande priser på en rad viktiga</w:t>
      </w:r>
      <w:r w:rsidRPr="0074520F">
        <w:t xml:space="preserve"> rå- och insatsvaror samt på transporter. Rysslands krig i Ukraina drev upp priserna än mer på flera råvaror och framkallade stora störningar på energimarknaderna i Europa, vilket fick elpriserna att stiga till mycket höga nivåer. Många företag har passat på att </w:t>
      </w:r>
      <w:r w:rsidRPr="00D9094B">
        <w:rPr>
          <w:spacing w:val="-3"/>
        </w:rPr>
        <w:t>höja konsumentpriserna mer än vad producentpriserna stigit. Detta har resulterat i kraftigt</w:t>
      </w:r>
      <w:r w:rsidRPr="0074520F">
        <w:t xml:space="preserve"> ökade vinstandelar i näringslivet, se figur 5 nedan.</w:t>
      </w:r>
    </w:p>
    <w:p w:rsidRPr="0074520F" w:rsidR="000D424E" w:rsidP="002570C2" w:rsidRDefault="000D424E" w14:paraId="695C0EAB" w14:textId="77777777">
      <w:pPr>
        <w:pStyle w:val="Tabellrubrik"/>
        <w:rPr>
          <w:b w:val="0"/>
        </w:rPr>
      </w:pPr>
      <w:r w:rsidRPr="0074520F">
        <w:t>Figur 5 Näringslivets vinstandel, 2001–2023</w:t>
      </w:r>
    </w:p>
    <w:p w:rsidRPr="0074520F" w:rsidR="000D424E" w:rsidP="002570C2" w:rsidRDefault="000D424E" w14:paraId="0BAB9F2D" w14:textId="79763263">
      <w:pPr>
        <w:pStyle w:val="Tabellunderrubrik"/>
        <w:rPr>
          <w:i w:val="0"/>
        </w:rPr>
      </w:pPr>
      <w:r w:rsidRPr="0074520F">
        <w:t>Procent</w:t>
      </w:r>
    </w:p>
    <w:p w:rsidRPr="0074520F" w:rsidR="00564392" w:rsidP="00564392" w:rsidRDefault="0020346F" w14:paraId="4E0D2447" w14:textId="3A4DE160">
      <w:pPr>
        <w:ind w:firstLine="0"/>
      </w:pPr>
      <w:r w:rsidRPr="0074520F">
        <w:rPr>
          <w:noProof/>
          <w14:numSpacing w14:val="default"/>
        </w:rPr>
        <w:drawing>
          <wp:inline distT="0" distB="0" distL="0" distR="0" wp14:anchorId="58CC046D" wp14:editId="168094EF">
            <wp:extent cx="5400000" cy="3240000"/>
            <wp:effectExtent l="0" t="0" r="10795" b="17780"/>
            <wp:docPr id="22" name="Diagram 22" descr="">
              <a:extLst xmlns:a="http://schemas.openxmlformats.org/drawingml/2006/main">
                <a:ext uri="{FF2B5EF4-FFF2-40B4-BE49-F238E27FC236}">
                  <a16:creationId xmlns:a16="http://schemas.microsoft.com/office/drawing/2014/main" id="{E817357F-F102-4978-88BE-90506020024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74520F" w:rsidR="000D424E" w:rsidP="00E66683" w:rsidRDefault="000D424E" w14:paraId="51312AD3" w14:textId="088AC0A5">
      <w:pPr>
        <w:pStyle w:val="Klla"/>
      </w:pPr>
      <w:r w:rsidRPr="0074520F">
        <w:t>Källa: Konjunkturinstitutet (diagramunderlag, KI mars 2024).</w:t>
      </w:r>
    </w:p>
    <w:p w:rsidRPr="0074520F" w:rsidR="000D424E" w:rsidP="00E66683" w:rsidRDefault="000D424E" w14:paraId="799B9870" w14:textId="1E85A971">
      <w:pPr>
        <w:pStyle w:val="Normalutanindragellerluft"/>
      </w:pPr>
      <w:r w:rsidRPr="0074520F">
        <w:t>Att företagens vinster legat bakom en stor del av inflationsuppgången bekräftas också i en studie från Riksbanken.</w:t>
      </w:r>
      <w:r w:rsidRPr="0074520F">
        <w:rPr>
          <w:rStyle w:val="Fotnotsreferens"/>
        </w:rPr>
        <w:footnoteReference w:id="5"/>
      </w:r>
      <w:r w:rsidRPr="0074520F">
        <w:t xml:space="preserve"> I studien noteras att enhetsvinsterna ökat snabbt, särskilt under 2022, och att vinstandelen i näringslivet stigit.</w:t>
      </w:r>
    </w:p>
    <w:p w:rsidRPr="0074520F" w:rsidR="00A95190" w:rsidP="0042537C" w:rsidRDefault="000D424E" w14:paraId="1EE0B15E" w14:textId="736C2BEA">
      <w:r w:rsidRPr="0042537C">
        <w:rPr>
          <w:spacing w:val="-3"/>
        </w:rPr>
        <w:t>Det ligger nära till hands att tro att den höga vinstandelen har sin grund i bristande kon</w:t>
      </w:r>
      <w:r w:rsidRPr="0042537C" w:rsidR="0042537C">
        <w:rPr>
          <w:spacing w:val="-3"/>
        </w:rPr>
        <w:softHyphen/>
      </w:r>
      <w:r w:rsidRPr="0042537C">
        <w:rPr>
          <w:spacing w:val="-3"/>
        </w:rPr>
        <w:t>kurrens</w:t>
      </w:r>
      <w:r w:rsidRPr="00DD096E">
        <w:rPr>
          <w:spacing w:val="-3"/>
        </w:rPr>
        <w:t xml:space="preserve"> </w:t>
      </w:r>
      <w:r w:rsidRPr="0042537C">
        <w:t>inom en rad olika branscher i det svenska näringslivet. De svenska livsmedels</w:t>
      </w:r>
      <w:r w:rsidRPr="0042537C" w:rsidR="00DD096E">
        <w:softHyphen/>
      </w:r>
      <w:r w:rsidRPr="0042537C">
        <w:t>priserna</w:t>
      </w:r>
      <w:r w:rsidRPr="0042537C">
        <w:rPr>
          <w:spacing w:val="3"/>
        </w:rPr>
        <w:t xml:space="preserve"> </w:t>
      </w:r>
      <w:r w:rsidRPr="00DD096E">
        <w:rPr>
          <w:spacing w:val="-3"/>
        </w:rPr>
        <w:t>har t.ex. stigit mer än</w:t>
      </w:r>
      <w:r w:rsidRPr="00DD096E" w:rsidR="00AE3C30">
        <w:rPr>
          <w:spacing w:val="-3"/>
        </w:rPr>
        <w:t xml:space="preserve"> livsmedelspriserna</w:t>
      </w:r>
      <w:r w:rsidRPr="00DD096E">
        <w:rPr>
          <w:spacing w:val="-3"/>
        </w:rPr>
        <w:t xml:space="preserve"> i våra grannländer. En viktig förklaring</w:t>
      </w:r>
      <w:r w:rsidRPr="0074520F">
        <w:t xml:space="preserve"> till detta torde vara att dagligvaruhandeln kännetecknas av en mycket hög grad av mark</w:t>
      </w:r>
      <w:r w:rsidR="00DD096E">
        <w:softHyphen/>
      </w:r>
      <w:r w:rsidRPr="00DD096E">
        <w:rPr>
          <w:spacing w:val="-3"/>
        </w:rPr>
        <w:t>nadskoncentration, där de tre stora aktörerna ICA, Axfood och Coop har en sammanlagd</w:t>
      </w:r>
      <w:r w:rsidRPr="0074520F">
        <w:t xml:space="preserve"> </w:t>
      </w:r>
      <w:r w:rsidRPr="0042537C">
        <w:rPr>
          <w:spacing w:val="-3"/>
        </w:rPr>
        <w:t>marknadsandel på 86 procent, vilket gör att de har lätt att pressa upp priserna.</w:t>
      </w:r>
      <w:r w:rsidRPr="0042537C">
        <w:rPr>
          <w:rStyle w:val="Fotnotsreferens"/>
          <w:spacing w:val="-3"/>
        </w:rPr>
        <w:footnoteReference w:id="6"/>
      </w:r>
      <w:r w:rsidRPr="0042537C">
        <w:rPr>
          <w:spacing w:val="-3"/>
        </w:rPr>
        <w:t xml:space="preserve"> Den euro</w:t>
      </w:r>
      <w:r w:rsidRPr="0042537C" w:rsidR="0042537C">
        <w:rPr>
          <w:spacing w:val="-3"/>
        </w:rPr>
        <w:softHyphen/>
      </w:r>
      <w:r w:rsidRPr="0042537C">
        <w:rPr>
          <w:spacing w:val="-3"/>
        </w:rPr>
        <w:t>peiska</w:t>
      </w:r>
      <w:r w:rsidRPr="00DD096E">
        <w:rPr>
          <w:spacing w:val="-3"/>
        </w:rPr>
        <w:t xml:space="preserve"> elmarknaden är också synnerligen dysfunktionell, med en marginalprissättning</w:t>
      </w:r>
      <w:r w:rsidRPr="0074520F">
        <w:t xml:space="preserve"> som driver upp elkostnaderna för svenska hushåll.</w:t>
      </w:r>
    </w:p>
    <w:p w:rsidRPr="0074520F" w:rsidR="000D424E" w:rsidP="00A95190" w:rsidRDefault="000D424E" w14:paraId="20CE56B3" w14:textId="50FC93AC">
      <w:r w:rsidRPr="00DD096E">
        <w:rPr>
          <w:spacing w:val="-3"/>
        </w:rPr>
        <w:t>Den svenska bankmarknaden domineras av de fyra storbankerna (inkluderat Nordea).</w:t>
      </w:r>
      <w:r w:rsidRPr="0074520F">
        <w:t xml:space="preserve"> Bristen på konkurrens visar sig bl.a. i att bankernas inlåningsmarginaler exploderat.</w:t>
      </w:r>
    </w:p>
    <w:p w:rsidRPr="0074520F" w:rsidR="000D424E" w:rsidP="000D424E" w:rsidRDefault="000D424E" w14:paraId="1CDE80FD" w14:textId="0FF02922">
      <w:r w:rsidRPr="0074520F">
        <w:lastRenderedPageBreak/>
        <w:t xml:space="preserve">Riksbanken var först ganska senfärdig med att reagera på den stigande inflationen. Först i maj 2022 övergav man 0-räntan och höjde styrräntan till 0,25 procent, men då </w:t>
      </w:r>
      <w:r w:rsidRPr="00DD096E">
        <w:rPr>
          <w:spacing w:val="-3"/>
        </w:rPr>
        <w:t>var inflationen, mätt som KPIF, redan en bit över 7 procent. Därefter stramades penning</w:t>
      </w:r>
      <w:r w:rsidRPr="00DD096E" w:rsidR="00DD096E">
        <w:rPr>
          <w:spacing w:val="-3"/>
        </w:rPr>
        <w:softHyphen/>
      </w:r>
      <w:r w:rsidRPr="00DD096E">
        <w:rPr>
          <w:spacing w:val="-3"/>
        </w:rPr>
        <w:t>politiken</w:t>
      </w:r>
      <w:r w:rsidRPr="0074520F">
        <w:t xml:space="preserve"> åt desto mer. På 1,5 år höjdes räntan sedan till 4 procent.</w:t>
      </w:r>
    </w:p>
    <w:p w:rsidRPr="0074520F" w:rsidR="000D424E" w:rsidP="00437BF8" w:rsidRDefault="000D424E" w14:paraId="70104459" w14:textId="082D4134">
      <w:pPr>
        <w:pStyle w:val="Tabellrubrik"/>
        <w:rPr>
          <w:b w:val="0"/>
        </w:rPr>
      </w:pPr>
      <w:r w:rsidRPr="0074520F">
        <w:t>Figur 6 Riksbankens styrränta</w:t>
      </w:r>
    </w:p>
    <w:p w:rsidRPr="0074520F" w:rsidR="000D424E" w:rsidP="00437BF8" w:rsidRDefault="000D424E" w14:paraId="3B1B0238" w14:textId="2CFCBA6D">
      <w:pPr>
        <w:pStyle w:val="Tabellunderrubrik"/>
      </w:pPr>
      <w:r w:rsidRPr="0074520F">
        <w:t>Procent</w:t>
      </w:r>
    </w:p>
    <w:p w:rsidRPr="0074520F" w:rsidR="0020346F" w:rsidP="0020346F" w:rsidRDefault="00E37F7C" w14:paraId="733BECD4" w14:textId="4B2B0C15">
      <w:pPr>
        <w:ind w:firstLine="0"/>
      </w:pPr>
      <w:r w:rsidRPr="0074520F">
        <w:rPr>
          <w:noProof/>
          <w14:numSpacing w14:val="default"/>
        </w:rPr>
        <w:drawing>
          <wp:inline distT="0" distB="0" distL="0" distR="0" wp14:anchorId="752764F8" wp14:editId="37C0E568">
            <wp:extent cx="5400000" cy="3240000"/>
            <wp:effectExtent l="0" t="0" r="10795" b="17780"/>
            <wp:docPr id="6" name="Diagram 6" descr="">
              <a:extLst xmlns:a="http://schemas.openxmlformats.org/drawingml/2006/main">
                <a:ext uri="{FF2B5EF4-FFF2-40B4-BE49-F238E27FC236}">
                  <a16:creationId xmlns:a16="http://schemas.microsoft.com/office/drawing/2014/main" id="{C913EE35-B03E-44AD-B3B7-77A427FDAE3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74520F" w:rsidR="000D424E" w:rsidP="00205D5E" w:rsidRDefault="000D424E" w14:paraId="6D860D93" w14:textId="4EC76D05">
      <w:pPr>
        <w:pStyle w:val="Klla"/>
      </w:pPr>
      <w:r w:rsidRPr="0074520F">
        <w:t>Källa: Riksbanken</w:t>
      </w:r>
      <w:r w:rsidRPr="0074520F" w:rsidR="00BD6FE7">
        <w:t>.</w:t>
      </w:r>
    </w:p>
    <w:p w:rsidRPr="0074520F" w:rsidR="000D424E" w:rsidP="00811EB9" w:rsidRDefault="000D424E" w14:paraId="7EEB2F17" w14:textId="6381D361">
      <w:pPr>
        <w:pStyle w:val="Normalutanindragellerluft"/>
      </w:pPr>
      <w:r w:rsidRPr="0042537C">
        <w:rPr>
          <w:spacing w:val="-3"/>
        </w:rPr>
        <w:t>Som tidigare nämnts började inflationen ta fart under 2021 och toppade på drygt 10 procent</w:t>
      </w:r>
      <w:r w:rsidRPr="0074520F">
        <w:t xml:space="preserve"> </w:t>
      </w:r>
      <w:r w:rsidRPr="0042537C">
        <w:rPr>
          <w:spacing w:val="-2"/>
        </w:rPr>
        <w:t>vid slutet av 2022. Därefter har den fallit stadigt, men trots detta fortsatte Riksbanken att</w:t>
      </w:r>
      <w:r w:rsidRPr="0074520F">
        <w:t xml:space="preserve"> höja räntan under 2023 och har under inledningen av 2024 valt att hålla kvar styrräntan </w:t>
      </w:r>
      <w:r w:rsidRPr="0042537C">
        <w:rPr>
          <w:spacing w:val="-3"/>
        </w:rPr>
        <w:t>på höga 4 procent. Den finns anledning att ifrågasätta den förda penningpolitiken. För det första är det tveksamt hur effektiv</w:t>
      </w:r>
      <w:r w:rsidRPr="0042537C" w:rsidR="004A3572">
        <w:rPr>
          <w:spacing w:val="-3"/>
        </w:rPr>
        <w:t>a</w:t>
      </w:r>
      <w:r w:rsidRPr="0042537C">
        <w:rPr>
          <w:spacing w:val="-3"/>
        </w:rPr>
        <w:t xml:space="preserve"> höjda räntor är för att parera en utbuds- och vinstdriven</w:t>
      </w:r>
      <w:r w:rsidRPr="0074520F">
        <w:t xml:space="preserve"> inflationsuppgång. Varken Riksbanken eller svenska hushåll styr ju över internationella </w:t>
      </w:r>
      <w:r w:rsidRPr="0042537C">
        <w:rPr>
          <w:spacing w:val="-3"/>
        </w:rPr>
        <w:t>priser på olja, vete eller gas.</w:t>
      </w:r>
      <w:r w:rsidRPr="0042537C" w:rsidR="00B62422">
        <w:rPr>
          <w:rStyle w:val="Fotnotsreferens"/>
          <w:spacing w:val="-3"/>
        </w:rPr>
        <w:footnoteReference w:id="7"/>
      </w:r>
      <w:r w:rsidRPr="0042537C">
        <w:rPr>
          <w:spacing w:val="-3"/>
        </w:rPr>
        <w:t xml:space="preserve"> Om inflationen är utbudsdriven och ett resultat av dysfunktio</w:t>
      </w:r>
      <w:r w:rsidRPr="0042537C" w:rsidR="0042537C">
        <w:rPr>
          <w:spacing w:val="-3"/>
        </w:rPr>
        <w:softHyphen/>
      </w:r>
      <w:r w:rsidRPr="00BC0826">
        <w:rPr>
          <w:spacing w:val="-2"/>
        </w:rPr>
        <w:t>nella marknader med bristande konkurrens är det snarare andra åtgärder som bör aktuali</w:t>
      </w:r>
      <w:r w:rsidRPr="00BC0826" w:rsidR="00BC0826">
        <w:rPr>
          <w:spacing w:val="-2"/>
        </w:rPr>
        <w:softHyphen/>
      </w:r>
      <w:r w:rsidRPr="00BC0826">
        <w:rPr>
          <w:spacing w:val="-2"/>
        </w:rPr>
        <w:t>seras</w:t>
      </w:r>
      <w:r w:rsidRPr="0074520F">
        <w:t>, såsom regleringar och andra strukturella reformer. För det andra börjar nu infla</w:t>
      </w:r>
      <w:r w:rsidR="00BC0826">
        <w:softHyphen/>
      </w:r>
      <w:r w:rsidRPr="0074520F">
        <w:t>tionen i snabb takt närma sig 2-procent</w:t>
      </w:r>
      <w:r w:rsidRPr="0074520F" w:rsidR="004A3572">
        <w:t>s</w:t>
      </w:r>
      <w:r w:rsidRPr="0074520F">
        <w:t>målet</w:t>
      </w:r>
      <w:r w:rsidR="00C80EC6">
        <w:t>,</w:t>
      </w:r>
      <w:r w:rsidRPr="0074520F">
        <w:t xml:space="preserve"> och olika undersökningar har länge visat att de långsiktiga inflationsförväntningarna är </w:t>
      </w:r>
      <w:r w:rsidRPr="00BC0826">
        <w:rPr>
          <w:spacing w:val="-2"/>
        </w:rPr>
        <w:t>väl förankrade kring inflationsmålet på 2</w:t>
      </w:r>
      <w:r w:rsidRPr="0074520F">
        <w:t xml:space="preserve"> procent. Det framstår därmed alltmer som att Riksbanken bekämpar gårdagens inflation.</w:t>
      </w:r>
    </w:p>
    <w:p w:rsidRPr="0074520F" w:rsidR="000D424E" w:rsidP="000D424E" w:rsidRDefault="000D424E" w14:paraId="1F7A785F" w14:textId="6C2EDFFF">
      <w:r w:rsidRPr="00BC0826">
        <w:rPr>
          <w:spacing w:val="3"/>
        </w:rPr>
        <w:t>En anledning till den aggressiva penningpolitiken från världens centralbanker är rädslan</w:t>
      </w:r>
      <w:r w:rsidRPr="0074520F">
        <w:t xml:space="preserve"> för att löntagarnas förväntan på inflationen ska leda till pris- och lönespiraler </w:t>
      </w:r>
      <w:r w:rsidRPr="00761593">
        <w:rPr>
          <w:spacing w:val="-3"/>
        </w:rPr>
        <w:t>som kan vara svåra att bryta. Den svenska lönebildningen är dock helt annorlunda jämfört</w:t>
      </w:r>
      <w:r w:rsidRPr="0074520F">
        <w:t xml:space="preserve"> med länder som t.ex. USA och Storbritannien. I Sverige är lönebildningen centraliserad med låg löneglidning, vilket minskar risken för pris- och lönespiraler. Jämfört med om</w:t>
      </w:r>
      <w:r w:rsidR="00761593">
        <w:softHyphen/>
      </w:r>
      <w:r w:rsidRPr="0074520F">
        <w:t xml:space="preserve">världen är också en större del av hushållens bolån rörliga. Detta innebär att Riksbankens räntehöjningar slår hårdare i Sverige jämfört med motsvarande höjningar i andra länder. </w:t>
      </w:r>
    </w:p>
    <w:p w:rsidRPr="0074520F" w:rsidR="000D424E" w:rsidP="0020346F" w:rsidRDefault="000D424E" w14:paraId="21ED1044" w14:textId="72224A45">
      <w:r w:rsidRPr="0074520F">
        <w:lastRenderedPageBreak/>
        <w:t>Kostnaderna för den förda politiken är betydande. BNP har minskat tre kvartal på raken, bostadsbyggandet har kraschat och arbetslösheten stiger. Den förda politiken aktualisera</w:t>
      </w:r>
      <w:r w:rsidRPr="0074520F" w:rsidR="00D00510">
        <w:t>r</w:t>
      </w:r>
      <w:r w:rsidRPr="0074520F">
        <w:t xml:space="preserve"> Vänsterpartiets kritik mot de penningpolitiska målformuleringarna. Det framstår som uppenbart att ett ramverk med ett något högre inflationsmål och ett inflationsmål som inte är överordnat realekonomiska hänsyn är att föredra.</w:t>
      </w:r>
    </w:p>
    <w:p w:rsidRPr="0074520F" w:rsidR="000D424E" w:rsidP="00437BF8" w:rsidRDefault="000D424E" w14:paraId="5263763A" w14:textId="58891A4F">
      <w:pPr>
        <w:pStyle w:val="Tabellrubrik"/>
        <w:rPr>
          <w:b w:val="0"/>
        </w:rPr>
      </w:pPr>
      <w:r w:rsidRPr="0074520F">
        <w:t>Figur 7 KPIF-inflationen</w:t>
      </w:r>
      <w:r w:rsidRPr="0074520F" w:rsidR="00D55824">
        <w:t>, 2019</w:t>
      </w:r>
      <w:r w:rsidRPr="0074520F" w:rsidR="0052578A">
        <w:t>–</w:t>
      </w:r>
      <w:r w:rsidRPr="0074520F" w:rsidR="00D55824">
        <w:t>2024 (mars)</w:t>
      </w:r>
    </w:p>
    <w:p w:rsidRPr="0074520F" w:rsidR="000D424E" w:rsidP="00437BF8" w:rsidRDefault="000D424E" w14:paraId="273C5478" w14:textId="2AA35E8C">
      <w:pPr>
        <w:pStyle w:val="Tabellunderrubrik"/>
      </w:pPr>
      <w:r w:rsidRPr="0074520F">
        <w:t>Månadsdata, årstakter</w:t>
      </w:r>
    </w:p>
    <w:p w:rsidRPr="0074520F" w:rsidR="0020346F" w:rsidP="00D55824" w:rsidRDefault="00D55824" w14:paraId="36195504" w14:textId="70D6A012">
      <w:pPr>
        <w:pStyle w:val="Normalutanindragellerluft"/>
      </w:pPr>
      <w:r w:rsidRPr="0074520F">
        <w:rPr>
          <w:noProof/>
          <w14:numSpacing w14:val="default"/>
        </w:rPr>
        <w:drawing>
          <wp:inline distT="0" distB="0" distL="0" distR="0" wp14:anchorId="74C7B751" wp14:editId="39038D68">
            <wp:extent cx="5400000" cy="3240000"/>
            <wp:effectExtent l="0" t="0" r="10795" b="17780"/>
            <wp:docPr id="17" name="Diagram 17" descr="">
              <a:extLst xmlns:a="http://schemas.openxmlformats.org/drawingml/2006/main">
                <a:ext uri="{FF2B5EF4-FFF2-40B4-BE49-F238E27FC236}">
                  <a16:creationId xmlns:a16="http://schemas.microsoft.com/office/drawing/2014/main" id="{BE7F788C-71CC-4DD7-BF87-9F929114726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74520F" w:rsidR="000D424E" w:rsidP="008D5C99" w:rsidRDefault="000D424E" w14:paraId="53F885C1" w14:textId="254350DB">
      <w:pPr>
        <w:pStyle w:val="Klla"/>
      </w:pPr>
      <w:r w:rsidRPr="0074520F">
        <w:t>Källa: SCB</w:t>
      </w:r>
      <w:r w:rsidRPr="0074520F" w:rsidR="007539F8">
        <w:t>.</w:t>
      </w:r>
    </w:p>
    <w:p w:rsidRPr="002526CA" w:rsidR="0085537C" w:rsidP="002526CA" w:rsidRDefault="0085537C" w14:paraId="3612F149" w14:textId="51110484">
      <w:pPr>
        <w:pStyle w:val="Rubrik2numrerat"/>
      </w:pPr>
      <w:bookmarkStart w:name="_Toc166056431" w:id="13"/>
      <w:r w:rsidRPr="002526CA">
        <w:t>Ökad ojämlikhet</w:t>
      </w:r>
      <w:bookmarkEnd w:id="13"/>
    </w:p>
    <w:p w:rsidRPr="0074520F" w:rsidR="00C47C9A" w:rsidP="00B777FE" w:rsidRDefault="00D23F2E" w14:paraId="4728F608" w14:textId="5D542023">
      <w:pPr>
        <w:pStyle w:val="Normalutanindragellerluft"/>
        <w:rPr>
          <w:rFonts w:eastAsia="Times New Roman"/>
        </w:rPr>
      </w:pPr>
      <w:bookmarkStart w:name="_Hlk163729885" w:id="14"/>
      <w:r w:rsidRPr="00761593">
        <w:rPr>
          <w:spacing w:val="-3"/>
        </w:rPr>
        <w:t>Ett strukturproblem i den svenska ekonomin är de stora och kraftigt växande ekonomiska</w:t>
      </w:r>
      <w:r w:rsidRPr="0074520F">
        <w:t xml:space="preserve"> klyftorna. Sverige hör till de OECD-länder där den ekonomiska ojämlikheten ökat mest sedan mitten av 1980-talet. En viktig orsak till de ökade klyftorna är hur det svenska </w:t>
      </w:r>
      <w:r w:rsidRPr="00761593">
        <w:rPr>
          <w:spacing w:val="-3"/>
        </w:rPr>
        <w:t>skattesystemet utvecklats. Sverige har gått från att vara ett av de länder vars skattesystem</w:t>
      </w:r>
      <w:r w:rsidRPr="0074520F">
        <w:t xml:space="preserve"> </w:t>
      </w:r>
      <w:r w:rsidRPr="00761593">
        <w:rPr>
          <w:spacing w:val="-3"/>
        </w:rPr>
        <w:t>omfördelar mest till att ha det minst omfördelande skattesystemet inom EU:s kärnländer</w:t>
      </w:r>
      <w:r w:rsidRPr="0074520F">
        <w:t>.</w:t>
      </w:r>
      <w:r w:rsidRPr="0074520F">
        <w:rPr>
          <w:rStyle w:val="Fotnotsreferens"/>
          <w:sz w:val="22"/>
          <w:szCs w:val="22"/>
        </w:rPr>
        <w:footnoteReference w:id="8"/>
      </w:r>
      <w:r w:rsidRPr="0074520F">
        <w:t xml:space="preserve"> </w:t>
      </w:r>
      <w:r w:rsidRPr="00761593">
        <w:rPr>
          <w:spacing w:val="-3"/>
        </w:rPr>
        <w:t>En annan central faktor bakom den växande ojämlikheten är kapitalinkomsternas utveck</w:t>
      </w:r>
      <w:r w:rsidRPr="00761593" w:rsidR="00761593">
        <w:rPr>
          <w:spacing w:val="-3"/>
        </w:rPr>
        <w:softHyphen/>
      </w:r>
      <w:r w:rsidRPr="00761593">
        <w:rPr>
          <w:spacing w:val="-3"/>
        </w:rPr>
        <w:t xml:space="preserve">ling och fördelning. Inkomsterna från kapital har ökat markant sedan </w:t>
      </w:r>
      <w:r w:rsidRPr="00761593" w:rsidR="00C47C9A">
        <w:rPr>
          <w:spacing w:val="-3"/>
        </w:rPr>
        <w:t>början</w:t>
      </w:r>
      <w:r w:rsidRPr="00761593" w:rsidR="004E16A4">
        <w:rPr>
          <w:spacing w:val="-3"/>
        </w:rPr>
        <w:t xml:space="preserve"> av</w:t>
      </w:r>
      <w:r w:rsidRPr="00761593">
        <w:rPr>
          <w:spacing w:val="-3"/>
        </w:rPr>
        <w:t xml:space="preserve"> 1990-talet</w:t>
      </w:r>
      <w:r w:rsidRPr="00761593" w:rsidR="008C0CE4">
        <w:rPr>
          <w:spacing w:val="-3"/>
        </w:rPr>
        <w:t>,</w:t>
      </w:r>
      <w:r w:rsidRPr="0074520F">
        <w:t xml:space="preserve"> och eftersom fördelningen av kapitalinkomsterna är mycket ojämn har det lett till ökade klyftor. </w:t>
      </w:r>
      <w:r w:rsidRPr="0074520F" w:rsidR="00C47C9A">
        <w:rPr>
          <w:rFonts w:eastAsia="Times New Roman"/>
        </w:rPr>
        <w:t>I figuren nedan visas kapitalinkomsterna per percentil som andel av hushållens totala inkomster av kapital.</w:t>
      </w:r>
    </w:p>
    <w:p w:rsidRPr="0074520F" w:rsidR="00C47C9A" w:rsidP="00FD1E5E" w:rsidRDefault="00C47C9A" w14:paraId="09736EF2" w14:textId="7402A893">
      <w:pPr>
        <w:pStyle w:val="Tabellrubrik"/>
      </w:pPr>
      <w:r w:rsidRPr="0074520F">
        <w:lastRenderedPageBreak/>
        <w:t>Figur 8 Inkomst av kapital per percentil, 202</w:t>
      </w:r>
      <w:r w:rsidRPr="0074520F" w:rsidR="00403817">
        <w:t>2</w:t>
      </w:r>
    </w:p>
    <w:p w:rsidRPr="0074520F" w:rsidR="00C47C9A" w:rsidP="00FD1E5E" w:rsidRDefault="00C47C9A" w14:paraId="60F65C4F" w14:textId="75FA4126">
      <w:pPr>
        <w:pStyle w:val="Tabellunderrubrik"/>
      </w:pPr>
      <w:r w:rsidRPr="0074520F">
        <w:t>Andel av hushållens totala inkomster från kapital, procent</w:t>
      </w:r>
    </w:p>
    <w:p w:rsidRPr="0074520F" w:rsidR="00C47C9A" w:rsidP="00841CEB" w:rsidRDefault="00841CEB" w14:paraId="46E26144" w14:textId="53D640D6">
      <w:pPr>
        <w:pStyle w:val="Normalutanindragellerluft"/>
      </w:pPr>
      <w:r w:rsidRPr="0074520F">
        <w:rPr>
          <w:noProof/>
          <w14:numSpacing w14:val="default"/>
        </w:rPr>
        <w:drawing>
          <wp:inline distT="0" distB="0" distL="0" distR="0" wp14:anchorId="1CF2EB4F" wp14:editId="410B0B58">
            <wp:extent cx="5400040" cy="2338705"/>
            <wp:effectExtent l="0" t="0" r="10160" b="4445"/>
            <wp:docPr id="14" name="Diagram 14" descr="">
              <a:extLst xmlns:a="http://schemas.openxmlformats.org/drawingml/2006/main">
                <a:ext uri="{FF2B5EF4-FFF2-40B4-BE49-F238E27FC236}">
                  <a16:creationId xmlns:a16="http://schemas.microsoft.com/office/drawing/2014/main" id="{74397194-00F2-43CD-AB60-644B333249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Pr="0074520F" w:rsidR="00C47C9A" w:rsidP="0052578A" w:rsidRDefault="00C47C9A" w14:paraId="58F214AF" w14:textId="66402BEF">
      <w:pPr>
        <w:pStyle w:val="Klla"/>
      </w:pPr>
      <w:r w:rsidRPr="0074520F">
        <w:t>Källa: SCB.</w:t>
      </w:r>
    </w:p>
    <w:bookmarkEnd w:id="14"/>
    <w:p w:rsidRPr="0074520F" w:rsidR="00841CEB" w:rsidP="002526CA" w:rsidRDefault="00841CEB" w14:paraId="3DE426CA" w14:textId="4A8CF6F2">
      <w:pPr>
        <w:spacing w:before="80"/>
        <w:ind w:firstLine="0"/>
        <w:rPr>
          <w:rFonts w:eastAsia="Times New Roman"/>
        </w:rPr>
      </w:pPr>
      <w:r w:rsidRPr="0074520F">
        <w:rPr>
          <w:rFonts w:eastAsia="Times New Roman"/>
        </w:rPr>
        <w:t xml:space="preserve">Av de totala kapitalinkomsterna gick 60 procent till den hundradel av befolkningen som </w:t>
      </w:r>
      <w:r w:rsidRPr="00761593">
        <w:rPr>
          <w:rFonts w:eastAsia="Times New Roman"/>
          <w:spacing w:val="-3"/>
        </w:rPr>
        <w:t xml:space="preserve">hade de högsta inkomsterna. </w:t>
      </w:r>
      <w:r w:rsidRPr="00761593">
        <w:rPr>
          <w:spacing w:val="-3"/>
        </w:rPr>
        <w:t>I Konjunkturrådets (SNS) rapport för 2018 görs bedömningen</w:t>
      </w:r>
      <w:r w:rsidRPr="0074520F">
        <w:t xml:space="preserve"> </w:t>
      </w:r>
      <w:r w:rsidRPr="00761593">
        <w:rPr>
          <w:spacing w:val="-3"/>
        </w:rPr>
        <w:t>att ungefär hälften av de ökade klyftorna sedan 1995 kan härledas till kapitalinkomsterna</w:t>
      </w:r>
      <w:r w:rsidRPr="0074520F">
        <w:t>.</w:t>
      </w:r>
      <w:r w:rsidRPr="0074520F">
        <w:rPr>
          <w:rStyle w:val="Fotnotsreferens"/>
          <w:rFonts w:ascii="Times New Roman" w:hAnsi="Times New Roman" w:cs="Times New Roman"/>
        </w:rPr>
        <w:footnoteReference w:id="9"/>
      </w:r>
      <w:r w:rsidRPr="0074520F">
        <w:rPr>
          <w:rFonts w:eastAsia="Times New Roman"/>
        </w:rPr>
        <w:t xml:space="preserve"> Kapitalinkomsterna är också ojämnt fördelade mellan kvinnor och män, där kvinnors andel av de totala kapitalinkomsterna beräknas uppgå till ca 30 procent.</w:t>
      </w:r>
      <w:r w:rsidRPr="0074520F">
        <w:rPr>
          <w:rStyle w:val="Fotnotsreferens"/>
          <w:rFonts w:ascii="Times New Roman" w:hAnsi="Times New Roman" w:eastAsia="Times New Roman" w:cs="Times New Roman"/>
        </w:rPr>
        <w:footnoteReference w:id="10"/>
      </w:r>
      <w:r w:rsidRPr="0074520F" w:rsidR="00EC6834">
        <w:rPr>
          <w:rFonts w:eastAsia="Times New Roman"/>
        </w:rPr>
        <w:t xml:space="preserve"> </w:t>
      </w:r>
    </w:p>
    <w:p w:rsidRPr="0074520F" w:rsidR="00426216" w:rsidP="003F1EA1" w:rsidRDefault="00EC6834" w14:paraId="43A07284" w14:textId="4DDD7227">
      <w:pPr>
        <w:rPr>
          <w:rFonts w:eastAsia="Times New Roman"/>
        </w:rPr>
      </w:pPr>
      <w:r w:rsidRPr="00F27CEA">
        <w:rPr>
          <w:rFonts w:eastAsia="Times New Roman"/>
          <w:spacing w:val="-3"/>
        </w:rPr>
        <w:t>De ökande inkomstskillnaderna påverkar naturligtvis förmögenhetsfördelningen. Dessa</w:t>
      </w:r>
      <w:r w:rsidRPr="0074520F">
        <w:rPr>
          <w:rFonts w:eastAsia="Times New Roman"/>
        </w:rPr>
        <w:t xml:space="preserve"> är betydligt mer ojämlikt fördelade än inkomsterna. </w:t>
      </w:r>
      <w:r w:rsidRPr="0074520F" w:rsidR="007A3172">
        <w:rPr>
          <w:rFonts w:eastAsia="Times New Roman"/>
        </w:rPr>
        <w:t>Den svenska förmögenhetsfördel</w:t>
      </w:r>
      <w:r w:rsidR="00F27CEA">
        <w:rPr>
          <w:rFonts w:eastAsia="Times New Roman"/>
        </w:rPr>
        <w:softHyphen/>
      </w:r>
      <w:r w:rsidRPr="0074520F" w:rsidR="007A3172">
        <w:rPr>
          <w:rFonts w:eastAsia="Times New Roman"/>
        </w:rPr>
        <w:t xml:space="preserve">ningen är bland de mest ojämlika i hela världen, se figur 9 nedan. Den är betydligt mer </w:t>
      </w:r>
      <w:r w:rsidRPr="00F27CEA" w:rsidR="007A3172">
        <w:rPr>
          <w:rFonts w:eastAsia="Times New Roman"/>
          <w:spacing w:val="-3"/>
        </w:rPr>
        <w:t xml:space="preserve">ojämlik jämfört med </w:t>
      </w:r>
      <w:r w:rsidRPr="00F27CEA" w:rsidR="0067324D">
        <w:rPr>
          <w:rFonts w:eastAsia="Times New Roman"/>
          <w:spacing w:val="-3"/>
        </w:rPr>
        <w:t>e</w:t>
      </w:r>
      <w:r w:rsidRPr="00F27CEA" w:rsidR="007A3172">
        <w:rPr>
          <w:rFonts w:eastAsia="Times New Roman"/>
          <w:spacing w:val="-3"/>
        </w:rPr>
        <w:t>uropeiska länder som Frankrike, Tyskland och våra nordiska grann</w:t>
      </w:r>
      <w:r w:rsidRPr="00F27CEA" w:rsidR="00F27CEA">
        <w:rPr>
          <w:rFonts w:eastAsia="Times New Roman"/>
          <w:spacing w:val="-3"/>
        </w:rPr>
        <w:softHyphen/>
      </w:r>
      <w:r w:rsidRPr="00F27CEA" w:rsidR="007A3172">
        <w:rPr>
          <w:rFonts w:eastAsia="Times New Roman"/>
          <w:spacing w:val="-3"/>
        </w:rPr>
        <w:t>länder</w:t>
      </w:r>
      <w:r w:rsidRPr="0074520F" w:rsidR="00752165">
        <w:rPr>
          <w:rFonts w:eastAsia="Times New Roman"/>
        </w:rPr>
        <w:t xml:space="preserve"> och </w:t>
      </w:r>
      <w:r w:rsidRPr="0074520F" w:rsidR="00632F4D">
        <w:rPr>
          <w:rFonts w:eastAsia="Times New Roman"/>
        </w:rPr>
        <w:t>t.o.m.</w:t>
      </w:r>
      <w:r w:rsidRPr="0074520F" w:rsidR="00752165">
        <w:rPr>
          <w:rFonts w:eastAsia="Times New Roman"/>
        </w:rPr>
        <w:t xml:space="preserve"> mer ojämlik än i Saudi</w:t>
      </w:r>
      <w:r w:rsidR="00357E56">
        <w:rPr>
          <w:rFonts w:eastAsia="Times New Roman"/>
        </w:rPr>
        <w:t>a</w:t>
      </w:r>
      <w:r w:rsidRPr="0074520F" w:rsidR="00752165">
        <w:rPr>
          <w:rFonts w:eastAsia="Times New Roman"/>
        </w:rPr>
        <w:t>rabien.</w:t>
      </w:r>
    </w:p>
    <w:p w:rsidRPr="0074520F" w:rsidR="00A67941" w:rsidP="0035310D" w:rsidRDefault="00426216" w14:paraId="7E77D8AA" w14:textId="7F84492A">
      <w:pPr>
        <w:pStyle w:val="Tabellrubrik"/>
      </w:pPr>
      <w:r w:rsidRPr="0074520F">
        <w:t xml:space="preserve">Figur </w:t>
      </w:r>
      <w:r w:rsidRPr="0074520F" w:rsidR="007A3172">
        <w:t>9</w:t>
      </w:r>
      <w:r w:rsidRPr="0074520F">
        <w:t xml:space="preserve"> Förmögenhetsfördelning, 2022, </w:t>
      </w:r>
      <w:proofErr w:type="spellStart"/>
      <w:r w:rsidRPr="0074520F">
        <w:t>Ginikoefficient</w:t>
      </w:r>
      <w:proofErr w:type="spellEnd"/>
    </w:p>
    <w:p w:rsidRPr="0074520F" w:rsidR="00A67941" w:rsidP="00A67941" w:rsidRDefault="00A67941" w14:paraId="1A5C5704" w14:textId="12B230BD">
      <w:pPr>
        <w:ind w:firstLine="0"/>
        <w:rPr>
          <w:lang w:val="en-GB"/>
        </w:rPr>
      </w:pPr>
      <w:r w:rsidRPr="0074520F">
        <w:rPr>
          <w:noProof/>
          <w14:numSpacing w14:val="default"/>
        </w:rPr>
        <w:drawing>
          <wp:inline distT="0" distB="0" distL="0" distR="0" wp14:anchorId="5904771C" wp14:editId="22423867">
            <wp:extent cx="5400000" cy="2743200"/>
            <wp:effectExtent l="0" t="0" r="10795" b="0"/>
            <wp:docPr id="21" name="Diagram 21" descr="">
              <a:extLst xmlns:a="http://schemas.openxmlformats.org/drawingml/2006/main">
                <a:ext uri="{FF2B5EF4-FFF2-40B4-BE49-F238E27FC236}">
                  <a16:creationId xmlns:a16="http://schemas.microsoft.com/office/drawing/2014/main" id="{B2664DEE-111A-4D13-B66E-A145225E10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Pr="0074520F" w:rsidR="00717032" w:rsidP="0052578A" w:rsidRDefault="00717032" w14:paraId="5AA17DF0" w14:textId="64DA3B2D">
      <w:pPr>
        <w:pStyle w:val="Klla"/>
        <w:rPr>
          <w:lang w:val="en-GB"/>
        </w:rPr>
      </w:pPr>
      <w:proofErr w:type="spellStart"/>
      <w:r w:rsidRPr="0074520F">
        <w:rPr>
          <w:lang w:val="en-GB"/>
        </w:rPr>
        <w:t>Källa</w:t>
      </w:r>
      <w:proofErr w:type="spellEnd"/>
      <w:r w:rsidRPr="0074520F">
        <w:rPr>
          <w:lang w:val="en-GB"/>
        </w:rPr>
        <w:t>: UBS (2023), Global Wealth Report 2023</w:t>
      </w:r>
      <w:r w:rsidRPr="0074520F" w:rsidR="006937EE">
        <w:rPr>
          <w:lang w:val="en-GB"/>
        </w:rPr>
        <w:t>.</w:t>
      </w:r>
    </w:p>
    <w:p w:rsidR="00F27CEA" w:rsidRDefault="00F27CEA" w14:paraId="7EE6680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74520F" w:rsidR="00EB0ECC" w:rsidP="00EC1CF6" w:rsidRDefault="00E0349C" w14:paraId="1CF664F5" w14:textId="43712752">
      <w:pPr>
        <w:pStyle w:val="Normalutanindragellerluft"/>
      </w:pPr>
      <w:r w:rsidRPr="0074520F">
        <w:lastRenderedPageBreak/>
        <w:t>De ekonomiska klyftorna är ett stort samhällsproblem. I boken Jämlikhetsanden går för</w:t>
      </w:r>
      <w:r w:rsidR="00EC1CF6">
        <w:softHyphen/>
      </w:r>
      <w:r w:rsidRPr="00EC1CF6">
        <w:rPr>
          <w:spacing w:val="-3"/>
        </w:rPr>
        <w:t>fattarna Wilkinson och Pickett igenom och sammanställer 40 års forskning om ojämlikhet,</w:t>
      </w:r>
      <w:r w:rsidRPr="0074520F">
        <w:t xml:space="preserve"> hälsa och so</w:t>
      </w:r>
      <w:r w:rsidR="00761593">
        <w:softHyphen/>
      </w:r>
      <w:r w:rsidRPr="0074520F">
        <w:t>ciala problem.</w:t>
      </w:r>
      <w:r w:rsidRPr="0074520F" w:rsidR="007E135D">
        <w:rPr>
          <w:rStyle w:val="Fotnotsreferens"/>
          <w:sz w:val="22"/>
          <w:szCs w:val="22"/>
        </w:rPr>
        <w:footnoteReference w:id="11"/>
      </w:r>
      <w:r w:rsidRPr="0074520F">
        <w:t xml:space="preserve"> I boken visar de på en stark koppling mellan ojämlikhet och en rad olika sociala </w:t>
      </w:r>
      <w:r w:rsidRPr="00EC1CF6">
        <w:rPr>
          <w:spacing w:val="-2"/>
        </w:rPr>
        <w:t xml:space="preserve">och hälsorelaterade indikatorer. När ojämlikheten ökar tenderar skolresultat, förväntad livslängd, </w:t>
      </w:r>
      <w:r w:rsidRPr="00EC1CF6">
        <w:rPr>
          <w:spacing w:val="-3"/>
        </w:rPr>
        <w:t>social rörlighet, psykisk ohälsa, droganvändning, krimi</w:t>
      </w:r>
      <w:r w:rsidR="00EC1CF6">
        <w:rPr>
          <w:spacing w:val="-3"/>
        </w:rPr>
        <w:softHyphen/>
      </w:r>
      <w:r w:rsidRPr="00EC1CF6">
        <w:rPr>
          <w:spacing w:val="-3"/>
        </w:rPr>
        <w:t>nalitet m.m. att utvecklas negativt. I ojämlika</w:t>
      </w:r>
      <w:r w:rsidRPr="0074520F">
        <w:t xml:space="preserve"> </w:t>
      </w:r>
      <w:r w:rsidRPr="00EC1CF6">
        <w:rPr>
          <w:spacing w:val="-3"/>
        </w:rPr>
        <w:t>samhällen får klass och status ökad betydelse och påverkar hur vi människor ser på varandra.</w:t>
      </w:r>
      <w:r w:rsidRPr="0074520F" w:rsidR="00EB0ECC">
        <w:t xml:space="preserve"> </w:t>
      </w:r>
      <w:r w:rsidRPr="0074520F">
        <w:t xml:space="preserve">Den ekonomiska ojämlikheten </w:t>
      </w:r>
      <w:r w:rsidRPr="0074520F" w:rsidR="00EB0ECC">
        <w:t>påverkar också tillväxten negativt. Sverige hör till de länder där den ökade ojämlikheten påverkat tillväxten förhållandevis mycket.</w:t>
      </w:r>
      <w:r w:rsidRPr="0074520F" w:rsidR="00EB0ECC">
        <w:rPr>
          <w:rStyle w:val="Fotnotsreferens"/>
          <w:sz w:val="22"/>
          <w:szCs w:val="22"/>
        </w:rPr>
        <w:footnoteReference w:id="12"/>
      </w:r>
      <w:r w:rsidRPr="0074520F" w:rsidR="00EB0ECC">
        <w:t xml:space="preserve"> </w:t>
      </w:r>
    </w:p>
    <w:p w:rsidRPr="0074520F" w:rsidR="00591F6A" w:rsidP="00EC1CF6" w:rsidRDefault="004957C3" w14:paraId="5C136812" w14:textId="28C00D28">
      <w:r w:rsidRPr="0074520F">
        <w:t xml:space="preserve">Det behövs en radikal omläggning av den ekonomiska politiken. I vår motion </w:t>
      </w:r>
      <w:r w:rsidR="00C70C5B">
        <w:t>till</w:t>
      </w:r>
      <w:r w:rsidRPr="0074520F">
        <w:t xml:space="preserve"> budgetpropositionen för 2024 lade Vänsterpartiet förslag på höjda skatter </w:t>
      </w:r>
      <w:r w:rsidRPr="0074520F" w:rsidR="00E65A78">
        <w:t xml:space="preserve">på </w:t>
      </w:r>
      <w:r w:rsidRPr="0074520F">
        <w:t>kapital</w:t>
      </w:r>
      <w:r w:rsidR="00EC1CF6">
        <w:softHyphen/>
      </w:r>
      <w:r w:rsidRPr="0074520F">
        <w:t>inkomster, arv, gåvor och fastigheter m.m. som finansiering för satsningar på välfärden, socialförsäkringarna</w:t>
      </w:r>
      <w:r w:rsidR="00B54FD2">
        <w:t xml:space="preserve"> och</w:t>
      </w:r>
      <w:r w:rsidRPr="0074520F">
        <w:t xml:space="preserve"> bostads- och infrastrukturfinansieringar samt sänkt skatt för låg- och medelinkomsttagare. På så sätt ökar vi jämlikheten samtidigt som vi stärker välfärden. </w:t>
      </w:r>
      <w:r w:rsidRPr="0074520F" w:rsidR="00F05244">
        <w:t>Så</w:t>
      </w:r>
      <w:r w:rsidRPr="0074520F">
        <w:t xml:space="preserve"> bygger vi Sverige starkare i en värld av hård global konkurrens. </w:t>
      </w:r>
    </w:p>
    <w:p w:rsidRPr="0074520F" w:rsidR="004957C3" w:rsidP="00EC1CF6" w:rsidRDefault="004957C3" w14:paraId="0FBD9C62" w14:textId="3A8055C6">
      <w:r w:rsidRPr="0074520F">
        <w:t xml:space="preserve">I denna motion går vi vidare </w:t>
      </w:r>
      <w:r w:rsidRPr="0074520F" w:rsidR="00591F6A">
        <w:t xml:space="preserve">och säkrar resurserna till sjukvården och presenterar en </w:t>
      </w:r>
      <w:r w:rsidRPr="00EC1CF6" w:rsidR="00591F6A">
        <w:rPr>
          <w:spacing w:val="-3"/>
        </w:rPr>
        <w:t>investerings- och jobbsatsning i kommunsektorn som vi kallar Sverigejobben. Denna sats</w:t>
      </w:r>
      <w:r w:rsidRPr="00EC1CF6" w:rsidR="00EC1CF6">
        <w:rPr>
          <w:spacing w:val="-3"/>
        </w:rPr>
        <w:softHyphen/>
      </w:r>
      <w:r w:rsidRPr="00EC1CF6" w:rsidR="00591F6A">
        <w:rPr>
          <w:spacing w:val="-3"/>
        </w:rPr>
        <w:t>ning innebär att staten går in som medfinansiär för att kommuner och regioner ska kunna tidigarelägga planerade investeringar och underhåll. Det kan handla om t.ex. renovering</w:t>
      </w:r>
      <w:r w:rsidRPr="0074520F" w:rsidR="00591F6A">
        <w:t xml:space="preserve"> av skolor och förskolor, anläggningsarbeten för nybyggnation, reinvester</w:t>
      </w:r>
      <w:r w:rsidR="00EC1CF6">
        <w:softHyphen/>
      </w:r>
      <w:r w:rsidRPr="0074520F" w:rsidR="00591F6A">
        <w:t>ingar i VA-infra</w:t>
      </w:r>
      <w:r w:rsidR="00EC1CF6">
        <w:softHyphen/>
      </w:r>
      <w:r w:rsidRPr="0074520F" w:rsidR="00591F6A">
        <w:t xml:space="preserve">struktur, klimatanpassningar i den fysiska miljön och </w:t>
      </w:r>
      <w:r w:rsidR="00B54FD2">
        <w:t>av</w:t>
      </w:r>
      <w:r w:rsidRPr="0074520F" w:rsidR="00591F6A">
        <w:t>betal</w:t>
      </w:r>
      <w:r w:rsidR="00B54FD2">
        <w:t>ning</w:t>
      </w:r>
      <w:r w:rsidRPr="0074520F" w:rsidR="00591F6A">
        <w:t xml:space="preserve"> av underhållsskulden för det kommunala vägnätet.</w:t>
      </w:r>
    </w:p>
    <w:p w:rsidRPr="002526CA" w:rsidR="00F40AE5" w:rsidP="002526CA" w:rsidRDefault="00F40AE5" w14:paraId="5613F8C9" w14:textId="47DFA004">
      <w:pPr>
        <w:pStyle w:val="Rubrik2numrerat"/>
      </w:pPr>
      <w:bookmarkStart w:name="_Toc166056432" w:id="15"/>
      <w:r w:rsidRPr="002526CA">
        <w:t>Finanspolitiska överväganden</w:t>
      </w:r>
      <w:bookmarkEnd w:id="15"/>
    </w:p>
    <w:p w:rsidRPr="0074520F" w:rsidR="00D63A3E" w:rsidP="00F7544C" w:rsidRDefault="00C874EF" w14:paraId="0DA427CE" w14:textId="4B62B807">
      <w:pPr>
        <w:pStyle w:val="Normalutanindragellerluft"/>
      </w:pPr>
      <w:r w:rsidRPr="00EC1CF6">
        <w:rPr>
          <w:spacing w:val="-3"/>
        </w:rPr>
        <w:t>Regeringen föreslår ändringar i budgeten för 2024 som sammantaget försvagar de offent</w:t>
      </w:r>
      <w:r w:rsidRPr="00EC1CF6" w:rsidR="00EC1CF6">
        <w:rPr>
          <w:spacing w:val="-3"/>
        </w:rPr>
        <w:softHyphen/>
      </w:r>
      <w:r w:rsidRPr="00EC1CF6">
        <w:rPr>
          <w:spacing w:val="-3"/>
        </w:rPr>
        <w:t xml:space="preserve">liga </w:t>
      </w:r>
      <w:r w:rsidRPr="0074520F">
        <w:t>finanserna med ca 17 miljarder</w:t>
      </w:r>
      <w:r w:rsidRPr="0074520F" w:rsidR="00607E1B">
        <w:t xml:space="preserve"> kronor</w:t>
      </w:r>
      <w:r w:rsidRPr="0074520F">
        <w:t xml:space="preserve">. Det strukturella sparandet för 2024 bedöms landa på </w:t>
      </w:r>
      <w:r w:rsidR="00AA4C0E">
        <w:t>–</w:t>
      </w:r>
      <w:r w:rsidRPr="0074520F">
        <w:t xml:space="preserve">0,2 procent av BNP. </w:t>
      </w:r>
      <w:r w:rsidRPr="0074520F" w:rsidR="00465C44">
        <w:t xml:space="preserve">I Vänsterpartiets budgetmotion för 2024 föreslog </w:t>
      </w:r>
      <w:r w:rsidRPr="0074520F" w:rsidR="001C58F0">
        <w:t xml:space="preserve">vi att dagens överskottsmål för de offentliga finanserna </w:t>
      </w:r>
      <w:r w:rsidR="00A267D8">
        <w:t>skulle</w:t>
      </w:r>
      <w:r w:rsidRPr="0074520F" w:rsidR="001C58F0">
        <w:t xml:space="preserve"> överges till förmån för ett </w:t>
      </w:r>
      <w:r w:rsidRPr="0074520F" w:rsidR="00BA671D">
        <w:t xml:space="preserve">nytt </w:t>
      </w:r>
      <w:r w:rsidRPr="00EC1CF6" w:rsidR="00BA671D">
        <w:rPr>
          <w:spacing w:val="-3"/>
        </w:rPr>
        <w:t>mål för det finansiella sparandet på</w:t>
      </w:r>
      <w:r w:rsidRPr="00EC1CF6" w:rsidR="001C58F0">
        <w:rPr>
          <w:spacing w:val="-3"/>
        </w:rPr>
        <w:t xml:space="preserve"> </w:t>
      </w:r>
      <w:r w:rsidRPr="00EC1CF6" w:rsidR="00C03510">
        <w:rPr>
          <w:spacing w:val="-3"/>
        </w:rPr>
        <w:t>–</w:t>
      </w:r>
      <w:r w:rsidRPr="00EC1CF6" w:rsidR="001C58F0">
        <w:rPr>
          <w:spacing w:val="-3"/>
        </w:rPr>
        <w:t>1 procent av BNP över en konjunkturcykel. Förslagen</w:t>
      </w:r>
      <w:r w:rsidRPr="0074520F" w:rsidR="001C58F0">
        <w:t xml:space="preserve"> i denna motion beräknas sammanlagt </w:t>
      </w:r>
      <w:r w:rsidRPr="00D250D7" w:rsidR="001C58F0">
        <w:t xml:space="preserve">försvaga </w:t>
      </w:r>
      <w:r w:rsidRPr="00D250D7" w:rsidR="00E37F7C">
        <w:t xml:space="preserve">de offentliga finanserna med ca </w:t>
      </w:r>
      <w:r w:rsidRPr="00D250D7" w:rsidR="00E61A14">
        <w:t>0,</w:t>
      </w:r>
      <w:r w:rsidRPr="00D250D7" w:rsidR="00BF4591">
        <w:t>2</w:t>
      </w:r>
      <w:r w:rsidRPr="00D250D7" w:rsidR="00E61A14">
        <w:t xml:space="preserve"> pro</w:t>
      </w:r>
      <w:r w:rsidRPr="00D250D7" w:rsidR="00D250D7">
        <w:softHyphen/>
      </w:r>
      <w:r w:rsidRPr="00D250D7" w:rsidR="00E61A14">
        <w:rPr>
          <w:spacing w:val="-3"/>
        </w:rPr>
        <w:t>centenheter</w:t>
      </w:r>
      <w:r w:rsidRPr="00D250D7" w:rsidR="00BF4591">
        <w:rPr>
          <w:spacing w:val="-3"/>
        </w:rPr>
        <w:t xml:space="preserve"> (i relation till </w:t>
      </w:r>
      <w:proofErr w:type="spellStart"/>
      <w:r w:rsidRPr="00D250D7" w:rsidR="00BF4591">
        <w:rPr>
          <w:spacing w:val="-3"/>
        </w:rPr>
        <w:t>vårändringsbudgeten</w:t>
      </w:r>
      <w:proofErr w:type="spellEnd"/>
      <w:r w:rsidRPr="00D250D7" w:rsidR="00BF4591">
        <w:rPr>
          <w:spacing w:val="-3"/>
        </w:rPr>
        <w:t>)</w:t>
      </w:r>
      <w:r w:rsidRPr="00D250D7" w:rsidR="00E61A14">
        <w:rPr>
          <w:spacing w:val="-3"/>
        </w:rPr>
        <w:t>. Det</w:t>
      </w:r>
      <w:r w:rsidRPr="00D250D7" w:rsidR="00465C44">
        <w:rPr>
          <w:spacing w:val="-3"/>
        </w:rPr>
        <w:t xml:space="preserve"> struktur</w:t>
      </w:r>
      <w:r w:rsidRPr="00D250D7" w:rsidR="003A7300">
        <w:rPr>
          <w:spacing w:val="-3"/>
        </w:rPr>
        <w:softHyphen/>
      </w:r>
      <w:r w:rsidRPr="00D250D7" w:rsidR="00465C44">
        <w:rPr>
          <w:spacing w:val="-3"/>
        </w:rPr>
        <w:t xml:space="preserve">ella sparandet </w:t>
      </w:r>
      <w:r w:rsidRPr="00D250D7" w:rsidR="00E61A14">
        <w:rPr>
          <w:spacing w:val="-3"/>
        </w:rPr>
        <w:t xml:space="preserve">med förslagen </w:t>
      </w:r>
      <w:r w:rsidRPr="00D250D7" w:rsidR="00465C44">
        <w:rPr>
          <w:spacing w:val="-3"/>
        </w:rPr>
        <w:t>i</w:t>
      </w:r>
      <w:r w:rsidRPr="0074520F" w:rsidR="00465C44">
        <w:t xml:space="preserve"> </w:t>
      </w:r>
      <w:r w:rsidRPr="0074520F" w:rsidR="00E61A14">
        <w:t xml:space="preserve">denna motion skulle således hamna på ca </w:t>
      </w:r>
      <w:r w:rsidR="00284DDC">
        <w:t>–</w:t>
      </w:r>
      <w:r w:rsidRPr="0074520F" w:rsidR="00E61A14">
        <w:t>0,</w:t>
      </w:r>
      <w:r w:rsidRPr="0074520F" w:rsidR="00BF4591">
        <w:t>4</w:t>
      </w:r>
      <w:r w:rsidRPr="0074520F" w:rsidR="00465C44">
        <w:t xml:space="preserve"> procent av BNP</w:t>
      </w:r>
      <w:r w:rsidRPr="0074520F" w:rsidR="00F576DC">
        <w:t xml:space="preserve"> och ligger således väl inom ramen för Vänsterpartiets mål för de offentliga finanserna.</w:t>
      </w:r>
    </w:p>
    <w:p w:rsidRPr="002526CA" w:rsidR="003C32FA" w:rsidP="002526CA" w:rsidRDefault="00DB0DBD" w14:paraId="0C3FCF0D" w14:textId="49C69D5C">
      <w:pPr>
        <w:pStyle w:val="Rubrik1numrerat"/>
      </w:pPr>
      <w:bookmarkStart w:name="_Toc162362955" w:id="16"/>
      <w:bookmarkStart w:name="_Toc166056433" w:id="17"/>
      <w:r w:rsidRPr="002526CA">
        <w:t>Regeringen kör berg- och dalbana med kommunsektorns finansiering</w:t>
      </w:r>
      <w:bookmarkEnd w:id="16"/>
      <w:bookmarkEnd w:id="17"/>
    </w:p>
    <w:p w:rsidRPr="0074520F" w:rsidR="0009785C" w:rsidP="009133A7" w:rsidRDefault="00203E90" w14:paraId="1ACD6AE6" w14:textId="344C69A8">
      <w:pPr>
        <w:pStyle w:val="Normalutanindragellerluft"/>
        <w:rPr>
          <w:rFonts w:eastAsia="Calibri"/>
        </w:rPr>
      </w:pPr>
      <w:r w:rsidRPr="0074520F">
        <w:rPr>
          <w:rFonts w:eastAsia="Calibri"/>
        </w:rPr>
        <w:t>V</w:t>
      </w:r>
      <w:r w:rsidRPr="0074520F" w:rsidR="00BB4E53">
        <w:rPr>
          <w:rFonts w:eastAsia="Calibri"/>
        </w:rPr>
        <w:t xml:space="preserve">i </w:t>
      </w:r>
      <w:r w:rsidRPr="0074520F">
        <w:rPr>
          <w:rFonts w:eastAsia="Calibri"/>
        </w:rPr>
        <w:t xml:space="preserve">har </w:t>
      </w:r>
      <w:r w:rsidRPr="0074520F" w:rsidR="00BB4E53">
        <w:rPr>
          <w:rFonts w:eastAsia="Calibri"/>
        </w:rPr>
        <w:t xml:space="preserve">i Sverige i dag inte något </w:t>
      </w:r>
      <w:r w:rsidRPr="009133A7" w:rsidR="00BB4E53">
        <w:t>automatiskt</w:t>
      </w:r>
      <w:r w:rsidRPr="0074520F" w:rsidR="00BB4E53">
        <w:rPr>
          <w:rFonts w:eastAsia="Calibri"/>
        </w:rPr>
        <w:t xml:space="preserve"> system som säkerställer att </w:t>
      </w:r>
      <w:r w:rsidRPr="0074520F" w:rsidR="002C5380">
        <w:rPr>
          <w:rFonts w:eastAsia="Calibri"/>
        </w:rPr>
        <w:t>behoven i väl</w:t>
      </w:r>
      <w:r w:rsidR="00EC1CF6">
        <w:rPr>
          <w:rFonts w:eastAsia="Calibri"/>
        </w:rPr>
        <w:softHyphen/>
      </w:r>
      <w:r w:rsidRPr="0074520F" w:rsidR="002C5380">
        <w:rPr>
          <w:rFonts w:eastAsia="Calibri"/>
        </w:rPr>
        <w:t xml:space="preserve">färdssektorn motsvaras av </w:t>
      </w:r>
      <w:r w:rsidRPr="0074520F" w:rsidR="00652819">
        <w:rPr>
          <w:rFonts w:eastAsia="Calibri"/>
        </w:rPr>
        <w:t xml:space="preserve">tillräckliga </w:t>
      </w:r>
      <w:r w:rsidRPr="0074520F" w:rsidR="002C5380">
        <w:rPr>
          <w:rFonts w:eastAsia="Calibri"/>
        </w:rPr>
        <w:t>resurser</w:t>
      </w:r>
      <w:r w:rsidRPr="0074520F" w:rsidR="00BB4E53">
        <w:rPr>
          <w:rFonts w:eastAsia="Calibri"/>
        </w:rPr>
        <w:t xml:space="preserve">. </w:t>
      </w:r>
      <w:r w:rsidRPr="0074520F" w:rsidR="0009785C">
        <w:rPr>
          <w:rFonts w:eastAsia="Calibri"/>
        </w:rPr>
        <w:t>D</w:t>
      </w:r>
      <w:r w:rsidRPr="0074520F" w:rsidR="00BB4E53">
        <w:rPr>
          <w:rFonts w:eastAsia="Calibri"/>
        </w:rPr>
        <w:t>et finns en vilja hos kommuner och regioner att förändra och förbättra verksamheterna</w:t>
      </w:r>
      <w:r w:rsidR="00FB2FC7">
        <w:rPr>
          <w:rFonts w:eastAsia="Calibri"/>
        </w:rPr>
        <w:t>,</w:t>
      </w:r>
      <w:r w:rsidRPr="0074520F" w:rsidR="00BB4E53">
        <w:rPr>
          <w:rFonts w:eastAsia="Calibri"/>
        </w:rPr>
        <w:t xml:space="preserve"> </w:t>
      </w:r>
      <w:r w:rsidRPr="0074520F" w:rsidR="0009785C">
        <w:rPr>
          <w:rFonts w:eastAsia="Calibri"/>
        </w:rPr>
        <w:t>men samtidigt</w:t>
      </w:r>
      <w:r w:rsidRPr="0074520F" w:rsidR="00BB4E53">
        <w:rPr>
          <w:rFonts w:eastAsia="Calibri"/>
        </w:rPr>
        <w:t xml:space="preserve"> ökar deras kostnader </w:t>
      </w:r>
      <w:r w:rsidRPr="0074520F" w:rsidR="00BB4E53">
        <w:rPr>
          <w:rFonts w:eastAsia="Calibri"/>
        </w:rPr>
        <w:lastRenderedPageBreak/>
        <w:t>kontinuerligt i takt med befolkningsutvecklingen och med pris- och löneökningarna</w:t>
      </w:r>
      <w:r w:rsidRPr="0074520F" w:rsidR="00993846">
        <w:rPr>
          <w:rFonts w:eastAsia="Calibri"/>
        </w:rPr>
        <w:t xml:space="preserve"> – </w:t>
      </w:r>
      <w:r w:rsidRPr="00EC1CF6" w:rsidR="00993846">
        <w:rPr>
          <w:rFonts w:eastAsia="Calibri"/>
          <w:spacing w:val="-3"/>
        </w:rPr>
        <w:t>kostnadsökningar som är bortom deras kontroll</w:t>
      </w:r>
      <w:r w:rsidRPr="00EC1CF6" w:rsidR="00BB4E53">
        <w:rPr>
          <w:rFonts w:eastAsia="Calibri"/>
          <w:spacing w:val="-3"/>
        </w:rPr>
        <w:t>. Det faktum att de generella statsbidragen</w:t>
      </w:r>
      <w:r w:rsidRPr="0074520F" w:rsidR="00BB4E53">
        <w:rPr>
          <w:rFonts w:eastAsia="Calibri"/>
        </w:rPr>
        <w:t xml:space="preserve"> inte är indexerade för att följa denna utveckling innebär att verksamheterna ute i kom</w:t>
      </w:r>
      <w:r w:rsidR="00EC1CF6">
        <w:rPr>
          <w:rFonts w:eastAsia="Calibri"/>
        </w:rPr>
        <w:softHyphen/>
      </w:r>
      <w:r w:rsidRPr="0074520F" w:rsidR="00BB4E53">
        <w:rPr>
          <w:rFonts w:eastAsia="Calibri"/>
        </w:rPr>
        <w:t>munerna kortsiktigt måste anpassas till det rådande kostnadsläget, i stället för till med</w:t>
      </w:r>
      <w:r w:rsidR="00EC1CF6">
        <w:rPr>
          <w:rFonts w:eastAsia="Calibri"/>
        </w:rPr>
        <w:softHyphen/>
      </w:r>
      <w:r w:rsidRPr="0074520F" w:rsidR="00BB4E53">
        <w:rPr>
          <w:rFonts w:eastAsia="Calibri"/>
        </w:rPr>
        <w:t xml:space="preserve">borgarnas behov. Detta blev mycket tydligt </w:t>
      </w:r>
      <w:r w:rsidRPr="0074520F">
        <w:rPr>
          <w:rFonts w:eastAsia="Calibri"/>
        </w:rPr>
        <w:t>förra året</w:t>
      </w:r>
      <w:r w:rsidRPr="0074520F" w:rsidR="00BB4E53">
        <w:rPr>
          <w:rFonts w:eastAsia="Calibri"/>
        </w:rPr>
        <w:t xml:space="preserve"> då inflationen </w:t>
      </w:r>
      <w:r w:rsidRPr="0074520F">
        <w:rPr>
          <w:rFonts w:eastAsia="Calibri"/>
        </w:rPr>
        <w:t>var</w:t>
      </w:r>
      <w:r w:rsidRPr="0074520F" w:rsidR="00BB4E53">
        <w:rPr>
          <w:rFonts w:eastAsia="Calibri"/>
        </w:rPr>
        <w:t xml:space="preserve"> historiskt hög – över 10 procent – och regeringen enbart tillför</w:t>
      </w:r>
      <w:r w:rsidRPr="0074520F">
        <w:rPr>
          <w:rFonts w:eastAsia="Calibri"/>
        </w:rPr>
        <w:t>de</w:t>
      </w:r>
      <w:r w:rsidRPr="0074520F" w:rsidR="00BB4E53">
        <w:rPr>
          <w:rFonts w:eastAsia="Calibri"/>
        </w:rPr>
        <w:t xml:space="preserve"> kommunsektorn en bråkdel av vad de</w:t>
      </w:r>
      <w:r w:rsidR="00CC79C3">
        <w:rPr>
          <w:rFonts w:eastAsia="Calibri"/>
        </w:rPr>
        <w:t>n</w:t>
      </w:r>
      <w:r w:rsidRPr="0074520F" w:rsidR="00BB4E53">
        <w:rPr>
          <w:rFonts w:eastAsia="Calibri"/>
        </w:rPr>
        <w:t xml:space="preserve"> behöv</w:t>
      </w:r>
      <w:r w:rsidRPr="0074520F" w:rsidR="00A42DB2">
        <w:rPr>
          <w:rFonts w:eastAsia="Calibri"/>
        </w:rPr>
        <w:t>de</w:t>
      </w:r>
      <w:r w:rsidRPr="0074520F" w:rsidR="00BB4E53">
        <w:rPr>
          <w:rFonts w:eastAsia="Calibri"/>
        </w:rPr>
        <w:t xml:space="preserve"> för att klara befintlig kvalitet och personal.</w:t>
      </w:r>
      <w:r w:rsidRPr="0074520F" w:rsidR="0019655D">
        <w:rPr>
          <w:rFonts w:eastAsia="Calibri"/>
        </w:rPr>
        <w:t xml:space="preserve"> I diagrammet nedan syns skillnaden mellan </w:t>
      </w:r>
      <w:r w:rsidRPr="0074520F" w:rsidR="00AC7AD6">
        <w:rPr>
          <w:rFonts w:eastAsia="Calibri"/>
        </w:rPr>
        <w:t>beslutade generella statsbidrag och vad</w:t>
      </w:r>
      <w:r w:rsidRPr="0074520F" w:rsidR="0019655D">
        <w:rPr>
          <w:rFonts w:eastAsia="Calibri"/>
        </w:rPr>
        <w:t xml:space="preserve"> som skulle behövas för att värdesäkra statsbidragen </w:t>
      </w:r>
      <w:r w:rsidRPr="0074520F" w:rsidR="00E93236">
        <w:rPr>
          <w:rFonts w:eastAsia="Calibri"/>
        </w:rPr>
        <w:t>för pris-, löne- och befolkningsökningar</w:t>
      </w:r>
      <w:r w:rsidRPr="0074520F" w:rsidR="0019655D">
        <w:rPr>
          <w:rFonts w:eastAsia="Calibri"/>
        </w:rPr>
        <w:t>.</w:t>
      </w:r>
    </w:p>
    <w:p w:rsidRPr="0074520F" w:rsidR="0019655D" w:rsidP="0019655D" w:rsidRDefault="0019655D" w14:paraId="746C0976" w14:textId="08C5B5DF">
      <w:pPr>
        <w:pStyle w:val="Tabellrubrik"/>
        <w:rPr>
          <w:rFonts w:eastAsia="Calibri"/>
        </w:rPr>
      </w:pPr>
      <w:r w:rsidRPr="0074520F">
        <w:rPr>
          <w:rFonts w:eastAsia="Calibri"/>
        </w:rPr>
        <w:t xml:space="preserve">Figur </w:t>
      </w:r>
      <w:r w:rsidRPr="0074520F" w:rsidR="009911D6">
        <w:rPr>
          <w:rFonts w:eastAsia="Calibri"/>
        </w:rPr>
        <w:t>10</w:t>
      </w:r>
      <w:r w:rsidRPr="0074520F">
        <w:rPr>
          <w:rFonts w:eastAsia="Calibri"/>
        </w:rPr>
        <w:t xml:space="preserve"> Värdesäkrade och </w:t>
      </w:r>
      <w:r w:rsidRPr="0074520F" w:rsidR="001A0573">
        <w:rPr>
          <w:rFonts w:eastAsia="Calibri"/>
        </w:rPr>
        <w:t>beslutade</w:t>
      </w:r>
      <w:r w:rsidRPr="0074520F">
        <w:rPr>
          <w:rFonts w:eastAsia="Calibri"/>
        </w:rPr>
        <w:t xml:space="preserve"> generella statsbidrag</w:t>
      </w:r>
    </w:p>
    <w:p w:rsidRPr="0074520F" w:rsidR="0019655D" w:rsidP="0019655D" w:rsidRDefault="0019655D" w14:paraId="3C030F1E" w14:textId="0E4B5A4D">
      <w:pPr>
        <w:pStyle w:val="Tabellunderrubrik"/>
      </w:pPr>
      <w:r w:rsidRPr="0074520F">
        <w:t>Miljarder kronor (y-axeln börjar på 100</w:t>
      </w:r>
      <w:r w:rsidRPr="0074520F" w:rsidR="007B2031">
        <w:t xml:space="preserve"> mdr kr</w:t>
      </w:r>
      <w:r w:rsidRPr="0074520F">
        <w:t>)</w:t>
      </w:r>
    </w:p>
    <w:p w:rsidRPr="0074520F" w:rsidR="0019655D" w:rsidP="00BB4E53" w:rsidRDefault="00992B14" w14:paraId="66BB1BDE" w14:textId="7AF35511">
      <w:pPr>
        <w:spacing w:before="80"/>
        <w:ind w:firstLine="0"/>
        <w:rPr>
          <w:rFonts w:eastAsia="Calibri"/>
        </w:rPr>
      </w:pPr>
      <w:r w:rsidRPr="0074520F">
        <w:rPr>
          <w:noProof/>
          <w14:numSpacing w14:val="default"/>
        </w:rPr>
        <w:drawing>
          <wp:inline distT="0" distB="0" distL="0" distR="0" wp14:anchorId="64137611" wp14:editId="5CC85DFE">
            <wp:extent cx="5400040" cy="3103880"/>
            <wp:effectExtent l="0" t="0" r="10160" b="1270"/>
            <wp:docPr id="19" name="Diagram 19" descr="">
              <a:extLst xmlns:a="http://schemas.openxmlformats.org/drawingml/2006/main">
                <a:ext uri="{FF2B5EF4-FFF2-40B4-BE49-F238E27FC236}">
                  <a16:creationId xmlns:a16="http://schemas.microsoft.com/office/drawing/2014/main" id="{A0809CD3-A1F6-4304-8F9C-12DE8B73E3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Pr="0074520F" w:rsidR="0019655D" w:rsidP="0019655D" w:rsidRDefault="0019655D" w14:paraId="2372D0CA" w14:textId="76FE9E31">
      <w:pPr>
        <w:pStyle w:val="Klla"/>
      </w:pPr>
      <w:r w:rsidRPr="0074520F">
        <w:t>Källa: SKR</w:t>
      </w:r>
      <w:r w:rsidRPr="0074520F" w:rsidR="00573E91">
        <w:t>.</w:t>
      </w:r>
    </w:p>
    <w:p w:rsidRPr="0074520F" w:rsidR="003E3226" w:rsidP="006B33A3" w:rsidRDefault="0009785C" w14:paraId="1F268062" w14:textId="6B3554E6">
      <w:pPr>
        <w:spacing w:before="80"/>
        <w:ind w:firstLine="0"/>
        <w:rPr>
          <w:rFonts w:eastAsia="Calibri"/>
        </w:rPr>
      </w:pPr>
      <w:r w:rsidRPr="003C6334">
        <w:rPr>
          <w:spacing w:val="-2"/>
        </w:rPr>
        <w:t>P</w:t>
      </w:r>
      <w:r w:rsidRPr="003C6334" w:rsidR="00646E09">
        <w:rPr>
          <w:spacing w:val="-2"/>
        </w:rPr>
        <w:t>roblem</w:t>
      </w:r>
      <w:r w:rsidRPr="003C6334">
        <w:rPr>
          <w:spacing w:val="-2"/>
        </w:rPr>
        <w:t>et</w:t>
      </w:r>
      <w:r w:rsidRPr="003C6334" w:rsidR="00646E09">
        <w:rPr>
          <w:spacing w:val="-2"/>
        </w:rPr>
        <w:t xml:space="preserve"> att </w:t>
      </w:r>
      <w:r w:rsidRPr="003C6334">
        <w:rPr>
          <w:spacing w:val="-2"/>
        </w:rPr>
        <w:t xml:space="preserve">nominella </w:t>
      </w:r>
      <w:r w:rsidRPr="003C6334" w:rsidR="00646E09">
        <w:rPr>
          <w:spacing w:val="-2"/>
        </w:rPr>
        <w:t>statsbidrag</w:t>
      </w:r>
      <w:r w:rsidRPr="003C6334">
        <w:rPr>
          <w:spacing w:val="-2"/>
        </w:rPr>
        <w:t xml:space="preserve"> </w:t>
      </w:r>
      <w:r w:rsidRPr="003C6334" w:rsidR="00646E09">
        <w:rPr>
          <w:spacing w:val="-2"/>
        </w:rPr>
        <w:t>successivt urholkas i takt med inflation och ökad be</w:t>
      </w:r>
      <w:r w:rsidRPr="003C6334" w:rsidR="00EC1CF6">
        <w:rPr>
          <w:spacing w:val="-2"/>
        </w:rPr>
        <w:softHyphen/>
      </w:r>
      <w:r w:rsidRPr="003C6334" w:rsidR="00646E09">
        <w:rPr>
          <w:spacing w:val="-2"/>
        </w:rPr>
        <w:t>folkning</w:t>
      </w:r>
      <w:r w:rsidRPr="0074520F">
        <w:t xml:space="preserve"> är något som uppmärksammas alltmer</w:t>
      </w:r>
      <w:r w:rsidRPr="0074520F" w:rsidR="00646E09">
        <w:t xml:space="preserve">. </w:t>
      </w:r>
      <w:r w:rsidRPr="0074520F" w:rsidR="002A1FC2">
        <w:t>Indirekta k</w:t>
      </w:r>
      <w:r w:rsidRPr="0074520F" w:rsidR="007A1161">
        <w:t xml:space="preserve">rav på att bedriva samma verksamheter </w:t>
      </w:r>
      <w:r w:rsidRPr="0074520F" w:rsidR="003E3226">
        <w:t xml:space="preserve">men </w:t>
      </w:r>
      <w:r w:rsidRPr="0074520F" w:rsidR="007A1161">
        <w:t xml:space="preserve">till </w:t>
      </w:r>
      <w:r w:rsidRPr="0074520F" w:rsidR="003E3226">
        <w:t xml:space="preserve">ständigt </w:t>
      </w:r>
      <w:r w:rsidRPr="0074520F" w:rsidR="007A1161">
        <w:t xml:space="preserve">lägre kostnader </w:t>
      </w:r>
      <w:r w:rsidRPr="0074520F" w:rsidR="002A1FC2">
        <w:t>innebär</w:t>
      </w:r>
      <w:r w:rsidRPr="0074520F" w:rsidR="007A1161">
        <w:t xml:space="preserve"> ett generellt effektiviseringskrav som osynliggör de politiska beslut</w:t>
      </w:r>
      <w:r w:rsidRPr="0074520F" w:rsidR="002A1FC2">
        <w:t xml:space="preserve"> som ligger bakom</w:t>
      </w:r>
      <w:r w:rsidRPr="0074520F" w:rsidR="007A1161">
        <w:t xml:space="preserve">. </w:t>
      </w:r>
      <w:r w:rsidRPr="0074520F">
        <w:t xml:space="preserve">I den senaste </w:t>
      </w:r>
      <w:r w:rsidR="00F15318">
        <w:t>l</w:t>
      </w:r>
      <w:r w:rsidRPr="0074520F">
        <w:t>ångtidsutredningen föreslår professor Lars Calmfors i en bilaga</w:t>
      </w:r>
      <w:r w:rsidRPr="0074520F">
        <w:rPr>
          <w:rStyle w:val="Fotnotsreferens"/>
          <w:rFonts w:eastAsia="Calibri"/>
        </w:rPr>
        <w:footnoteReference w:id="13"/>
      </w:r>
      <w:r w:rsidRPr="0074520F">
        <w:rPr>
          <w:rFonts w:eastAsia="Calibri"/>
        </w:rPr>
        <w:t xml:space="preserve"> att statsbidragen ska kunna anpassas så att </w:t>
      </w:r>
      <w:r w:rsidRPr="00EC1CF6">
        <w:rPr>
          <w:rFonts w:eastAsia="Calibri"/>
          <w:spacing w:val="-3"/>
        </w:rPr>
        <w:t>kommunsektorns totala intäkter med automatik kan finansiera en viss verksamhetsvolym</w:t>
      </w:r>
      <w:r w:rsidRPr="0074520F">
        <w:rPr>
          <w:rFonts w:eastAsia="Calibri"/>
        </w:rPr>
        <w:t xml:space="preserve"> med oförändrad skattesats.</w:t>
      </w:r>
      <w:r w:rsidRPr="0074520F" w:rsidR="002B4962">
        <w:rPr>
          <w:rFonts w:eastAsia="Calibri"/>
        </w:rPr>
        <w:t xml:space="preserve"> </w:t>
      </w:r>
      <w:r w:rsidRPr="0074520F" w:rsidR="003E3226">
        <w:rPr>
          <w:rFonts w:eastAsia="Calibri"/>
        </w:rPr>
        <w:t xml:space="preserve">Motivet är att </w:t>
      </w:r>
      <w:r w:rsidRPr="0074520F" w:rsidR="000B65B8">
        <w:rPr>
          <w:rFonts w:eastAsia="Calibri"/>
        </w:rPr>
        <w:t>dagens system faktiskt vilseleder medborgare om vad so</w:t>
      </w:r>
      <w:r w:rsidRPr="0074520F" w:rsidR="000B5850">
        <w:rPr>
          <w:rFonts w:eastAsia="Calibri"/>
        </w:rPr>
        <w:t>m</w:t>
      </w:r>
      <w:r w:rsidRPr="0074520F" w:rsidR="000B65B8">
        <w:rPr>
          <w:rFonts w:eastAsia="Calibri"/>
        </w:rPr>
        <w:t xml:space="preserve"> är egentliga satsningar</w:t>
      </w:r>
      <w:r w:rsidRPr="0074520F" w:rsidR="000B5850">
        <w:rPr>
          <w:rFonts w:eastAsia="Calibri"/>
        </w:rPr>
        <w:t>, vad som bara är bibehållen nivå och vad som fak</w:t>
      </w:r>
      <w:r w:rsidR="00EC1CF6">
        <w:rPr>
          <w:rFonts w:eastAsia="Calibri"/>
        </w:rPr>
        <w:softHyphen/>
      </w:r>
      <w:r w:rsidRPr="0074520F" w:rsidR="000B5850">
        <w:rPr>
          <w:rFonts w:eastAsia="Calibri"/>
        </w:rPr>
        <w:t>tiskt innebär nedskärningar trots att nya (men otillräckliga) medel tillförs</w:t>
      </w:r>
      <w:r w:rsidRPr="0074520F" w:rsidR="000B65B8">
        <w:rPr>
          <w:rFonts w:eastAsia="Calibri"/>
        </w:rPr>
        <w:t>.</w:t>
      </w:r>
    </w:p>
    <w:p w:rsidR="00EC1CF6" w:rsidP="0009785C" w:rsidRDefault="002B4962" w14:paraId="3A6EA375" w14:textId="35BEF9D7">
      <w:pPr>
        <w:rPr>
          <w:rFonts w:eastAsia="Calibri"/>
        </w:rPr>
      </w:pPr>
      <w:r w:rsidRPr="00952830">
        <w:rPr>
          <w:rFonts w:eastAsia="Calibri"/>
          <w:spacing w:val="-3"/>
        </w:rPr>
        <w:t>I en rapport från tankesmedjan Katalys lyfter författarna en enkel modell för att komma</w:t>
      </w:r>
      <w:r w:rsidRPr="00EC1CF6">
        <w:rPr>
          <w:rFonts w:eastAsia="Calibri"/>
          <w:spacing w:val="-3"/>
        </w:rPr>
        <w:t xml:space="preserve"> </w:t>
      </w:r>
      <w:r w:rsidRPr="00952830">
        <w:rPr>
          <w:rFonts w:eastAsia="Calibri"/>
        </w:rPr>
        <w:t>till</w:t>
      </w:r>
      <w:r w:rsidRPr="00952830" w:rsidR="00D73C3D">
        <w:rPr>
          <w:rFonts w:eastAsia="Calibri"/>
        </w:rPr>
        <w:t xml:space="preserve"> </w:t>
      </w:r>
      <w:r w:rsidRPr="00952830">
        <w:rPr>
          <w:rFonts w:eastAsia="Calibri"/>
        </w:rPr>
        <w:t>rätta med smygnedskärningar i välfärden</w:t>
      </w:r>
      <w:r w:rsidRPr="00952830" w:rsidR="004E011E">
        <w:rPr>
          <w:rFonts w:eastAsia="Calibri"/>
        </w:rPr>
        <w:t xml:space="preserve"> – ofta kamouflerade som ”effektivise</w:t>
      </w:r>
      <w:r w:rsidR="00952830">
        <w:rPr>
          <w:rFonts w:eastAsia="Calibri"/>
        </w:rPr>
        <w:softHyphen/>
      </w:r>
      <w:r w:rsidRPr="00952830" w:rsidR="004E011E">
        <w:rPr>
          <w:rFonts w:eastAsia="Calibri"/>
        </w:rPr>
        <w:t>ringar”</w:t>
      </w:r>
      <w:r w:rsidRPr="00952830">
        <w:rPr>
          <w:rFonts w:eastAsia="Calibri"/>
        </w:rPr>
        <w:t>.</w:t>
      </w:r>
      <w:r w:rsidRPr="00952830" w:rsidR="007E5CE3">
        <w:rPr>
          <w:rStyle w:val="Fotnotsreferens"/>
          <w:rFonts w:eastAsia="Calibri"/>
        </w:rPr>
        <w:footnoteReference w:id="14"/>
      </w:r>
      <w:r w:rsidRPr="0074520F" w:rsidR="007A1161">
        <w:rPr>
          <w:rFonts w:eastAsia="Calibri"/>
        </w:rPr>
        <w:t xml:space="preserve"> </w:t>
      </w:r>
      <w:r w:rsidRPr="00EC1CF6" w:rsidR="007A1161">
        <w:rPr>
          <w:rFonts w:eastAsia="Calibri"/>
          <w:spacing w:val="-3"/>
        </w:rPr>
        <w:t>De föreslår en förändrad modell för redovisning av de generella statsbidragen</w:t>
      </w:r>
      <w:r w:rsidRPr="0074520F" w:rsidR="00B11D20">
        <w:rPr>
          <w:rFonts w:eastAsia="Calibri"/>
        </w:rPr>
        <w:t xml:space="preserve"> </w:t>
      </w:r>
      <w:r w:rsidRPr="0074520F" w:rsidR="007A1161">
        <w:rPr>
          <w:rFonts w:eastAsia="Calibri"/>
        </w:rPr>
        <w:t xml:space="preserve">under utgiftsområde 25 som </w:t>
      </w:r>
      <w:r w:rsidRPr="0074520F" w:rsidR="002F0659">
        <w:rPr>
          <w:rFonts w:eastAsia="Calibri"/>
        </w:rPr>
        <w:t>s</w:t>
      </w:r>
      <w:r w:rsidRPr="0074520F" w:rsidR="007A1161">
        <w:rPr>
          <w:rFonts w:eastAsia="Calibri"/>
        </w:rPr>
        <w:t>er ut enligt följande:</w:t>
      </w:r>
    </w:p>
    <w:p w:rsidR="00EC1CF6" w:rsidRDefault="00EC1CF6" w14:paraId="140AB45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eastAsia="Calibri"/>
        </w:rPr>
      </w:pPr>
      <w:r>
        <w:rPr>
          <w:rFonts w:eastAsia="Calibri"/>
        </w:rPr>
        <w:br w:type="page"/>
      </w:r>
    </w:p>
    <w:p w:rsidRPr="0074520F" w:rsidR="00AA4303" w:rsidP="0009785C" w:rsidRDefault="00AA4303" w14:paraId="122215A4" w14:textId="77777777">
      <w:pPr>
        <w:rPr>
          <w:rFonts w:eastAsia="Calibri"/>
        </w:rPr>
      </w:pPr>
    </w:p>
    <w:p w:rsidRPr="0074520F" w:rsidR="007A1161" w:rsidP="00952830" w:rsidRDefault="007A1161" w14:paraId="036640F6" w14:textId="28C26AFD">
      <w:pPr>
        <w:pStyle w:val="ListaLinje"/>
        <w:numPr>
          <w:ilvl w:val="0"/>
          <w:numId w:val="0"/>
        </w:numPr>
        <w:rPr>
          <w:rFonts w:eastAsia="Calibri"/>
        </w:rPr>
      </w:pPr>
      <w:r w:rsidRPr="0074520F">
        <w:rPr>
          <w:rFonts w:eastAsia="Calibri"/>
        </w:rPr>
        <w:t>Statsbidrag</w:t>
      </w:r>
      <w:r w:rsidRPr="0074520F" w:rsidR="00C817E7">
        <w:rPr>
          <w:rFonts w:eastAsia="Calibri"/>
        </w:rPr>
        <w:t xml:space="preserve"> föregående budgetår</w:t>
      </w:r>
    </w:p>
    <w:p w:rsidRPr="0074520F" w:rsidR="007A1161" w:rsidP="00952830" w:rsidRDefault="007A1161" w14:paraId="0D15496F" w14:textId="2AC63C50">
      <w:pPr>
        <w:pStyle w:val="ListaLinje"/>
        <w:numPr>
          <w:ilvl w:val="0"/>
          <w:numId w:val="0"/>
        </w:numPr>
        <w:rPr>
          <w:rFonts w:eastAsia="Calibri"/>
        </w:rPr>
      </w:pPr>
      <w:r w:rsidRPr="0074520F">
        <w:rPr>
          <w:rFonts w:eastAsia="Calibri" w:cstheme="minorHAnsi"/>
        </w:rPr>
        <w:t>±</w:t>
      </w:r>
      <w:r w:rsidRPr="0074520F">
        <w:rPr>
          <w:rFonts w:eastAsia="Calibri"/>
        </w:rPr>
        <w:t xml:space="preserve"> behovsförändringar</w:t>
      </w:r>
    </w:p>
    <w:p w:rsidRPr="0074520F" w:rsidR="007A1161" w:rsidP="00952830" w:rsidRDefault="007A1161" w14:paraId="12049232" w14:textId="19501AB0">
      <w:pPr>
        <w:pStyle w:val="ListaLinje"/>
        <w:numPr>
          <w:ilvl w:val="0"/>
          <w:numId w:val="0"/>
        </w:numPr>
        <w:rPr>
          <w:rFonts w:eastAsia="Calibri"/>
        </w:rPr>
      </w:pPr>
      <w:r w:rsidRPr="0074520F">
        <w:rPr>
          <w:rFonts w:eastAsia="Calibri" w:cstheme="minorHAnsi"/>
        </w:rPr>
        <w:t>±</w:t>
      </w:r>
      <w:r w:rsidRPr="0074520F">
        <w:rPr>
          <w:rFonts w:eastAsia="Calibri"/>
        </w:rPr>
        <w:t xml:space="preserve"> förändringar av priser och löner</w:t>
      </w:r>
    </w:p>
    <w:p w:rsidRPr="0074520F" w:rsidR="007A1161" w:rsidP="00952830" w:rsidRDefault="007A1161" w14:paraId="311C9F57" w14:textId="045D70BB">
      <w:pPr>
        <w:pStyle w:val="ListaLinje"/>
        <w:numPr>
          <w:ilvl w:val="0"/>
          <w:numId w:val="0"/>
        </w:numPr>
        <w:rPr>
          <w:rFonts w:eastAsia="Calibri"/>
        </w:rPr>
      </w:pPr>
      <w:r w:rsidRPr="0074520F">
        <w:rPr>
          <w:rFonts w:eastAsia="Calibri" w:cstheme="minorHAnsi"/>
        </w:rPr>
        <w:t>±</w:t>
      </w:r>
      <w:r w:rsidRPr="0074520F">
        <w:rPr>
          <w:rFonts w:eastAsia="Calibri"/>
        </w:rPr>
        <w:t xml:space="preserve"> tekniska justeringar</w:t>
      </w:r>
    </w:p>
    <w:p w:rsidRPr="0074520F" w:rsidR="007A1161" w:rsidP="00952830" w:rsidRDefault="007A1161" w14:paraId="0FBA62D2" w14:textId="5F7A234C">
      <w:pPr>
        <w:pStyle w:val="ListaLinje"/>
        <w:numPr>
          <w:ilvl w:val="0"/>
          <w:numId w:val="0"/>
        </w:numPr>
        <w:rPr>
          <w:rFonts w:eastAsia="Calibri"/>
        </w:rPr>
      </w:pPr>
      <w:r w:rsidRPr="0074520F">
        <w:rPr>
          <w:rFonts w:eastAsia="Calibri" w:cstheme="minorHAnsi"/>
        </w:rPr>
        <w:t>±</w:t>
      </w:r>
      <w:r w:rsidRPr="0074520F">
        <w:rPr>
          <w:rFonts w:eastAsia="Calibri"/>
        </w:rPr>
        <w:t xml:space="preserve"> politiska prioriteringar</w:t>
      </w:r>
    </w:p>
    <w:p w:rsidRPr="0074520F" w:rsidR="00505E7A" w:rsidP="00952830" w:rsidRDefault="002F0659" w14:paraId="63446470" w14:textId="77777777">
      <w:pPr>
        <w:pStyle w:val="ListaLinje"/>
        <w:numPr>
          <w:ilvl w:val="0"/>
          <w:numId w:val="0"/>
        </w:numPr>
        <w:rPr>
          <w:rFonts w:eastAsia="Calibri"/>
        </w:rPr>
      </w:pPr>
      <w:r w:rsidRPr="0074520F">
        <w:rPr>
          <w:rFonts w:eastAsia="Calibri"/>
        </w:rPr>
        <w:t>= Statsbidrag budgetåret</w:t>
      </w:r>
    </w:p>
    <w:p w:rsidRPr="0074520F" w:rsidR="00242F3B" w:rsidP="00242F3B" w:rsidRDefault="00505E7A" w14:paraId="2905DEF8" w14:textId="04ACF800">
      <w:pPr>
        <w:pStyle w:val="Normalutanindragellerluft"/>
        <w:rPr>
          <w:rFonts w:eastAsia="Calibri"/>
        </w:rPr>
      </w:pPr>
      <w:r w:rsidRPr="0074520F">
        <w:rPr>
          <w:rFonts w:eastAsia="Calibri"/>
        </w:rPr>
        <w:t xml:space="preserve">Vänsterpartiet har återkommande föreslagit </w:t>
      </w:r>
      <w:r w:rsidRPr="0074520F" w:rsidR="00783467">
        <w:rPr>
          <w:rFonts w:eastAsia="Calibri"/>
        </w:rPr>
        <w:t xml:space="preserve">att statsbidragen till kommuner och regioner ska indexeras för att försäkras mot inflation och löneökningar – kostnader som sektorn </w:t>
      </w:r>
      <w:r w:rsidRPr="00123E3D" w:rsidR="00783467">
        <w:rPr>
          <w:rFonts w:eastAsia="Calibri"/>
          <w:spacing w:val="-3"/>
        </w:rPr>
        <w:t xml:space="preserve">inte styr över. Detsamma gäller befolkningsökning och befolkningssammansättning. </w:t>
      </w:r>
      <w:r w:rsidRPr="00123E3D" w:rsidR="00D26109">
        <w:rPr>
          <w:rFonts w:eastAsia="Calibri"/>
          <w:spacing w:val="-3"/>
        </w:rPr>
        <w:t>I</w:t>
      </w:r>
      <w:r w:rsidRPr="00123E3D" w:rsidR="00E61A0A">
        <w:rPr>
          <w:rFonts w:eastAsia="Calibri"/>
          <w:spacing w:val="-3"/>
        </w:rPr>
        <w:t> </w:t>
      </w:r>
      <w:r w:rsidRPr="00123E3D" w:rsidR="00D26109">
        <w:rPr>
          <w:rFonts w:eastAsia="Calibri"/>
          <w:spacing w:val="-3"/>
        </w:rPr>
        <w:t>dag</w:t>
      </w:r>
      <w:r w:rsidRPr="0074520F" w:rsidR="00D26109">
        <w:rPr>
          <w:rFonts w:eastAsia="Calibri"/>
        </w:rPr>
        <w:t xml:space="preserve"> </w:t>
      </w:r>
      <w:r w:rsidRPr="00D64F50" w:rsidR="00D26109">
        <w:rPr>
          <w:rFonts w:eastAsia="Calibri"/>
          <w:spacing w:val="-3"/>
        </w:rPr>
        <w:t xml:space="preserve">är det omöjligt för </w:t>
      </w:r>
      <w:r w:rsidRPr="00D64F50" w:rsidR="00466193">
        <w:rPr>
          <w:rFonts w:eastAsia="Calibri"/>
          <w:spacing w:val="-3"/>
        </w:rPr>
        <w:t>medborgarna</w:t>
      </w:r>
      <w:r w:rsidRPr="00D64F50" w:rsidR="00D26109">
        <w:rPr>
          <w:rFonts w:eastAsia="Calibri"/>
          <w:spacing w:val="-3"/>
        </w:rPr>
        <w:t xml:space="preserve"> att förstå om ökade statsbidrag motsvarar en nedskärning</w:t>
      </w:r>
      <w:r w:rsidRPr="00D64F50" w:rsidR="0005434E">
        <w:rPr>
          <w:rFonts w:eastAsia="Calibri"/>
          <w:spacing w:val="-3"/>
        </w:rPr>
        <w:t>,</w:t>
      </w:r>
      <w:r w:rsidRPr="0074520F" w:rsidR="0005434E">
        <w:rPr>
          <w:rFonts w:eastAsia="Calibri"/>
        </w:rPr>
        <w:t xml:space="preserve"> </w:t>
      </w:r>
      <w:r w:rsidR="005138D4">
        <w:rPr>
          <w:rFonts w:eastAsia="Calibri"/>
        </w:rPr>
        <w:t xml:space="preserve">en </w:t>
      </w:r>
      <w:r w:rsidRPr="0074520F" w:rsidR="0005434E">
        <w:rPr>
          <w:rFonts w:eastAsia="Calibri"/>
        </w:rPr>
        <w:t>oförändrad situation</w:t>
      </w:r>
      <w:r w:rsidRPr="0074520F" w:rsidR="00D26109">
        <w:rPr>
          <w:rFonts w:eastAsia="Calibri"/>
        </w:rPr>
        <w:t xml:space="preserve"> eller en real förbättring. Med en automatisk indexering skulle de politiska avvägningarna när det gäller välfärden bli tydliga</w:t>
      </w:r>
      <w:r w:rsidRPr="0074520F" w:rsidR="00466193">
        <w:rPr>
          <w:rFonts w:eastAsia="Calibri"/>
        </w:rPr>
        <w:t>re</w:t>
      </w:r>
      <w:r w:rsidRPr="0074520F" w:rsidR="00D26109">
        <w:rPr>
          <w:rFonts w:eastAsia="Calibri"/>
        </w:rPr>
        <w:t>.</w:t>
      </w:r>
    </w:p>
    <w:p w:rsidRPr="0074520F" w:rsidR="00242F3B" w:rsidP="00242F3B" w:rsidRDefault="00242F3B" w14:paraId="140E775B" w14:textId="7BE273CC">
      <w:r w:rsidRPr="0074520F">
        <w:t xml:space="preserve">De årliga besluten med tillförande av extra resurser kommer dessutom ofta för sent i processen och </w:t>
      </w:r>
      <w:r w:rsidRPr="0074520F" w:rsidR="00F84CB1">
        <w:t>innehåller</w:t>
      </w:r>
      <w:r w:rsidRPr="0074520F">
        <w:t xml:space="preserve"> tillfälliga</w:t>
      </w:r>
      <w:r w:rsidRPr="0074520F" w:rsidR="00F84CB1">
        <w:t xml:space="preserve"> åtgärder</w:t>
      </w:r>
      <w:r w:rsidRPr="0074520F">
        <w:t>. Kommunsektorn behöver en långsiktig bild över finansieringen, inte denna berg- och dalbanefinansiering som regeringen nu beslutar om.</w:t>
      </w:r>
    </w:p>
    <w:p w:rsidRPr="002526CA" w:rsidR="00BB4E53" w:rsidP="002526CA" w:rsidRDefault="00BB4E53" w14:paraId="7FDCD045" w14:textId="201A0C6F">
      <w:pPr>
        <w:pStyle w:val="Rubrik2numrerat"/>
      </w:pPr>
      <w:bookmarkStart w:name="_Toc133420833" w:id="18"/>
      <w:bookmarkStart w:name="_Toc147246922" w:id="19"/>
      <w:bookmarkStart w:name="_Toc162362956" w:id="20"/>
      <w:bookmarkStart w:name="_Toc166056434" w:id="21"/>
      <w:r w:rsidRPr="002526CA">
        <w:t>Regionerna g</w:t>
      </w:r>
      <w:r w:rsidRPr="002526CA" w:rsidR="002873E1">
        <w:t>jorde</w:t>
      </w:r>
      <w:r w:rsidRPr="002526CA">
        <w:t xml:space="preserve"> stora underskott</w:t>
      </w:r>
      <w:bookmarkEnd w:id="18"/>
      <w:r w:rsidRPr="002526CA">
        <w:t xml:space="preserve"> 2023</w:t>
      </w:r>
      <w:bookmarkEnd w:id="19"/>
      <w:bookmarkEnd w:id="20"/>
      <w:bookmarkEnd w:id="21"/>
    </w:p>
    <w:p w:rsidRPr="0074520F" w:rsidR="00822F2E" w:rsidP="00D45432" w:rsidRDefault="00AB6540" w14:paraId="6B954147" w14:textId="01D576BF">
      <w:pPr>
        <w:pStyle w:val="Normalutanindragellerluft"/>
        <w:rPr>
          <w:rFonts w:eastAsia="Calibri"/>
        </w:rPr>
      </w:pPr>
      <w:r w:rsidRPr="00952830">
        <w:rPr>
          <w:rFonts w:eastAsia="Calibri"/>
          <w:spacing w:val="-3"/>
        </w:rPr>
        <w:t>År 2023 blev ett mycket svårt år för landets regioner. Verksamheternas intäkter minskade</w:t>
      </w:r>
      <w:r w:rsidRPr="0074520F">
        <w:rPr>
          <w:rFonts w:eastAsia="Calibri"/>
        </w:rPr>
        <w:t xml:space="preserve"> </w:t>
      </w:r>
      <w:r w:rsidRPr="00205A8C">
        <w:rPr>
          <w:rFonts w:eastAsia="Calibri"/>
          <w:spacing w:val="-3"/>
        </w:rPr>
        <w:t>samtidigt som kostnaderna ökade</w:t>
      </w:r>
      <w:r w:rsidRPr="00205A8C" w:rsidR="0085498F">
        <w:rPr>
          <w:rFonts w:eastAsia="Calibri"/>
          <w:spacing w:val="-3"/>
        </w:rPr>
        <w:t xml:space="preserve"> med 10 procent</w:t>
      </w:r>
      <w:r w:rsidRPr="00205A8C">
        <w:rPr>
          <w:rFonts w:eastAsia="Calibri"/>
          <w:spacing w:val="-3"/>
        </w:rPr>
        <w:t xml:space="preserve">. </w:t>
      </w:r>
      <w:r w:rsidRPr="00205A8C" w:rsidR="0085498F">
        <w:rPr>
          <w:rFonts w:eastAsia="Calibri"/>
          <w:spacing w:val="-3"/>
        </w:rPr>
        <w:t xml:space="preserve">Viktiga förklaringar till </w:t>
      </w:r>
      <w:r w:rsidRPr="00205A8C" w:rsidR="00523D3A">
        <w:rPr>
          <w:rFonts w:eastAsia="Calibri"/>
          <w:spacing w:val="-3"/>
        </w:rPr>
        <w:t>kostnadsökning</w:t>
      </w:r>
      <w:r w:rsidRPr="00205A8C" w:rsidR="00952830">
        <w:rPr>
          <w:rFonts w:eastAsia="Calibri"/>
          <w:spacing w:val="-3"/>
        </w:rPr>
        <w:softHyphen/>
      </w:r>
      <w:r w:rsidRPr="00205A8C" w:rsidR="00523D3A">
        <w:rPr>
          <w:rFonts w:eastAsia="Calibri"/>
          <w:spacing w:val="-3"/>
        </w:rPr>
        <w:t>arna</w:t>
      </w:r>
      <w:r w:rsidRPr="00205A8C" w:rsidR="0085498F">
        <w:rPr>
          <w:rFonts w:eastAsia="Calibri"/>
          <w:spacing w:val="-3"/>
        </w:rPr>
        <w:t xml:space="preserve"> är de kraftiga prisökningarna på livsmedel och energi samt stigande räntor och ökande </w:t>
      </w:r>
      <w:r w:rsidRPr="0074520F" w:rsidR="0085498F">
        <w:rPr>
          <w:rFonts w:eastAsia="Calibri"/>
        </w:rPr>
        <w:t>pensionskostnader.</w:t>
      </w:r>
    </w:p>
    <w:p w:rsidRPr="0074520F" w:rsidR="0085498F" w:rsidP="00822F2E" w:rsidRDefault="00AB6540" w14:paraId="43A59926" w14:textId="6DD43AD2">
      <w:pPr>
        <w:rPr>
          <w:rFonts w:eastAsia="Calibri"/>
        </w:rPr>
      </w:pPr>
      <w:r w:rsidRPr="0074520F">
        <w:rPr>
          <w:rFonts w:eastAsia="Calibri"/>
        </w:rPr>
        <w:t xml:space="preserve">En viss uppgång av skatteintäkterna dämpade delvis de negativa effekterna av </w:t>
      </w:r>
      <w:r w:rsidRPr="00205A8C">
        <w:rPr>
          <w:rFonts w:eastAsia="Calibri"/>
          <w:spacing w:val="-3"/>
        </w:rPr>
        <w:t>kostnadsökning</w:t>
      </w:r>
      <w:r w:rsidRPr="00205A8C" w:rsidR="007338D8">
        <w:rPr>
          <w:rFonts w:eastAsia="Calibri"/>
          <w:spacing w:val="-3"/>
        </w:rPr>
        <w:t>ar</w:t>
      </w:r>
      <w:r w:rsidRPr="00205A8C">
        <w:rPr>
          <w:rFonts w:eastAsia="Calibri"/>
          <w:spacing w:val="-3"/>
        </w:rPr>
        <w:t>n</w:t>
      </w:r>
      <w:r w:rsidRPr="00205A8C" w:rsidR="007338D8">
        <w:rPr>
          <w:rFonts w:eastAsia="Calibri"/>
          <w:spacing w:val="-3"/>
        </w:rPr>
        <w:t>a</w:t>
      </w:r>
      <w:r w:rsidRPr="00205A8C">
        <w:rPr>
          <w:rFonts w:eastAsia="Calibri"/>
          <w:spacing w:val="-3"/>
        </w:rPr>
        <w:t>. De generella statsbidragen och utjämningen ökade dock endast mar</w:t>
      </w:r>
      <w:r w:rsidRPr="00205A8C" w:rsidR="00205A8C">
        <w:rPr>
          <w:rFonts w:eastAsia="Calibri"/>
          <w:spacing w:val="-3"/>
        </w:rPr>
        <w:softHyphen/>
      </w:r>
      <w:r w:rsidRPr="00205A8C">
        <w:rPr>
          <w:rFonts w:eastAsia="Calibri"/>
          <w:spacing w:val="-3"/>
        </w:rPr>
        <w:t>ginellt</w:t>
      </w:r>
      <w:r w:rsidRPr="0074520F">
        <w:rPr>
          <w:rFonts w:eastAsia="Calibri"/>
        </w:rPr>
        <w:t xml:space="preserve"> och inte tillräckligt för att kompensera de ökade kostnaderna.</w:t>
      </w:r>
      <w:r w:rsidRPr="0074520F" w:rsidR="0085498F">
        <w:rPr>
          <w:rFonts w:eastAsia="Calibri"/>
        </w:rPr>
        <w:t xml:space="preserve"> </w:t>
      </w:r>
      <w:r w:rsidRPr="0074520F" w:rsidR="00F4150D">
        <w:rPr>
          <w:rFonts w:eastAsia="Calibri"/>
        </w:rPr>
        <w:t xml:space="preserve">Detta innebar att 15 </w:t>
      </w:r>
      <w:r w:rsidRPr="00205A8C" w:rsidR="00F4150D">
        <w:rPr>
          <w:rFonts w:eastAsia="Calibri"/>
          <w:spacing w:val="-3"/>
        </w:rPr>
        <w:t>av 21 regioner fick underskott i verksamheten. Det totala verksamhets</w:t>
      </w:r>
      <w:r w:rsidRPr="00205A8C">
        <w:rPr>
          <w:rFonts w:eastAsia="Calibri"/>
          <w:spacing w:val="-3"/>
        </w:rPr>
        <w:t>resultat</w:t>
      </w:r>
      <w:r w:rsidRPr="00205A8C" w:rsidR="00F4150D">
        <w:rPr>
          <w:rFonts w:eastAsia="Calibri"/>
          <w:spacing w:val="-3"/>
        </w:rPr>
        <w:t>et</w:t>
      </w:r>
      <w:r w:rsidRPr="00205A8C">
        <w:rPr>
          <w:rFonts w:eastAsia="Calibri"/>
          <w:spacing w:val="-3"/>
        </w:rPr>
        <w:t xml:space="preserve"> </w:t>
      </w:r>
      <w:r w:rsidRPr="00205A8C" w:rsidR="00F4150D">
        <w:rPr>
          <w:rFonts w:eastAsia="Calibri"/>
          <w:spacing w:val="-3"/>
        </w:rPr>
        <w:t xml:space="preserve">2023 </w:t>
      </w:r>
      <w:r w:rsidRPr="00205A8C">
        <w:rPr>
          <w:rFonts w:eastAsia="Calibri"/>
          <w:spacing w:val="-3"/>
        </w:rPr>
        <w:t>blev</w:t>
      </w:r>
      <w:r w:rsidRPr="0074520F">
        <w:rPr>
          <w:rFonts w:eastAsia="Calibri"/>
        </w:rPr>
        <w:t xml:space="preserve"> </w:t>
      </w:r>
      <w:r w:rsidR="007338D8">
        <w:rPr>
          <w:rFonts w:eastAsia="Calibri"/>
        </w:rPr>
        <w:t>–</w:t>
      </w:r>
      <w:r w:rsidRPr="0074520F">
        <w:rPr>
          <w:rFonts w:eastAsia="Calibri"/>
        </w:rPr>
        <w:t xml:space="preserve">4,3 miljarder kronor. </w:t>
      </w:r>
      <w:r w:rsidRPr="00205A8C">
        <w:rPr>
          <w:rFonts w:eastAsia="Calibri"/>
          <w:spacing w:val="-3"/>
        </w:rPr>
        <w:t xml:space="preserve">Det är första gången sedan 2003 som regionerna sammantaget visar </w:t>
      </w:r>
      <w:r w:rsidRPr="0074520F">
        <w:rPr>
          <w:rFonts w:eastAsia="Calibri"/>
        </w:rPr>
        <w:t xml:space="preserve">ett negativt resultat för verksamheten. </w:t>
      </w:r>
      <w:r w:rsidRPr="0074520F" w:rsidR="0085498F">
        <w:rPr>
          <w:rFonts w:eastAsia="Calibri"/>
        </w:rPr>
        <w:t>Ett negativt finansnetto (dvs</w:t>
      </w:r>
      <w:r w:rsidRPr="0074520F" w:rsidR="00E61A0A">
        <w:rPr>
          <w:rFonts w:eastAsia="Calibri"/>
        </w:rPr>
        <w:t>.</w:t>
      </w:r>
      <w:r w:rsidRPr="0074520F" w:rsidR="0085498F">
        <w:rPr>
          <w:rFonts w:eastAsia="Calibri"/>
        </w:rPr>
        <w:t xml:space="preserve"> större ränteutgifter </w:t>
      </w:r>
      <w:r w:rsidRPr="00205A8C" w:rsidR="0085498F">
        <w:rPr>
          <w:rFonts w:eastAsia="Calibri"/>
          <w:spacing w:val="-3"/>
        </w:rPr>
        <w:t>än ränteintäkter) l</w:t>
      </w:r>
      <w:r w:rsidRPr="00205A8C">
        <w:rPr>
          <w:rFonts w:eastAsia="Calibri"/>
          <w:spacing w:val="-3"/>
        </w:rPr>
        <w:t xml:space="preserve">edde till att även årets resultat blev negativt och slutade på </w:t>
      </w:r>
      <w:r w:rsidRPr="00205A8C" w:rsidR="00C81755">
        <w:rPr>
          <w:rFonts w:eastAsia="Calibri"/>
          <w:spacing w:val="-3"/>
        </w:rPr>
        <w:t>–</w:t>
      </w:r>
      <w:r w:rsidRPr="00205A8C" w:rsidR="00981164">
        <w:rPr>
          <w:rFonts w:eastAsia="Calibri"/>
          <w:spacing w:val="-3"/>
        </w:rPr>
        <w:t>12</w:t>
      </w:r>
      <w:r w:rsidRPr="00205A8C">
        <w:rPr>
          <w:rFonts w:eastAsia="Calibri"/>
          <w:spacing w:val="-3"/>
        </w:rPr>
        <w:t xml:space="preserve"> miljarder</w:t>
      </w:r>
      <w:r w:rsidRPr="00952830">
        <w:rPr>
          <w:rFonts w:eastAsia="Calibri"/>
          <w:spacing w:val="-3"/>
        </w:rPr>
        <w:t xml:space="preserve"> kronor. Totalt redovisade 17 regioner ett negativt årsresultat 2023.</w:t>
      </w:r>
    </w:p>
    <w:p w:rsidRPr="0074520F" w:rsidR="00BB4E53" w:rsidP="00822F2E" w:rsidRDefault="00BB4E53" w14:paraId="552EDEF3" w14:textId="483E9D36">
      <w:pPr>
        <w:rPr>
          <w:rFonts w:eastAsia="Calibri"/>
        </w:rPr>
      </w:pPr>
      <w:r w:rsidRPr="0074520F">
        <w:rPr>
          <w:rFonts w:eastAsia="Calibri"/>
        </w:rPr>
        <w:t>Störst underskott g</w:t>
      </w:r>
      <w:r w:rsidRPr="0074520F" w:rsidR="002C339B">
        <w:rPr>
          <w:rFonts w:eastAsia="Calibri"/>
        </w:rPr>
        <w:t>jorde</w:t>
      </w:r>
      <w:r w:rsidRPr="0074520F">
        <w:rPr>
          <w:rFonts w:eastAsia="Calibri"/>
        </w:rPr>
        <w:t xml:space="preserve"> Region Skåne (</w:t>
      </w:r>
      <w:r w:rsidRPr="0074520F" w:rsidR="007D50BF">
        <w:rPr>
          <w:rFonts w:eastAsia="Calibri"/>
        </w:rPr>
        <w:t>nästan</w:t>
      </w:r>
      <w:r w:rsidRPr="0074520F">
        <w:rPr>
          <w:rFonts w:eastAsia="Calibri"/>
        </w:rPr>
        <w:t xml:space="preserve"> 4 miljarder kronor, motsvara</w:t>
      </w:r>
      <w:r w:rsidR="004C7911">
        <w:rPr>
          <w:rFonts w:eastAsia="Calibri"/>
        </w:rPr>
        <w:t>n</w:t>
      </w:r>
      <w:r w:rsidRPr="0074520F" w:rsidR="00731904">
        <w:rPr>
          <w:rFonts w:eastAsia="Calibri"/>
        </w:rPr>
        <w:t>de</w:t>
      </w:r>
      <w:r w:rsidRPr="0074520F">
        <w:rPr>
          <w:rFonts w:eastAsia="Calibri"/>
        </w:rPr>
        <w:t xml:space="preserve"> </w:t>
      </w:r>
      <w:r w:rsidRPr="0074520F" w:rsidR="007D50BF">
        <w:rPr>
          <w:rFonts w:eastAsia="Calibri"/>
        </w:rPr>
        <w:t>7</w:t>
      </w:r>
      <w:r w:rsidR="004C7911">
        <w:rPr>
          <w:rFonts w:eastAsia="Calibri"/>
        </w:rPr>
        <w:t> </w:t>
      </w:r>
      <w:r w:rsidRPr="0074520F">
        <w:rPr>
          <w:rFonts w:eastAsia="Calibri"/>
        </w:rPr>
        <w:t>procent av skatter och avgifter)</w:t>
      </w:r>
      <w:r w:rsidRPr="0074520F" w:rsidR="00731904">
        <w:rPr>
          <w:rFonts w:eastAsia="Calibri"/>
        </w:rPr>
        <w:t>.</w:t>
      </w:r>
      <w:r w:rsidRPr="0074520F">
        <w:rPr>
          <w:rFonts w:eastAsia="Calibri"/>
        </w:rPr>
        <w:t xml:space="preserve"> Region </w:t>
      </w:r>
      <w:r w:rsidRPr="0074520F" w:rsidR="002C339B">
        <w:rPr>
          <w:rFonts w:eastAsia="Calibri"/>
        </w:rPr>
        <w:t xml:space="preserve">Östergötland, </w:t>
      </w:r>
      <w:r w:rsidRPr="0074520F">
        <w:rPr>
          <w:rFonts w:eastAsia="Calibri"/>
        </w:rPr>
        <w:t>Sörmland</w:t>
      </w:r>
      <w:r w:rsidRPr="0074520F" w:rsidR="002C339B">
        <w:rPr>
          <w:rFonts w:eastAsia="Calibri"/>
        </w:rPr>
        <w:t>, Örebro och Jämtland Härjedalen gjorde samtliga underskott på mellan 7 och 9</w:t>
      </w:r>
      <w:r w:rsidRPr="0074520F">
        <w:rPr>
          <w:rFonts w:eastAsia="Calibri"/>
        </w:rPr>
        <w:t xml:space="preserve"> procent av intäkterna. </w:t>
      </w:r>
    </w:p>
    <w:p w:rsidRPr="0074520F" w:rsidR="00BB4E53" w:rsidP="005A387B" w:rsidRDefault="00BB4E53" w14:paraId="022C0219" w14:textId="1517960F">
      <w:pPr>
        <w:pStyle w:val="Tabellrubrik"/>
        <w:rPr>
          <w:b w:val="0"/>
        </w:rPr>
      </w:pPr>
      <w:r w:rsidRPr="0074520F">
        <w:lastRenderedPageBreak/>
        <w:t xml:space="preserve">Figur </w:t>
      </w:r>
      <w:r w:rsidRPr="0074520F" w:rsidR="009911D6">
        <w:t>11</w:t>
      </w:r>
      <w:r w:rsidRPr="0074520F">
        <w:t xml:space="preserve"> Regionernas resultat efter finansiella poster 2023</w:t>
      </w:r>
    </w:p>
    <w:p w:rsidRPr="0074520F" w:rsidR="00BB4E53" w:rsidP="005A387B" w:rsidRDefault="00BB4E53" w14:paraId="6D59292F" w14:textId="77777777">
      <w:pPr>
        <w:pStyle w:val="Tabellunderrubrik"/>
      </w:pPr>
      <w:r w:rsidRPr="0074520F">
        <w:t>Miljoner kronor, staplar vänster axel, procent av skatter och intäkter, punkter höger axel</w:t>
      </w:r>
    </w:p>
    <w:p w:rsidRPr="0074520F" w:rsidR="00BB4E53" w:rsidP="00BB4E53" w:rsidRDefault="002420BD" w14:paraId="108DE172" w14:textId="0C8AF4DB">
      <w:pPr>
        <w:spacing w:before="80"/>
        <w:ind w:firstLine="0"/>
        <w:rPr>
          <w:rFonts w:eastAsia="Calibri"/>
        </w:rPr>
      </w:pPr>
      <w:r w:rsidRPr="0074520F">
        <w:rPr>
          <w:noProof/>
          <w14:numSpacing w14:val="default"/>
        </w:rPr>
        <w:drawing>
          <wp:inline distT="0" distB="0" distL="0" distR="0" wp14:anchorId="49E02417" wp14:editId="4661CFEE">
            <wp:extent cx="5400040" cy="2968625"/>
            <wp:effectExtent l="0" t="0" r="10160" b="3175"/>
            <wp:docPr id="3" name="Diagram 3" descr="">
              <a:extLst xmlns:a="http://schemas.openxmlformats.org/drawingml/2006/main">
                <a:ext uri="{FF2B5EF4-FFF2-40B4-BE49-F238E27FC236}">
                  <a16:creationId xmlns:a16="http://schemas.microsoft.com/office/drawing/2014/main" id="{F8E74AEF-A51C-440A-BBFF-DD59DC1755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Pr="0074520F" w:rsidR="00BB4E53" w:rsidP="008D5C99" w:rsidRDefault="00BB4E53" w14:paraId="2E0E9613" w14:textId="77777777">
      <w:pPr>
        <w:pStyle w:val="Klla"/>
      </w:pPr>
      <w:r w:rsidRPr="0074520F">
        <w:t>Källa: SCB.</w:t>
      </w:r>
    </w:p>
    <w:p w:rsidRPr="0074520F" w:rsidR="00BB4E53" w:rsidP="00BB4E53" w:rsidRDefault="00BB4E53" w14:paraId="1C9A5946" w14:textId="337C035F">
      <w:pPr>
        <w:spacing w:before="80"/>
        <w:ind w:firstLine="0"/>
        <w:rPr>
          <w:rFonts w:eastAsia="Calibri"/>
        </w:rPr>
      </w:pPr>
      <w:r w:rsidRPr="0074520F">
        <w:rPr>
          <w:rFonts w:eastAsia="Calibri"/>
        </w:rPr>
        <w:t xml:space="preserve">Kommunallagens krav </w:t>
      </w:r>
      <w:r w:rsidR="005E0D8B">
        <w:rPr>
          <w:rFonts w:eastAsia="Calibri"/>
        </w:rPr>
        <w:t xml:space="preserve">på </w:t>
      </w:r>
      <w:r w:rsidRPr="0074520F">
        <w:rPr>
          <w:rFonts w:eastAsia="Calibri"/>
        </w:rPr>
        <w:t xml:space="preserve">att kommunsektorn ska leverera budgetar i balans samt leva upp till ”god ekonomisk hushållning” innebär att kommuner och regioner generellt bör sikta på att göra ett överskott på 2 procent av skatter och bidrag varje år. </w:t>
      </w:r>
    </w:p>
    <w:p w:rsidRPr="0074520F" w:rsidR="00BB4E53" w:rsidP="00BB4E53" w:rsidRDefault="00BB4E53" w14:paraId="685FA4DA" w14:textId="699F1329">
      <w:r w:rsidRPr="0074520F">
        <w:t>Enligt kommunallagen ska underskott återställas inom en treårsperiod. Detta gäller under förutsättning att ett underskott inte kan täckas upp av en resultatutjämningsreserv (RUR) eller om ”synnerliga skäl” föreligger.</w:t>
      </w:r>
      <w:r w:rsidRPr="0074520F" w:rsidR="00512D6B">
        <w:rPr>
          <w:rStyle w:val="Fotnotsreferens"/>
        </w:rPr>
        <w:footnoteReference w:id="15"/>
      </w:r>
    </w:p>
    <w:p w:rsidRPr="002526CA" w:rsidR="009B7336" w:rsidP="002526CA" w:rsidRDefault="009B7336" w14:paraId="1E28AC30" w14:textId="1F973F8F">
      <w:pPr>
        <w:pStyle w:val="Rubrik2numrerat"/>
      </w:pPr>
      <w:bookmarkStart w:name="_Toc162362957" w:id="22"/>
      <w:bookmarkStart w:name="_Toc166056435" w:id="23"/>
      <w:r w:rsidRPr="002526CA">
        <w:t>…</w:t>
      </w:r>
      <w:r w:rsidRPr="002526CA" w:rsidR="000536C3">
        <w:t xml:space="preserve"> </w:t>
      </w:r>
      <w:r w:rsidRPr="002526CA">
        <w:t>och 2024 blir ännu sämre</w:t>
      </w:r>
      <w:bookmarkEnd w:id="22"/>
      <w:bookmarkEnd w:id="23"/>
    </w:p>
    <w:p w:rsidRPr="0074520F" w:rsidR="00775C44" w:rsidP="00775C44" w:rsidRDefault="007D50BF" w14:paraId="5343625E" w14:textId="12FF1B02">
      <w:pPr>
        <w:spacing w:before="80"/>
        <w:ind w:firstLine="0"/>
        <w:rPr>
          <w:rFonts w:eastAsia="Calibri"/>
        </w:rPr>
      </w:pPr>
      <w:r w:rsidRPr="00D250D7">
        <w:rPr>
          <w:rFonts w:eastAsia="Calibri"/>
          <w:spacing w:val="-3"/>
        </w:rPr>
        <w:t>Innevarande år</w:t>
      </w:r>
      <w:r w:rsidRPr="00D250D7" w:rsidR="00BB4E53">
        <w:rPr>
          <w:rFonts w:eastAsia="Calibri"/>
          <w:spacing w:val="-3"/>
        </w:rPr>
        <w:t xml:space="preserve">, 2024, </w:t>
      </w:r>
      <w:r w:rsidRPr="00D250D7" w:rsidR="00775C44">
        <w:rPr>
          <w:rFonts w:eastAsia="Calibri"/>
          <w:spacing w:val="-3"/>
        </w:rPr>
        <w:t>har inneburit omfattande besparingar och en jakt på intäktsökningar</w:t>
      </w:r>
      <w:r w:rsidRPr="0074520F" w:rsidR="00775C44">
        <w:rPr>
          <w:rFonts w:eastAsia="Calibri"/>
        </w:rPr>
        <w:t xml:space="preserve"> i samtliga regioner.</w:t>
      </w:r>
    </w:p>
    <w:p w:rsidRPr="0074520F" w:rsidR="00F51BCC" w:rsidP="00775C44" w:rsidRDefault="00775C44" w14:paraId="438D1F52" w14:textId="76938AFD">
      <w:pPr>
        <w:rPr>
          <w:rFonts w:eastAsia="Calibri"/>
        </w:rPr>
      </w:pPr>
      <w:r w:rsidRPr="0074520F">
        <w:rPr>
          <w:rFonts w:eastAsia="Calibri"/>
        </w:rPr>
        <w:t>I höstas b</w:t>
      </w:r>
      <w:r w:rsidRPr="0074520F" w:rsidR="00DA76B0">
        <w:rPr>
          <w:rFonts w:eastAsia="Calibri"/>
        </w:rPr>
        <w:t>eräknade SKR att det totala</w:t>
      </w:r>
      <w:r w:rsidRPr="0074520F" w:rsidR="00BB4E53">
        <w:rPr>
          <w:rFonts w:eastAsia="Calibri"/>
        </w:rPr>
        <w:t xml:space="preserve"> underskottet i regionerna </w:t>
      </w:r>
      <w:r w:rsidRPr="0074520F" w:rsidR="004826EE">
        <w:rPr>
          <w:rFonts w:eastAsia="Calibri"/>
        </w:rPr>
        <w:t xml:space="preserve">i år </w:t>
      </w:r>
      <w:r w:rsidRPr="0074520F" w:rsidR="00DA76B0">
        <w:rPr>
          <w:rFonts w:eastAsia="Calibri"/>
        </w:rPr>
        <w:t xml:space="preserve">skulle </w:t>
      </w:r>
      <w:r w:rsidRPr="0074520F" w:rsidR="00F5324A">
        <w:rPr>
          <w:rFonts w:eastAsia="Calibri"/>
        </w:rPr>
        <w:t xml:space="preserve">bli </w:t>
      </w:r>
      <w:r w:rsidRPr="0074520F" w:rsidR="00BB4E53">
        <w:rPr>
          <w:rFonts w:eastAsia="Calibri"/>
        </w:rPr>
        <w:t>2</w:t>
      </w:r>
      <w:r w:rsidRPr="0074520F" w:rsidR="00DA76B0">
        <w:rPr>
          <w:rFonts w:eastAsia="Calibri"/>
        </w:rPr>
        <w:t>4</w:t>
      </w:r>
      <w:r w:rsidRPr="0074520F" w:rsidR="00BB4E53">
        <w:rPr>
          <w:rFonts w:eastAsia="Calibri"/>
        </w:rPr>
        <w:t xml:space="preserve"> mil</w:t>
      </w:r>
      <w:r w:rsidR="00D250D7">
        <w:rPr>
          <w:rFonts w:eastAsia="Calibri"/>
        </w:rPr>
        <w:softHyphen/>
      </w:r>
      <w:r w:rsidRPr="0074520F" w:rsidR="00BB4E53">
        <w:rPr>
          <w:rFonts w:eastAsia="Calibri"/>
        </w:rPr>
        <w:t>jarder kronor</w:t>
      </w:r>
      <w:r w:rsidRPr="0074520F" w:rsidR="00B659EE">
        <w:rPr>
          <w:rFonts w:eastAsia="Calibri"/>
        </w:rPr>
        <w:t xml:space="preserve">, </w:t>
      </w:r>
      <w:r w:rsidRPr="0074520F" w:rsidR="00B659EE">
        <w:rPr>
          <w:rFonts w:eastAsia="Calibri"/>
          <w:i/>
          <w:iCs/>
        </w:rPr>
        <w:t>efter</w:t>
      </w:r>
      <w:r w:rsidRPr="0074520F" w:rsidR="00B659EE">
        <w:rPr>
          <w:rFonts w:eastAsia="Calibri"/>
        </w:rPr>
        <w:t xml:space="preserve"> den budg</w:t>
      </w:r>
      <w:r w:rsidRPr="0074520F" w:rsidR="00F5324A">
        <w:rPr>
          <w:rFonts w:eastAsia="Calibri"/>
        </w:rPr>
        <w:t>etproposition</w:t>
      </w:r>
      <w:r w:rsidRPr="0074520F" w:rsidR="00B659EE">
        <w:rPr>
          <w:rFonts w:eastAsia="Calibri"/>
        </w:rPr>
        <w:t xml:space="preserve"> som Tidöpartierna lagt</w:t>
      </w:r>
      <w:r w:rsidRPr="0074520F" w:rsidR="00BB4E53">
        <w:rPr>
          <w:rFonts w:eastAsia="Calibri"/>
        </w:rPr>
        <w:t>.</w:t>
      </w:r>
      <w:r w:rsidRPr="0074520F" w:rsidR="00BB4E53">
        <w:rPr>
          <w:rFonts w:eastAsia="Calibri"/>
          <w:vertAlign w:val="superscript"/>
        </w:rPr>
        <w:footnoteReference w:id="16"/>
      </w:r>
      <w:bookmarkStart w:name="_Toc147246923" w:id="24"/>
      <w:r w:rsidRPr="0074520F" w:rsidR="00B659EE">
        <w:rPr>
          <w:rFonts w:eastAsia="Calibri"/>
        </w:rPr>
        <w:t xml:space="preserve"> </w:t>
      </w:r>
      <w:r w:rsidRPr="0074520F" w:rsidR="00464D22">
        <w:rPr>
          <w:rFonts w:eastAsia="Calibri"/>
        </w:rPr>
        <w:t>Taxor och patient</w:t>
      </w:r>
      <w:r w:rsidR="00D250D7">
        <w:rPr>
          <w:rFonts w:eastAsia="Calibri"/>
        </w:rPr>
        <w:softHyphen/>
      </w:r>
      <w:r w:rsidRPr="0074520F" w:rsidR="00464D22">
        <w:rPr>
          <w:rFonts w:eastAsia="Calibri"/>
        </w:rPr>
        <w:t xml:space="preserve">avgifter </w:t>
      </w:r>
      <w:r w:rsidRPr="0074520F" w:rsidR="00981164">
        <w:rPr>
          <w:rFonts w:eastAsia="Calibri"/>
        </w:rPr>
        <w:t>har därför höjts</w:t>
      </w:r>
      <w:r w:rsidRPr="0074520F" w:rsidR="00464D22">
        <w:rPr>
          <w:rFonts w:eastAsia="Calibri"/>
        </w:rPr>
        <w:t xml:space="preserve"> i samtliga 21 regioner. Tre regioner (Örebro, Stockholm och </w:t>
      </w:r>
      <w:r w:rsidRPr="00D250D7" w:rsidR="00464D22">
        <w:rPr>
          <w:rFonts w:eastAsia="Calibri"/>
          <w:spacing w:val="-3"/>
        </w:rPr>
        <w:t xml:space="preserve">Dalarna) har även höjt skatten 2024 – Örebro </w:t>
      </w:r>
      <w:r w:rsidRPr="00D250D7" w:rsidR="00974BA0">
        <w:rPr>
          <w:rFonts w:eastAsia="Calibri"/>
          <w:spacing w:val="-3"/>
        </w:rPr>
        <w:t xml:space="preserve">med </w:t>
      </w:r>
      <w:r w:rsidRPr="00D250D7" w:rsidR="00464D22">
        <w:rPr>
          <w:rFonts w:eastAsia="Calibri"/>
          <w:spacing w:val="-3"/>
        </w:rPr>
        <w:t>så mycket som 75 öre. I drygt en tredje</w:t>
      </w:r>
      <w:r w:rsidRPr="00D250D7" w:rsidR="00D250D7">
        <w:rPr>
          <w:rFonts w:eastAsia="Calibri"/>
          <w:spacing w:val="-3"/>
        </w:rPr>
        <w:softHyphen/>
      </w:r>
      <w:r w:rsidRPr="00D250D7" w:rsidR="00464D22">
        <w:rPr>
          <w:rFonts w:eastAsia="Calibri"/>
          <w:spacing w:val="-3"/>
        </w:rPr>
        <w:t>del</w:t>
      </w:r>
      <w:r w:rsidRPr="0074520F" w:rsidR="00464D22">
        <w:rPr>
          <w:rFonts w:eastAsia="Calibri"/>
        </w:rPr>
        <w:t xml:space="preserve"> av regionerna har man aviserat personalneddragningar i form av varsel – inte minst </w:t>
      </w:r>
      <w:r w:rsidRPr="00D250D7" w:rsidR="00464D22">
        <w:rPr>
          <w:rFonts w:eastAsia="Calibri"/>
          <w:spacing w:val="-3"/>
        </w:rPr>
        <w:t>för de stora universitetssjukhusen Karolinska, Sahlgrenska och USÖ. Region Västra Göta</w:t>
      </w:r>
      <w:r w:rsidRPr="00D250D7" w:rsidR="00D250D7">
        <w:rPr>
          <w:rFonts w:eastAsia="Calibri"/>
          <w:spacing w:val="-3"/>
        </w:rPr>
        <w:softHyphen/>
      </w:r>
      <w:r w:rsidRPr="00D250D7" w:rsidR="00464D22">
        <w:rPr>
          <w:rFonts w:eastAsia="Calibri"/>
          <w:spacing w:val="-3"/>
        </w:rPr>
        <w:t>land</w:t>
      </w:r>
      <w:r w:rsidRPr="0074520F" w:rsidR="00464D22">
        <w:rPr>
          <w:rFonts w:eastAsia="Calibri"/>
        </w:rPr>
        <w:t xml:space="preserve"> ska minska sin personal med 2</w:t>
      </w:r>
      <w:r w:rsidRPr="0074520F" w:rsidR="007C1B69">
        <w:rPr>
          <w:rFonts w:eastAsia="Calibri"/>
        </w:rPr>
        <w:t> </w:t>
      </w:r>
      <w:r w:rsidRPr="0074520F" w:rsidR="00464D22">
        <w:rPr>
          <w:rFonts w:eastAsia="Calibri"/>
        </w:rPr>
        <w:t xml:space="preserve">000 personer. </w:t>
      </w:r>
      <w:r w:rsidRPr="0074520F" w:rsidR="00F5324A">
        <w:rPr>
          <w:rFonts w:eastAsia="Calibri"/>
        </w:rPr>
        <w:t>Region Östergötland har</w:t>
      </w:r>
      <w:r w:rsidRPr="0074520F" w:rsidR="00343CF0">
        <w:rPr>
          <w:rFonts w:eastAsia="Calibri"/>
        </w:rPr>
        <w:t>,</w:t>
      </w:r>
      <w:r w:rsidRPr="0074520F" w:rsidR="00F5324A">
        <w:rPr>
          <w:rFonts w:eastAsia="Calibri"/>
        </w:rPr>
        <w:t xml:space="preserve"> när detta skrivs</w:t>
      </w:r>
      <w:r w:rsidRPr="0074520F" w:rsidR="00343CF0">
        <w:rPr>
          <w:rFonts w:eastAsia="Calibri"/>
        </w:rPr>
        <w:t>,</w:t>
      </w:r>
      <w:r w:rsidRPr="0074520F" w:rsidR="00F5324A">
        <w:rPr>
          <w:rFonts w:eastAsia="Calibri"/>
        </w:rPr>
        <w:t xml:space="preserve"> varslat 900 personer.</w:t>
      </w:r>
      <w:r w:rsidRPr="0074520F" w:rsidR="00F5324A">
        <w:rPr>
          <w:rStyle w:val="Fotnotsreferens"/>
          <w:rFonts w:eastAsia="Calibri"/>
        </w:rPr>
        <w:footnoteReference w:id="17"/>
      </w:r>
      <w:r w:rsidRPr="0074520F" w:rsidR="00F5324A">
        <w:rPr>
          <w:rFonts w:eastAsia="Calibri"/>
        </w:rPr>
        <w:t xml:space="preserve"> I </w:t>
      </w:r>
      <w:r w:rsidRPr="0074520F" w:rsidR="00464D22">
        <w:rPr>
          <w:rFonts w:eastAsia="Calibri"/>
        </w:rPr>
        <w:t>Värmland</w:t>
      </w:r>
      <w:r w:rsidRPr="0074520F" w:rsidR="009E63AE">
        <w:rPr>
          <w:rFonts w:eastAsia="Calibri"/>
        </w:rPr>
        <w:t xml:space="preserve"> och</w:t>
      </w:r>
      <w:r w:rsidRPr="0074520F" w:rsidR="00464D22">
        <w:rPr>
          <w:rFonts w:eastAsia="Calibri"/>
        </w:rPr>
        <w:t xml:space="preserve"> Sörmland har </w:t>
      </w:r>
      <w:r w:rsidRPr="0074520F" w:rsidR="00F5324A">
        <w:rPr>
          <w:rFonts w:eastAsia="Calibri"/>
        </w:rPr>
        <w:t xml:space="preserve">regionerna </w:t>
      </w:r>
      <w:r w:rsidRPr="0074520F" w:rsidR="00464D22">
        <w:rPr>
          <w:rFonts w:eastAsia="Calibri"/>
        </w:rPr>
        <w:t>varslat 750</w:t>
      </w:r>
      <w:r w:rsidRPr="0074520F" w:rsidR="00F5324A">
        <w:rPr>
          <w:rFonts w:eastAsia="Calibri"/>
        </w:rPr>
        <w:t xml:space="preserve"> re</w:t>
      </w:r>
      <w:r w:rsidR="00D250D7">
        <w:rPr>
          <w:rFonts w:eastAsia="Calibri"/>
        </w:rPr>
        <w:softHyphen/>
      </w:r>
      <w:r w:rsidRPr="00D250D7" w:rsidR="00F5324A">
        <w:rPr>
          <w:rFonts w:eastAsia="Calibri"/>
          <w:spacing w:val="-3"/>
        </w:rPr>
        <w:t>spektive</w:t>
      </w:r>
      <w:r w:rsidRPr="00D250D7" w:rsidR="00464D22">
        <w:rPr>
          <w:rFonts w:eastAsia="Calibri"/>
          <w:spacing w:val="-3"/>
        </w:rPr>
        <w:t xml:space="preserve"> 700</w:t>
      </w:r>
      <w:r w:rsidRPr="00D250D7" w:rsidR="00F5324A">
        <w:rPr>
          <w:rFonts w:eastAsia="Calibri"/>
          <w:spacing w:val="-3"/>
        </w:rPr>
        <w:t xml:space="preserve"> </w:t>
      </w:r>
      <w:r w:rsidRPr="00D250D7" w:rsidR="00464D22">
        <w:rPr>
          <w:rFonts w:eastAsia="Calibri"/>
          <w:spacing w:val="-3"/>
        </w:rPr>
        <w:t>personer. Region Örebro har varslat 600 personer och Stockholm 450</w:t>
      </w:r>
      <w:r w:rsidRPr="00D250D7" w:rsidR="00E541B5">
        <w:rPr>
          <w:rFonts w:eastAsia="Calibri"/>
          <w:spacing w:val="-3"/>
        </w:rPr>
        <w:t>;</w:t>
      </w:r>
      <w:r w:rsidRPr="00D250D7" w:rsidR="00464D22">
        <w:rPr>
          <w:rFonts w:eastAsia="Calibri"/>
          <w:spacing w:val="-3"/>
        </w:rPr>
        <w:t xml:space="preserve"> totalt</w:t>
      </w:r>
      <w:r w:rsidRPr="0074520F" w:rsidR="00464D22">
        <w:rPr>
          <w:rFonts w:eastAsia="Calibri"/>
        </w:rPr>
        <w:t xml:space="preserve"> handlar det om nedskärningar med 5</w:t>
      </w:r>
      <w:r w:rsidRPr="0074520F" w:rsidR="007C1B69">
        <w:rPr>
          <w:rFonts w:eastAsia="Calibri"/>
        </w:rPr>
        <w:t> </w:t>
      </w:r>
      <w:r w:rsidRPr="0074520F" w:rsidR="00D4496D">
        <w:rPr>
          <w:rFonts w:eastAsia="Calibri"/>
        </w:rPr>
        <w:t>6</w:t>
      </w:r>
      <w:r w:rsidRPr="0074520F" w:rsidR="00464D22">
        <w:rPr>
          <w:rFonts w:eastAsia="Calibri"/>
        </w:rPr>
        <w:t xml:space="preserve">00 tjänster. Dessutom har flera regioner infört </w:t>
      </w:r>
      <w:r w:rsidRPr="0074520F" w:rsidR="00464D22">
        <w:rPr>
          <w:rFonts w:eastAsia="Calibri"/>
        </w:rPr>
        <w:lastRenderedPageBreak/>
        <w:t>anställningsstopp. Sammantaget står det alltså klart att personaltätheten och därmed vårdkvalit</w:t>
      </w:r>
      <w:r w:rsidRPr="0074520F" w:rsidR="007C1B69">
        <w:rPr>
          <w:rFonts w:eastAsia="Calibri"/>
        </w:rPr>
        <w:t>ete</w:t>
      </w:r>
      <w:r w:rsidRPr="0074520F" w:rsidR="00464D22">
        <w:rPr>
          <w:rFonts w:eastAsia="Calibri"/>
        </w:rPr>
        <w:t>n kommer att sjunka till så pass låga nivåer att patientsäkerheten hotas.</w:t>
      </w:r>
      <w:r w:rsidRPr="0074520F" w:rsidR="00051F22">
        <w:rPr>
          <w:rFonts w:eastAsia="Calibri"/>
        </w:rPr>
        <w:t xml:space="preserve"> Ytterst är det staten som ansvarar för att vårdgivarna och de anställda kan leva upp till </w:t>
      </w:r>
      <w:r w:rsidR="00094D48">
        <w:rPr>
          <w:rFonts w:eastAsia="Calibri"/>
        </w:rPr>
        <w:t>h</w:t>
      </w:r>
      <w:r w:rsidRPr="0074520F" w:rsidR="00051F22">
        <w:rPr>
          <w:rFonts w:eastAsia="Calibri"/>
        </w:rPr>
        <w:t xml:space="preserve">älso- och sjukvårdslagen och </w:t>
      </w:r>
      <w:r w:rsidR="00094D48">
        <w:rPr>
          <w:rFonts w:eastAsia="Calibri"/>
        </w:rPr>
        <w:t>p</w:t>
      </w:r>
      <w:r w:rsidRPr="0074520F" w:rsidR="00051F22">
        <w:rPr>
          <w:rFonts w:eastAsia="Calibri"/>
        </w:rPr>
        <w:t xml:space="preserve">atientsäkerhetslagen. </w:t>
      </w:r>
    </w:p>
    <w:p w:rsidRPr="0074520F" w:rsidR="008867FF" w:rsidP="00981164" w:rsidRDefault="00981164" w14:paraId="4A516E27" w14:textId="3162520B">
      <w:pPr>
        <w:rPr>
          <w:rFonts w:eastAsia="Calibri"/>
        </w:rPr>
      </w:pPr>
      <w:r w:rsidRPr="0074520F">
        <w:rPr>
          <w:rFonts w:eastAsia="Calibri"/>
        </w:rPr>
        <w:t xml:space="preserve">Efter </w:t>
      </w:r>
      <w:r w:rsidRPr="0074520F" w:rsidR="00051F22">
        <w:rPr>
          <w:rFonts w:eastAsia="Calibri"/>
        </w:rPr>
        <w:t>årets besparings</w:t>
      </w:r>
      <w:r w:rsidRPr="0074520F">
        <w:rPr>
          <w:rFonts w:eastAsia="Calibri"/>
        </w:rPr>
        <w:t>åtgärder saknas det fortsatt</w:t>
      </w:r>
      <w:r w:rsidRPr="0074520F" w:rsidR="001A70DD">
        <w:rPr>
          <w:rFonts w:eastAsia="Calibri"/>
        </w:rPr>
        <w:t xml:space="preserve"> ca 15 miljarder</w:t>
      </w:r>
      <w:r w:rsidRPr="0074520F" w:rsidR="005A0FB6">
        <w:rPr>
          <w:rFonts w:eastAsia="Calibri"/>
        </w:rPr>
        <w:t xml:space="preserve"> kronor</w:t>
      </w:r>
      <w:r w:rsidRPr="0074520F">
        <w:rPr>
          <w:rFonts w:eastAsia="Calibri"/>
        </w:rPr>
        <w:t xml:space="preserve"> för att täcka </w:t>
      </w:r>
      <w:r w:rsidRPr="00D250D7">
        <w:rPr>
          <w:rFonts w:eastAsia="Calibri"/>
          <w:spacing w:val="-3"/>
        </w:rPr>
        <w:t>dagens kostnader för bemanningsnivån inom sjukvården</w:t>
      </w:r>
      <w:r w:rsidRPr="00D250D7" w:rsidR="001A70DD">
        <w:rPr>
          <w:rFonts w:eastAsia="Calibri"/>
          <w:spacing w:val="-3"/>
        </w:rPr>
        <w:t xml:space="preserve">, </w:t>
      </w:r>
      <w:r w:rsidRPr="00D250D7">
        <w:rPr>
          <w:rFonts w:eastAsia="Calibri"/>
          <w:spacing w:val="-3"/>
        </w:rPr>
        <w:t>enligt regionernas egna progno</w:t>
      </w:r>
      <w:r w:rsidRPr="00D250D7" w:rsidR="00D250D7">
        <w:rPr>
          <w:rFonts w:eastAsia="Calibri"/>
          <w:spacing w:val="-3"/>
        </w:rPr>
        <w:softHyphen/>
      </w:r>
      <w:r w:rsidRPr="00D250D7">
        <w:rPr>
          <w:rFonts w:eastAsia="Calibri"/>
          <w:spacing w:val="-3"/>
        </w:rPr>
        <w:t>stiserade</w:t>
      </w:r>
      <w:r w:rsidRPr="0074520F">
        <w:rPr>
          <w:rFonts w:eastAsia="Calibri"/>
        </w:rPr>
        <w:t xml:space="preserve"> redovisningar för 2024.</w:t>
      </w:r>
      <w:r w:rsidRPr="0074520F" w:rsidR="008F631F">
        <w:rPr>
          <w:rStyle w:val="Fotnotsreferens"/>
          <w:rFonts w:eastAsia="Calibri"/>
        </w:rPr>
        <w:footnoteReference w:id="18"/>
      </w:r>
      <w:r w:rsidRPr="0074520F">
        <w:rPr>
          <w:rFonts w:eastAsia="Calibri"/>
        </w:rPr>
        <w:t xml:space="preserve"> </w:t>
      </w:r>
      <w:r w:rsidRPr="0074520F" w:rsidR="00B659EE">
        <w:rPr>
          <w:rFonts w:eastAsia="Calibri"/>
        </w:rPr>
        <w:t xml:space="preserve">Efter att det blivit helt uppenbart att detta inte räcker har regeringen nu </w:t>
      </w:r>
      <w:r w:rsidRPr="0074520F" w:rsidR="008B0A3E">
        <w:rPr>
          <w:rFonts w:eastAsia="Calibri"/>
        </w:rPr>
        <w:t>föreslagit</w:t>
      </w:r>
      <w:r w:rsidRPr="0074520F" w:rsidR="00B659EE">
        <w:rPr>
          <w:rFonts w:eastAsia="Calibri"/>
        </w:rPr>
        <w:t xml:space="preserve"> ytterligare 6 miljarder</w:t>
      </w:r>
      <w:r w:rsidRPr="0074520F" w:rsidR="005A0FB6">
        <w:rPr>
          <w:rFonts w:eastAsia="Calibri"/>
        </w:rPr>
        <w:t xml:space="preserve"> kronor</w:t>
      </w:r>
      <w:r w:rsidRPr="0074520F" w:rsidR="00B659EE">
        <w:rPr>
          <w:rFonts w:eastAsia="Calibri"/>
        </w:rPr>
        <w:t xml:space="preserve"> i ett särskilt </w:t>
      </w:r>
      <w:proofErr w:type="spellStart"/>
      <w:r w:rsidRPr="0074520F" w:rsidR="00B659EE">
        <w:rPr>
          <w:rFonts w:eastAsia="Calibri"/>
        </w:rPr>
        <w:t>sektorsstöd</w:t>
      </w:r>
      <w:proofErr w:type="spellEnd"/>
      <w:r w:rsidRPr="0074520F" w:rsidR="00B659EE">
        <w:rPr>
          <w:rFonts w:eastAsia="Calibri"/>
        </w:rPr>
        <w:t xml:space="preserve"> till hälso- och sjukvården i regionerna.</w:t>
      </w:r>
    </w:p>
    <w:p w:rsidRPr="0074520F" w:rsidR="00F428C2" w:rsidP="00981164" w:rsidRDefault="00B659EE" w14:paraId="1E884A68" w14:textId="6C0E52DC">
      <w:pPr>
        <w:rPr>
          <w:rFonts w:eastAsia="Calibri"/>
        </w:rPr>
      </w:pPr>
      <w:r w:rsidRPr="00D250D7">
        <w:rPr>
          <w:rFonts w:eastAsia="Calibri"/>
          <w:spacing w:val="-3"/>
        </w:rPr>
        <w:t>Hälso- och sjukvården sysselsätter i dag flera hundra tusen personer</w:t>
      </w:r>
      <w:r w:rsidRPr="00D250D7" w:rsidR="000B5DE0">
        <w:rPr>
          <w:rFonts w:eastAsia="Calibri"/>
          <w:spacing w:val="-3"/>
        </w:rPr>
        <w:t>.</w:t>
      </w:r>
      <w:r w:rsidRPr="00D250D7">
        <w:rPr>
          <w:rFonts w:eastAsia="Calibri"/>
          <w:spacing w:val="-3"/>
        </w:rPr>
        <w:t xml:space="preserve"> </w:t>
      </w:r>
      <w:r w:rsidRPr="00D250D7" w:rsidR="000B5DE0">
        <w:rPr>
          <w:rFonts w:eastAsia="Calibri"/>
          <w:spacing w:val="-3"/>
        </w:rPr>
        <w:t>V</w:t>
      </w:r>
      <w:r w:rsidRPr="00D250D7" w:rsidR="00F51BCC">
        <w:rPr>
          <w:rFonts w:eastAsia="Calibri"/>
          <w:spacing w:val="-3"/>
        </w:rPr>
        <w:t xml:space="preserve">ården </w:t>
      </w:r>
      <w:r w:rsidRPr="00D250D7">
        <w:rPr>
          <w:rFonts w:eastAsia="Calibri"/>
          <w:spacing w:val="-3"/>
        </w:rPr>
        <w:t xml:space="preserve">ska </w:t>
      </w:r>
      <w:r w:rsidRPr="00D250D7" w:rsidR="00F51BCC">
        <w:rPr>
          <w:rFonts w:eastAsia="Calibri"/>
          <w:spacing w:val="-3"/>
        </w:rPr>
        <w:t>finnas</w:t>
      </w:r>
      <w:r w:rsidRPr="0074520F" w:rsidR="00F51BCC">
        <w:rPr>
          <w:rFonts w:eastAsia="Calibri"/>
        </w:rPr>
        <w:t xml:space="preserve"> </w:t>
      </w:r>
      <w:r w:rsidRPr="00D250D7" w:rsidR="00F51BCC">
        <w:rPr>
          <w:rFonts w:eastAsia="Calibri"/>
          <w:spacing w:val="-3"/>
        </w:rPr>
        <w:t>där för oss när vi är sjuka och som mest sköra</w:t>
      </w:r>
      <w:r w:rsidRPr="00D250D7" w:rsidR="000B5DE0">
        <w:rPr>
          <w:rFonts w:eastAsia="Calibri"/>
          <w:spacing w:val="-3"/>
        </w:rPr>
        <w:t>,</w:t>
      </w:r>
      <w:r w:rsidRPr="00D250D7" w:rsidR="00F51BCC">
        <w:rPr>
          <w:rFonts w:eastAsia="Calibri"/>
          <w:spacing w:val="-3"/>
        </w:rPr>
        <w:t xml:space="preserve"> och den ska </w:t>
      </w:r>
      <w:r w:rsidRPr="00D250D7">
        <w:rPr>
          <w:rFonts w:eastAsia="Calibri"/>
          <w:spacing w:val="-3"/>
        </w:rPr>
        <w:t>garantera Sveriges motstånds</w:t>
      </w:r>
      <w:r w:rsidRPr="00D250D7" w:rsidR="00D250D7">
        <w:rPr>
          <w:rFonts w:eastAsia="Calibri"/>
          <w:spacing w:val="-3"/>
        </w:rPr>
        <w:softHyphen/>
      </w:r>
      <w:r w:rsidRPr="00D250D7">
        <w:rPr>
          <w:rFonts w:eastAsia="Calibri"/>
          <w:spacing w:val="-3"/>
        </w:rPr>
        <w:t>kraft</w:t>
      </w:r>
      <w:r w:rsidRPr="0074520F">
        <w:rPr>
          <w:rFonts w:eastAsia="Calibri"/>
        </w:rPr>
        <w:t xml:space="preserve"> vid </w:t>
      </w:r>
      <w:r w:rsidRPr="0074520F" w:rsidR="00F51BCC">
        <w:rPr>
          <w:rFonts w:eastAsia="Calibri"/>
        </w:rPr>
        <w:t>hälso</w:t>
      </w:r>
      <w:r w:rsidRPr="0074520F">
        <w:rPr>
          <w:rFonts w:eastAsia="Calibri"/>
        </w:rPr>
        <w:t xml:space="preserve">kris </w:t>
      </w:r>
      <w:r w:rsidRPr="0074520F" w:rsidR="00F51BCC">
        <w:rPr>
          <w:rFonts w:eastAsia="Calibri"/>
        </w:rPr>
        <w:t xml:space="preserve">såväl som </w:t>
      </w:r>
      <w:r w:rsidRPr="0074520F" w:rsidR="00921AB1">
        <w:rPr>
          <w:rFonts w:eastAsia="Calibri"/>
        </w:rPr>
        <w:t xml:space="preserve">vid </w:t>
      </w:r>
      <w:r w:rsidRPr="0074520F" w:rsidR="00F51BCC">
        <w:rPr>
          <w:rFonts w:eastAsia="Calibri"/>
        </w:rPr>
        <w:t>andra kriser</w:t>
      </w:r>
      <w:r w:rsidRPr="0074520F">
        <w:rPr>
          <w:rFonts w:eastAsia="Calibri"/>
        </w:rPr>
        <w:t xml:space="preserve">. Vänsterpartiet anser att </w:t>
      </w:r>
      <w:r w:rsidRPr="0074520F" w:rsidR="00F51BCC">
        <w:rPr>
          <w:rFonts w:eastAsia="Calibri"/>
        </w:rPr>
        <w:t>regeringen spelar ett</w:t>
      </w:r>
      <w:r w:rsidRPr="0074520F">
        <w:rPr>
          <w:rFonts w:eastAsia="Calibri"/>
        </w:rPr>
        <w:t xml:space="preserve"> vansinnigt spel med centrala verksamheter</w:t>
      </w:r>
      <w:r w:rsidRPr="0074520F" w:rsidR="00F51BCC">
        <w:rPr>
          <w:rFonts w:eastAsia="Calibri"/>
        </w:rPr>
        <w:t xml:space="preserve"> som vi </w:t>
      </w:r>
      <w:r w:rsidRPr="0074520F" w:rsidR="00921AB1">
        <w:rPr>
          <w:rFonts w:eastAsia="Calibri"/>
        </w:rPr>
        <w:t>gemensamt</w:t>
      </w:r>
      <w:r w:rsidRPr="0074520F" w:rsidR="00F51BCC">
        <w:rPr>
          <w:rFonts w:eastAsia="Calibri"/>
        </w:rPr>
        <w:t xml:space="preserve"> är helt beroende av och som ska skydda </w:t>
      </w:r>
      <w:r w:rsidRPr="0074520F" w:rsidR="00921AB1">
        <w:rPr>
          <w:rFonts w:eastAsia="Calibri"/>
        </w:rPr>
        <w:t xml:space="preserve">medborgarna och </w:t>
      </w:r>
      <w:r w:rsidRPr="0074520F" w:rsidR="00F51BCC">
        <w:rPr>
          <w:rFonts w:eastAsia="Calibri"/>
        </w:rPr>
        <w:t>landet om det värsta händer.</w:t>
      </w:r>
    </w:p>
    <w:p w:rsidRPr="002526CA" w:rsidR="00BB4E53" w:rsidP="002526CA" w:rsidRDefault="00BB4E53" w14:paraId="5911B891" w14:textId="6D9B2E07">
      <w:pPr>
        <w:pStyle w:val="Rubrik2numrerat"/>
      </w:pPr>
      <w:bookmarkStart w:name="_Toc162362958" w:id="26"/>
      <w:bookmarkStart w:name="_Toc166056436" w:id="27"/>
      <w:r w:rsidRPr="002526CA">
        <w:t>Personalen måste bli fler, inte färre</w:t>
      </w:r>
      <w:bookmarkEnd w:id="24"/>
      <w:bookmarkEnd w:id="26"/>
      <w:bookmarkEnd w:id="27"/>
    </w:p>
    <w:p w:rsidRPr="0074520F" w:rsidR="009D194C" w:rsidP="000B5DE0" w:rsidRDefault="00463D46" w14:paraId="7D9CA8D7" w14:textId="0FA39A7B">
      <w:pPr>
        <w:pStyle w:val="Normalutanindragellerluft"/>
      </w:pPr>
      <w:r w:rsidRPr="0074520F">
        <w:t>Ö</w:t>
      </w:r>
      <w:r w:rsidRPr="0074520F" w:rsidR="00BB4E53">
        <w:t xml:space="preserve">kade kostnader urholkar de regionala budgetarna </w:t>
      </w:r>
      <w:r w:rsidRPr="0074520F">
        <w:t>kraftigt.</w:t>
      </w:r>
      <w:r w:rsidRPr="0074520F" w:rsidR="00BB4E53">
        <w:t xml:space="preserve"> </w:t>
      </w:r>
      <w:r w:rsidRPr="0074520F">
        <w:t>Samtidigt</w:t>
      </w:r>
      <w:r w:rsidRPr="0074520F" w:rsidR="00BB4E53">
        <w:t xml:space="preserve"> innebär en ökande befolkning att det krävs </w:t>
      </w:r>
      <w:r w:rsidRPr="0074520F" w:rsidR="00BB4E53">
        <w:rPr>
          <w:b/>
          <w:bCs/>
        </w:rPr>
        <w:t>fler</w:t>
      </w:r>
      <w:r w:rsidRPr="0074520F" w:rsidR="00BB4E53">
        <w:t xml:space="preserve"> personer inom vård</w:t>
      </w:r>
      <w:r w:rsidR="00DF50EB">
        <w:t>-</w:t>
      </w:r>
      <w:r w:rsidRPr="0074520F" w:rsidR="00BB4E53">
        <w:t xml:space="preserve"> och omsorgsyrkena för en bibehållen personaltäthet. Redan i dagsläget råder en omfattande brist inom flera välfärdsyrken.</w:t>
      </w:r>
    </w:p>
    <w:p w:rsidRPr="0074520F" w:rsidR="00BB4E53" w:rsidP="009D194C" w:rsidRDefault="00BB4E53" w14:paraId="17E28864" w14:textId="0B31E47D">
      <w:pPr>
        <w:rPr>
          <w:rFonts w:eastAsia="Calibri"/>
        </w:rPr>
      </w:pPr>
      <w:r w:rsidRPr="0074520F">
        <w:t xml:space="preserve">Enligt Socialstyrelsens senaste bedömning av tillgång och </w:t>
      </w:r>
      <w:r w:rsidRPr="0074520F">
        <w:rPr>
          <w:rFonts w:eastAsia="Calibri"/>
        </w:rPr>
        <w:t>efterfrågan på legitimerad personal i hälso- och sjukvården rapporterade regioner</w:t>
      </w:r>
      <w:r w:rsidRPr="0074520F" w:rsidR="00FD25C7">
        <w:rPr>
          <w:rFonts w:eastAsia="Calibri"/>
        </w:rPr>
        <w:t>na</w:t>
      </w:r>
      <w:r w:rsidRPr="0074520F">
        <w:rPr>
          <w:rFonts w:eastAsia="Calibri"/>
        </w:rPr>
        <w:t xml:space="preserve"> om </w:t>
      </w:r>
      <w:r w:rsidRPr="0074520F" w:rsidR="00FD25C7">
        <w:rPr>
          <w:rFonts w:eastAsia="Calibri"/>
        </w:rPr>
        <w:t xml:space="preserve">ökad </w:t>
      </w:r>
      <w:r w:rsidRPr="0074520F">
        <w:rPr>
          <w:rFonts w:eastAsia="Calibri"/>
        </w:rPr>
        <w:t xml:space="preserve">brist på </w:t>
      </w:r>
      <w:r w:rsidRPr="0074520F" w:rsidR="00FD25C7">
        <w:rPr>
          <w:rFonts w:eastAsia="Calibri"/>
        </w:rPr>
        <w:t>nyutexami</w:t>
      </w:r>
      <w:r w:rsidR="00D250D7">
        <w:rPr>
          <w:rFonts w:eastAsia="Calibri"/>
        </w:rPr>
        <w:softHyphen/>
      </w:r>
      <w:r w:rsidRPr="0074520F" w:rsidR="00FD25C7">
        <w:rPr>
          <w:rFonts w:eastAsia="Calibri"/>
        </w:rPr>
        <w:t xml:space="preserve">nerade </w:t>
      </w:r>
      <w:r w:rsidRPr="0074520F">
        <w:rPr>
          <w:rFonts w:eastAsia="Calibri"/>
        </w:rPr>
        <w:t>barnmorskor, sjuksköterskor</w:t>
      </w:r>
      <w:r w:rsidRPr="0074520F" w:rsidR="00B348B9">
        <w:rPr>
          <w:rFonts w:eastAsia="Calibri"/>
        </w:rPr>
        <w:t xml:space="preserve"> och läkare</w:t>
      </w:r>
      <w:r w:rsidRPr="0074520F">
        <w:rPr>
          <w:rFonts w:eastAsia="Calibri"/>
        </w:rPr>
        <w:t>.</w:t>
      </w:r>
      <w:r w:rsidRPr="0074520F">
        <w:rPr>
          <w:rFonts w:eastAsia="Calibri"/>
          <w:vertAlign w:val="superscript"/>
        </w:rPr>
        <w:footnoteReference w:id="19"/>
      </w:r>
      <w:r w:rsidRPr="0074520F">
        <w:rPr>
          <w:rFonts w:eastAsia="Calibri"/>
        </w:rPr>
        <w:t xml:space="preserve"> </w:t>
      </w:r>
      <w:r w:rsidRPr="0074520F" w:rsidR="00665182">
        <w:rPr>
          <w:rFonts w:eastAsia="Calibri"/>
        </w:rPr>
        <w:t>Mer än 70 procent av arbetsgivarna uppger att de har brist på</w:t>
      </w:r>
      <w:r w:rsidRPr="0074520F" w:rsidR="00DF4DB5">
        <w:rPr>
          <w:rFonts w:eastAsia="Calibri"/>
        </w:rPr>
        <w:t xml:space="preserve"> nyutexaminerade</w:t>
      </w:r>
      <w:r w:rsidRPr="0074520F" w:rsidR="00665182">
        <w:rPr>
          <w:rFonts w:eastAsia="Calibri"/>
        </w:rPr>
        <w:t xml:space="preserve"> receptarier, biomedicinska analytiker, barn</w:t>
      </w:r>
      <w:r w:rsidR="00D250D7">
        <w:rPr>
          <w:rFonts w:eastAsia="Calibri"/>
        </w:rPr>
        <w:softHyphen/>
      </w:r>
      <w:r w:rsidRPr="0074520F" w:rsidR="00665182">
        <w:rPr>
          <w:rFonts w:eastAsia="Calibri"/>
        </w:rPr>
        <w:t>morskor och alla kategorier av sjuksköterskor.</w:t>
      </w:r>
    </w:p>
    <w:p w:rsidRPr="0074520F" w:rsidR="008A1C65" w:rsidP="008A1C65" w:rsidRDefault="00BB4E53" w14:paraId="71462288" w14:textId="2135B4D8">
      <w:pPr>
        <w:pStyle w:val="Tabellrubrik"/>
      </w:pPr>
      <w:r w:rsidRPr="0074520F">
        <w:lastRenderedPageBreak/>
        <w:t xml:space="preserve">Figur </w:t>
      </w:r>
      <w:r w:rsidRPr="0074520F" w:rsidR="00055445">
        <w:t>12</w:t>
      </w:r>
      <w:r w:rsidRPr="0074520F">
        <w:t xml:space="preserve"> An</w:t>
      </w:r>
      <w:r w:rsidRPr="0074520F" w:rsidR="00A03921">
        <w:t>del arbetsgivare</w:t>
      </w:r>
      <w:r w:rsidRPr="0074520F">
        <w:t xml:space="preserve"> som rapportera</w:t>
      </w:r>
      <w:r w:rsidRPr="0074520F" w:rsidR="00877DE2">
        <w:t>de</w:t>
      </w:r>
      <w:r w:rsidRPr="0074520F">
        <w:t xml:space="preserve"> om brist </w:t>
      </w:r>
      <w:r w:rsidRPr="0074520F" w:rsidR="00FE5BCA">
        <w:t>2023 jämfört med 2019</w:t>
      </w:r>
    </w:p>
    <w:p w:rsidRPr="0074520F" w:rsidR="00BB4E53" w:rsidP="008A1C65" w:rsidRDefault="00FE5BCA" w14:paraId="68972583" w14:textId="004AF9BB">
      <w:pPr>
        <w:pStyle w:val="Tabellunderrubrik"/>
      </w:pPr>
      <w:r w:rsidRPr="0074520F">
        <w:t>N</w:t>
      </w:r>
      <w:r w:rsidRPr="0074520F" w:rsidR="00A03921">
        <w:t xml:space="preserve">yutexaminerade </w:t>
      </w:r>
      <w:r w:rsidRPr="0074520F" w:rsidR="00BB4E53">
        <w:t>inom hälso- och sjukvården 202</w:t>
      </w:r>
      <w:r w:rsidRPr="0074520F" w:rsidR="00A03921">
        <w:t>3</w:t>
      </w:r>
      <w:r w:rsidRPr="0074520F">
        <w:t>, per legitimationsyrke</w:t>
      </w:r>
      <w:r w:rsidRPr="0074520F" w:rsidR="007B2031">
        <w:t xml:space="preserve"> (y-axeln börjar på 50</w:t>
      </w:r>
      <w:r w:rsidR="00212299">
        <w:t> </w:t>
      </w:r>
      <w:r w:rsidRPr="0074520F" w:rsidR="007B2031">
        <w:t>%)</w:t>
      </w:r>
    </w:p>
    <w:p w:rsidRPr="0074520F" w:rsidR="00BB4E53" w:rsidP="00BB4E53" w:rsidRDefault="00A30F0C" w14:paraId="098713D8" w14:textId="7B98E6D2">
      <w:pPr>
        <w:spacing w:before="80"/>
        <w:ind w:firstLine="0"/>
        <w:rPr>
          <w:rFonts w:eastAsia="Calibri"/>
        </w:rPr>
      </w:pPr>
      <w:r w:rsidRPr="0074520F">
        <w:rPr>
          <w:noProof/>
          <w14:numSpacing w14:val="default"/>
        </w:rPr>
        <w:drawing>
          <wp:inline distT="0" distB="0" distL="0" distR="0" wp14:anchorId="31292DE4" wp14:editId="2100F22D">
            <wp:extent cx="5399280" cy="3173760"/>
            <wp:effectExtent l="0" t="0" r="11430" b="7620"/>
            <wp:docPr id="27" name="Diagram 27" descr="">
              <a:extLst xmlns:a="http://schemas.openxmlformats.org/drawingml/2006/main">
                <a:ext uri="{FF2B5EF4-FFF2-40B4-BE49-F238E27FC236}">
                  <a16:creationId xmlns:a16="http://schemas.microsoft.com/office/drawing/2014/main" id="{7E1E424A-5247-4703-86E2-3F7B22CD045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Pr="0074520F" w:rsidR="00BB4E53" w:rsidP="008D5C99" w:rsidRDefault="00BB4E53" w14:paraId="1E11059C" w14:textId="57210DF4">
      <w:pPr>
        <w:pStyle w:val="Klla"/>
      </w:pPr>
      <w:r w:rsidRPr="0074520F">
        <w:t>Källa: Socialstyrelsen (202</w:t>
      </w:r>
      <w:r w:rsidRPr="0074520F" w:rsidR="006469C9">
        <w:t>4</w:t>
      </w:r>
      <w:r w:rsidRPr="0074520F">
        <w:t>), Nationella planeringsstödet.</w:t>
      </w:r>
    </w:p>
    <w:p w:rsidRPr="0074520F" w:rsidR="00DF4DB5" w:rsidP="00DF4DB5" w:rsidRDefault="00DF4DB5" w14:paraId="61B066AB" w14:textId="2B8AF3E3">
      <w:pPr>
        <w:spacing w:before="80"/>
        <w:ind w:firstLine="0"/>
        <w:rPr>
          <w:rFonts w:eastAsia="Calibri"/>
        </w:rPr>
      </w:pPr>
      <w:r w:rsidRPr="0074520F">
        <w:rPr>
          <w:rFonts w:eastAsia="Calibri"/>
        </w:rPr>
        <w:t>Bristen på erfarna anställda inom regionerna</w:t>
      </w:r>
      <w:r w:rsidRPr="0074520F" w:rsidR="00D149EE">
        <w:rPr>
          <w:rFonts w:eastAsia="Calibri"/>
        </w:rPr>
        <w:t xml:space="preserve"> är ännu större</w:t>
      </w:r>
      <w:r w:rsidRPr="0074520F">
        <w:rPr>
          <w:rFonts w:eastAsia="Calibri"/>
        </w:rPr>
        <w:t xml:space="preserve">. Mer än </w:t>
      </w:r>
      <w:r w:rsidRPr="0074520F" w:rsidR="00D41C48">
        <w:rPr>
          <w:rFonts w:eastAsia="Calibri"/>
        </w:rPr>
        <w:t>9</w:t>
      </w:r>
      <w:r w:rsidRPr="0074520F">
        <w:rPr>
          <w:rFonts w:eastAsia="Calibri"/>
        </w:rPr>
        <w:t xml:space="preserve">0 procent av arbetsgivarna har brist </w:t>
      </w:r>
      <w:r w:rsidRPr="0074520F" w:rsidR="00BB4E53">
        <w:rPr>
          <w:rFonts w:eastAsia="Calibri"/>
        </w:rPr>
        <w:t xml:space="preserve">på </w:t>
      </w:r>
      <w:r w:rsidRPr="0074520F" w:rsidR="00D41C48">
        <w:rPr>
          <w:rFonts w:eastAsia="Calibri"/>
        </w:rPr>
        <w:t>grundutbildade sjuksköterskor, distriktssköterskor och röntgensjuksköterskor</w:t>
      </w:r>
      <w:r w:rsidRPr="0074520F" w:rsidR="00BB4E53">
        <w:rPr>
          <w:rFonts w:eastAsia="Calibri"/>
        </w:rPr>
        <w:t>.</w:t>
      </w:r>
      <w:r w:rsidRPr="0074520F" w:rsidR="00D41C48">
        <w:rPr>
          <w:rFonts w:eastAsia="Calibri"/>
        </w:rPr>
        <w:t xml:space="preserve"> Mellan 2109 och 2023 har andel arbetsgivare som uppger brist på erfarna grundutbildade sjuksköterskor ökat fr</w:t>
      </w:r>
      <w:r w:rsidRPr="0074520F" w:rsidR="0018391A">
        <w:rPr>
          <w:rFonts w:eastAsia="Calibri"/>
        </w:rPr>
        <w:t>ån</w:t>
      </w:r>
      <w:r w:rsidRPr="0074520F" w:rsidR="00D41C48">
        <w:rPr>
          <w:rFonts w:eastAsia="Calibri"/>
        </w:rPr>
        <w:t xml:space="preserve"> </w:t>
      </w:r>
      <w:r w:rsidRPr="0074520F" w:rsidR="0018391A">
        <w:rPr>
          <w:rFonts w:eastAsia="Calibri"/>
        </w:rPr>
        <w:t>91</w:t>
      </w:r>
      <w:r w:rsidRPr="0074520F" w:rsidR="00D41C48">
        <w:rPr>
          <w:rFonts w:eastAsia="Calibri"/>
        </w:rPr>
        <w:t xml:space="preserve"> till 9</w:t>
      </w:r>
      <w:r w:rsidRPr="0074520F" w:rsidR="0018391A">
        <w:rPr>
          <w:rFonts w:eastAsia="Calibri"/>
        </w:rPr>
        <w:t>4</w:t>
      </w:r>
      <w:r w:rsidRPr="0074520F" w:rsidR="00D41C48">
        <w:rPr>
          <w:rFonts w:eastAsia="Calibri"/>
        </w:rPr>
        <w:t xml:space="preserve"> procent.</w:t>
      </w:r>
    </w:p>
    <w:p w:rsidRPr="0074520F" w:rsidR="000C6F18" w:rsidP="000C6F18" w:rsidRDefault="000C6F18" w14:paraId="1701554B" w14:textId="5B45BE16">
      <w:pPr>
        <w:pStyle w:val="Tabellrubrik"/>
      </w:pPr>
      <w:r w:rsidRPr="0074520F">
        <w:t xml:space="preserve">Figur </w:t>
      </w:r>
      <w:r w:rsidRPr="0074520F" w:rsidR="00055445">
        <w:t>13</w:t>
      </w:r>
      <w:r w:rsidRPr="0074520F">
        <w:t xml:space="preserve"> Andel arbetsgivare som rapportera</w:t>
      </w:r>
      <w:r w:rsidRPr="0074520F" w:rsidR="00877DE2">
        <w:t>de</w:t>
      </w:r>
      <w:r w:rsidRPr="0074520F">
        <w:t xml:space="preserve"> om brist 2023 jämfört med 2019</w:t>
      </w:r>
    </w:p>
    <w:p w:rsidRPr="0074520F" w:rsidR="000C6F18" w:rsidP="000C6F18" w:rsidRDefault="00EB6C15" w14:paraId="2931C9DB" w14:textId="7618453A">
      <w:pPr>
        <w:pStyle w:val="Tabellunderrubrik"/>
      </w:pPr>
      <w:r w:rsidRPr="0074520F">
        <w:t>Erfaren personal</w:t>
      </w:r>
      <w:r w:rsidRPr="0074520F" w:rsidR="000C6F18">
        <w:t xml:space="preserve"> inom hälso- och sjukvården 2023, per legitimationsyrke</w:t>
      </w:r>
      <w:r w:rsidRPr="0074520F" w:rsidR="00B111AC">
        <w:t xml:space="preserve"> (y-axeln börjar på 50</w:t>
      </w:r>
      <w:r w:rsidR="0044324F">
        <w:t> </w:t>
      </w:r>
      <w:r w:rsidRPr="0074520F" w:rsidR="00B111AC">
        <w:t>%)</w:t>
      </w:r>
    </w:p>
    <w:p w:rsidRPr="0074520F" w:rsidR="001F2301" w:rsidP="00DF4DB5" w:rsidRDefault="007B2031" w14:paraId="23293233" w14:textId="3CD3F3B7">
      <w:pPr>
        <w:spacing w:before="80"/>
        <w:ind w:firstLine="0"/>
        <w:rPr>
          <w:rFonts w:eastAsia="Calibri"/>
        </w:rPr>
      </w:pPr>
      <w:r w:rsidRPr="0074520F">
        <w:rPr>
          <w:noProof/>
          <w14:numSpacing w14:val="default"/>
        </w:rPr>
        <w:drawing>
          <wp:inline distT="0" distB="0" distL="0" distR="0" wp14:anchorId="5628BEBE" wp14:editId="001F6BAC">
            <wp:extent cx="5400000" cy="2984760"/>
            <wp:effectExtent l="0" t="0" r="10795" b="6350"/>
            <wp:docPr id="28" name="Diagram 28" descr="">
              <a:extLst xmlns:a="http://schemas.openxmlformats.org/drawingml/2006/main">
                <a:ext uri="{FF2B5EF4-FFF2-40B4-BE49-F238E27FC236}">
                  <a16:creationId xmlns:a16="http://schemas.microsoft.com/office/drawing/2014/main" id="{E59AD8A8-7FE4-45A8-A595-C9A1086B8CBD}"/>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Pr="0074520F" w:rsidR="00FC2A20" w:rsidP="00970815" w:rsidRDefault="00FC2A20" w14:paraId="4A05E4C6" w14:textId="77777777">
      <w:pPr>
        <w:pStyle w:val="Klla"/>
      </w:pPr>
      <w:r w:rsidRPr="0074520F">
        <w:t>Källa: Socialstyrelsen (2024), Nationella planeringsstödet.</w:t>
      </w:r>
    </w:p>
    <w:p w:rsidRPr="0074520F" w:rsidR="005D3287" w:rsidP="005D3287" w:rsidRDefault="005D3287" w14:paraId="438763E4" w14:textId="2FF4246C">
      <w:pPr>
        <w:pStyle w:val="Normalutanindragellerluft"/>
      </w:pPr>
      <w:r w:rsidRPr="0074520F">
        <w:t>För att kommunsektorn ska lyckas med sin personalförsörjning krävs både stora utbild</w:t>
      </w:r>
      <w:r w:rsidR="004B6327">
        <w:softHyphen/>
      </w:r>
      <w:r w:rsidRPr="0074520F">
        <w:t xml:space="preserve">ningssatsningar och betydande ansträngningar för att öka välfärdssektorns attraktivitet. </w:t>
      </w:r>
      <w:r w:rsidRPr="004B6327">
        <w:rPr>
          <w:spacing w:val="-3"/>
        </w:rPr>
        <w:t>Centralt i detta sammanhang är högre löner, ökad personaltäthet och förbättrad arbetsmiljö.</w:t>
      </w:r>
    </w:p>
    <w:p w:rsidRPr="0074520F" w:rsidR="00C92D12" w:rsidP="001B5AEE" w:rsidRDefault="00C92D12" w14:paraId="170AB6ED" w14:textId="25E70690">
      <w:r w:rsidRPr="0074520F">
        <w:rPr>
          <w:rFonts w:eastAsia="Calibri"/>
        </w:rPr>
        <w:lastRenderedPageBreak/>
        <w:t xml:space="preserve">Dagens </w:t>
      </w:r>
      <w:r w:rsidRPr="0074520F" w:rsidR="005D3287">
        <w:rPr>
          <w:rFonts w:eastAsia="Calibri"/>
        </w:rPr>
        <w:t>finansierings</w:t>
      </w:r>
      <w:r w:rsidRPr="0074520F">
        <w:rPr>
          <w:rFonts w:eastAsia="Calibri"/>
        </w:rPr>
        <w:t xml:space="preserve">system får </w:t>
      </w:r>
      <w:r w:rsidRPr="0074520F" w:rsidR="005D3287">
        <w:rPr>
          <w:rFonts w:eastAsia="Calibri"/>
        </w:rPr>
        <w:t xml:space="preserve">i stället </w:t>
      </w:r>
      <w:r w:rsidRPr="0074520F">
        <w:rPr>
          <w:rFonts w:eastAsia="Calibri"/>
        </w:rPr>
        <w:t xml:space="preserve">effekten att verksamheterna ute i </w:t>
      </w:r>
      <w:r w:rsidRPr="0074520F" w:rsidR="00113633">
        <w:rPr>
          <w:rFonts w:eastAsia="Calibri"/>
        </w:rPr>
        <w:t>regionerna</w:t>
      </w:r>
      <w:r w:rsidRPr="0074520F">
        <w:rPr>
          <w:rFonts w:eastAsia="Calibri"/>
        </w:rPr>
        <w:t xml:space="preserve"> kortsiktigt måste anpassas till det rådande kostnadsläget i stället för till medborgarnas </w:t>
      </w:r>
      <w:r w:rsidRPr="0074520F" w:rsidR="005D3287">
        <w:rPr>
          <w:rFonts w:eastAsia="Calibri"/>
        </w:rPr>
        <w:t xml:space="preserve">långsiktiga </w:t>
      </w:r>
      <w:r w:rsidRPr="0074520F">
        <w:rPr>
          <w:rFonts w:eastAsia="Calibri"/>
        </w:rPr>
        <w:t>behov av sjukvård, förskola och äldreomsorg. Hela kommunsektorn behöver stabila förutsättningar</w:t>
      </w:r>
      <w:r w:rsidR="001B4358">
        <w:rPr>
          <w:rFonts w:eastAsia="Calibri"/>
        </w:rPr>
        <w:t>.</w:t>
      </w:r>
      <w:r w:rsidRPr="0074520F">
        <w:rPr>
          <w:rFonts w:eastAsia="Calibri"/>
        </w:rPr>
        <w:t xml:space="preserve"> </w:t>
      </w:r>
      <w:r w:rsidRPr="0074520F" w:rsidR="00590E29">
        <w:rPr>
          <w:rFonts w:eastAsia="Calibri"/>
        </w:rPr>
        <w:t>Vänsterpartiet</w:t>
      </w:r>
      <w:r w:rsidRPr="0074520F">
        <w:rPr>
          <w:rFonts w:eastAsia="Calibri"/>
        </w:rPr>
        <w:t xml:space="preserve"> föreslår därför</w:t>
      </w:r>
      <w:r w:rsidR="001B4358">
        <w:rPr>
          <w:rFonts w:eastAsia="Calibri"/>
        </w:rPr>
        <w:t xml:space="preserve"> följande</w:t>
      </w:r>
      <w:r w:rsidRPr="0074520F">
        <w:rPr>
          <w:rFonts w:eastAsia="Calibri"/>
        </w:rPr>
        <w:t>:</w:t>
      </w:r>
    </w:p>
    <w:p w:rsidRPr="0074520F" w:rsidR="00C92D12" w:rsidP="008A5D29" w:rsidRDefault="00C92D12" w14:paraId="11184DEF" w14:textId="2AF38945">
      <w:pPr>
        <w:pStyle w:val="ListaPunkt"/>
        <w:numPr>
          <w:ilvl w:val="0"/>
          <w:numId w:val="39"/>
        </w:numPr>
        <w:ind w:left="380"/>
        <w:rPr>
          <w:rFonts w:eastAsia="Calibri"/>
        </w:rPr>
      </w:pPr>
      <w:r w:rsidRPr="0074520F">
        <w:rPr>
          <w:rFonts w:eastAsia="Calibri"/>
        </w:rPr>
        <w:t>Låt kommuner och regioner, tillfälligt eller tills</w:t>
      </w:r>
      <w:r w:rsidR="001B4358">
        <w:rPr>
          <w:rFonts w:eastAsia="Calibri"/>
        </w:rPr>
        <w:t xml:space="preserve"> </w:t>
      </w:r>
      <w:r w:rsidRPr="0074520F">
        <w:rPr>
          <w:rFonts w:eastAsia="Calibri"/>
        </w:rPr>
        <w:t>vidare, använda riktade medel som generella.</w:t>
      </w:r>
    </w:p>
    <w:p w:rsidRPr="0074520F" w:rsidR="00C92D12" w:rsidP="008A5D29" w:rsidRDefault="00C92D12" w14:paraId="6C728743" w14:textId="77777777">
      <w:pPr>
        <w:pStyle w:val="ListaPunkt"/>
        <w:numPr>
          <w:ilvl w:val="0"/>
          <w:numId w:val="39"/>
        </w:numPr>
        <w:ind w:left="380"/>
        <w:rPr>
          <w:rFonts w:eastAsia="Calibri"/>
        </w:rPr>
      </w:pPr>
      <w:r w:rsidRPr="0074520F">
        <w:rPr>
          <w:rFonts w:eastAsia="Calibri"/>
        </w:rPr>
        <w:t>Vi kräver att landets kommuner och regioner före sommaren får besked om en lägsta nivå för statsbidrag i höstens budgetproposition.</w:t>
      </w:r>
    </w:p>
    <w:p w:rsidRPr="0074520F" w:rsidR="00C92D12" w:rsidP="008A5D29" w:rsidRDefault="00C92D12" w14:paraId="00BC1373" w14:textId="3D26B336">
      <w:pPr>
        <w:pStyle w:val="ListaPunkt"/>
        <w:numPr>
          <w:ilvl w:val="0"/>
          <w:numId w:val="39"/>
        </w:numPr>
        <w:ind w:left="380"/>
        <w:rPr>
          <w:rFonts w:eastAsia="Calibri"/>
        </w:rPr>
      </w:pPr>
      <w:r w:rsidRPr="0074520F">
        <w:rPr>
          <w:rFonts w:eastAsia="Calibri"/>
        </w:rPr>
        <w:t xml:space="preserve">Staten måste garantera långsiktiga förutsättningar för kommuner och regioner – indexera statsbidragen så </w:t>
      </w:r>
      <w:r w:rsidR="001B4358">
        <w:rPr>
          <w:rFonts w:eastAsia="Calibri"/>
        </w:rPr>
        <w:t xml:space="preserve">att </w:t>
      </w:r>
      <w:r w:rsidRPr="0074520F">
        <w:rPr>
          <w:rFonts w:eastAsia="Calibri"/>
        </w:rPr>
        <w:t>de följer kostnadsutvecklingen.</w:t>
      </w:r>
    </w:p>
    <w:p w:rsidRPr="0074520F" w:rsidR="001B5AEE" w:rsidP="001B5AEE" w:rsidRDefault="001B5AEE" w14:paraId="01E3935D" w14:textId="6F763699">
      <w:pPr>
        <w:ind w:firstLine="0"/>
        <w:rPr>
          <w:rFonts w:eastAsia="Calibri"/>
        </w:rPr>
      </w:pPr>
      <w:r w:rsidRPr="0074520F">
        <w:rPr>
          <w:rFonts w:eastAsia="Calibri"/>
        </w:rPr>
        <w:t xml:space="preserve">Totalt beräknas underskottet </w:t>
      </w:r>
      <w:r w:rsidRPr="0074520F" w:rsidR="00590E29">
        <w:rPr>
          <w:rFonts w:eastAsia="Calibri"/>
        </w:rPr>
        <w:t>i regionerna bli ca 15</w:t>
      </w:r>
      <w:r w:rsidRPr="0074520F">
        <w:rPr>
          <w:rFonts w:eastAsia="Calibri"/>
        </w:rPr>
        <w:t xml:space="preserve"> miljarder kronor i år. Det innebär fortsatt enorma påfrestningar på den svenska sjukvården. Vänsterpartiet föreslår därför ett statligt räddningspaket till sjukvården för 202</w:t>
      </w:r>
      <w:r w:rsidRPr="0074520F" w:rsidR="00BF517E">
        <w:rPr>
          <w:rFonts w:eastAsia="Calibri"/>
        </w:rPr>
        <w:t>4</w:t>
      </w:r>
      <w:r w:rsidRPr="0074520F">
        <w:rPr>
          <w:rFonts w:eastAsia="Calibri"/>
        </w:rPr>
        <w:t>:</w:t>
      </w:r>
    </w:p>
    <w:p w:rsidRPr="0074520F" w:rsidR="001B5AEE" w:rsidP="008A5D29" w:rsidRDefault="001B5AEE" w14:paraId="129902B2" w14:textId="07379179">
      <w:pPr>
        <w:pStyle w:val="ListaPunkt"/>
        <w:numPr>
          <w:ilvl w:val="0"/>
          <w:numId w:val="40"/>
        </w:numPr>
        <w:ind w:left="380"/>
        <w:rPr>
          <w:rFonts w:eastAsia="Calibri"/>
        </w:rPr>
      </w:pPr>
      <w:r w:rsidRPr="0074520F">
        <w:rPr>
          <w:rFonts w:eastAsia="Calibri"/>
        </w:rPr>
        <w:t xml:space="preserve">Anslå </w:t>
      </w:r>
      <w:r w:rsidRPr="0074520F" w:rsidR="00755425">
        <w:rPr>
          <w:rFonts w:eastAsia="Calibri"/>
        </w:rPr>
        <w:t>15</w:t>
      </w:r>
      <w:r w:rsidRPr="0074520F">
        <w:rPr>
          <w:rFonts w:eastAsia="Calibri"/>
        </w:rPr>
        <w:t xml:space="preserve"> miljarder kronor till regionerna för innevarande år.</w:t>
      </w:r>
    </w:p>
    <w:p w:rsidRPr="008A5D29" w:rsidR="00986CAA" w:rsidP="008A5D29" w:rsidRDefault="00E04E92" w14:paraId="40BE95E4" w14:textId="3E6442B3">
      <w:pPr>
        <w:pStyle w:val="Rubrik2numrerat"/>
      </w:pPr>
      <w:bookmarkStart w:name="_Hlk164080434" w:id="28"/>
      <w:bookmarkStart w:name="_Toc166056437" w:id="29"/>
      <w:bookmarkStart w:name="_Hlk164260420" w:id="30"/>
      <w:r w:rsidRPr="008A5D29">
        <w:t>Förslag på s</w:t>
      </w:r>
      <w:r w:rsidRPr="008A5D29" w:rsidR="00CA614F">
        <w:t>topp för</w:t>
      </w:r>
      <w:r w:rsidRPr="008A5D29" w:rsidR="00986CAA">
        <w:t xml:space="preserve"> hyrpersonal i vården</w:t>
      </w:r>
      <w:bookmarkEnd w:id="28"/>
      <w:bookmarkEnd w:id="29"/>
    </w:p>
    <w:p w:rsidRPr="0074520F" w:rsidR="00AB11AD" w:rsidP="009337ED" w:rsidRDefault="00986CAA" w14:paraId="67B349E0" w14:textId="6A6E70D9">
      <w:pPr>
        <w:pStyle w:val="Normalutanindragellerluft"/>
      </w:pPr>
      <w:bookmarkStart w:name="_Hlk164677818" w:id="31"/>
      <w:r w:rsidRPr="0074520F">
        <w:t>Regionernas kostnader för hyrpersonal är stora.</w:t>
      </w:r>
      <w:r w:rsidRPr="0074520F" w:rsidR="00AB11AD">
        <w:t xml:space="preserve"> Miljard</w:t>
      </w:r>
      <w:r w:rsidRPr="0074520F" w:rsidR="000C6E2B">
        <w:t>er</w:t>
      </w:r>
      <w:r w:rsidRPr="0074520F" w:rsidR="00AB11AD">
        <w:t xml:space="preserve"> kronor som hade kunnat an</w:t>
      </w:r>
      <w:r w:rsidR="00F1273D">
        <w:softHyphen/>
      </w:r>
      <w:r w:rsidRPr="00F1273D" w:rsidR="00AB11AD">
        <w:rPr>
          <w:spacing w:val="-3"/>
        </w:rPr>
        <w:t>vändas till att bygga välfärden försvinner i</w:t>
      </w:r>
      <w:r w:rsidRPr="00F1273D" w:rsidR="00E83AFA">
        <w:rPr>
          <w:spacing w:val="-3"/>
        </w:rPr>
        <w:t xml:space="preserve"> </w:t>
      </w:r>
      <w:r w:rsidRPr="00F1273D" w:rsidR="00AB11AD">
        <w:rPr>
          <w:spacing w:val="-3"/>
        </w:rPr>
        <w:t>stället iväg i merkostnader.</w:t>
      </w:r>
      <w:r w:rsidRPr="00F1273D" w:rsidR="009337ED">
        <w:rPr>
          <w:spacing w:val="-3"/>
        </w:rPr>
        <w:t xml:space="preserve"> </w:t>
      </w:r>
      <w:r w:rsidRPr="00F1273D" w:rsidR="00341024">
        <w:rPr>
          <w:spacing w:val="-3"/>
        </w:rPr>
        <w:t>Alla regioner utom</w:t>
      </w:r>
      <w:r w:rsidRPr="0074520F" w:rsidR="00341024">
        <w:t xml:space="preserve"> tre ökade</w:t>
      </w:r>
      <w:r w:rsidRPr="0074520F" w:rsidR="00C96297">
        <w:t xml:space="preserve"> dessutom</w:t>
      </w:r>
      <w:r w:rsidRPr="0074520F" w:rsidR="00341024">
        <w:t xml:space="preserve"> sina kostnader för inhyrd personal inom hälso- och sjukvården </w:t>
      </w:r>
      <w:r w:rsidRPr="0074520F" w:rsidR="00CE3B4B">
        <w:t xml:space="preserve">förra </w:t>
      </w:r>
      <w:r w:rsidRPr="00F1273D" w:rsidR="00CE3B4B">
        <w:rPr>
          <w:spacing w:val="-3"/>
        </w:rPr>
        <w:t xml:space="preserve">året </w:t>
      </w:r>
      <w:r w:rsidRPr="00F1273D" w:rsidR="008844CA">
        <w:rPr>
          <w:spacing w:val="-3"/>
        </w:rPr>
        <w:t xml:space="preserve">med 1,4 miljarder kronor </w:t>
      </w:r>
      <w:r w:rsidRPr="00F1273D" w:rsidR="000C6E2B">
        <w:rPr>
          <w:spacing w:val="-3"/>
        </w:rPr>
        <w:t>–</w:t>
      </w:r>
      <w:r w:rsidRPr="00F1273D" w:rsidR="008844CA">
        <w:rPr>
          <w:spacing w:val="-3"/>
        </w:rPr>
        <w:t xml:space="preserve"> </w:t>
      </w:r>
      <w:r w:rsidRPr="00F1273D" w:rsidR="000C6E2B">
        <w:rPr>
          <w:spacing w:val="-3"/>
        </w:rPr>
        <w:t xml:space="preserve">en ökning med hela </w:t>
      </w:r>
      <w:r w:rsidRPr="00F1273D" w:rsidR="008844CA">
        <w:rPr>
          <w:spacing w:val="-3"/>
        </w:rPr>
        <w:t xml:space="preserve">17 procent jämfört med </w:t>
      </w:r>
      <w:r w:rsidRPr="00F1273D" w:rsidR="0005713D">
        <w:rPr>
          <w:spacing w:val="-3"/>
        </w:rPr>
        <w:t>2022</w:t>
      </w:r>
      <w:r w:rsidRPr="00F1273D" w:rsidR="008844CA">
        <w:rPr>
          <w:spacing w:val="-3"/>
        </w:rPr>
        <w:t>.</w:t>
      </w:r>
      <w:r w:rsidRPr="00F1273D" w:rsidR="00341024">
        <w:rPr>
          <w:rStyle w:val="Fotnotsreferens"/>
          <w:spacing w:val="-3"/>
        </w:rPr>
        <w:footnoteReference w:id="20"/>
      </w:r>
      <w:r w:rsidRPr="00F1273D" w:rsidR="00341024">
        <w:rPr>
          <w:spacing w:val="-3"/>
        </w:rPr>
        <w:t xml:space="preserve"> </w:t>
      </w:r>
      <w:r w:rsidRPr="00F1273D" w:rsidR="00344C52">
        <w:rPr>
          <w:spacing w:val="-3"/>
        </w:rPr>
        <w:t>I</w:t>
      </w:r>
      <w:r w:rsidRPr="00F1273D" w:rsidR="00AB11AD">
        <w:rPr>
          <w:spacing w:val="-3"/>
        </w:rPr>
        <w:t xml:space="preserve"> vissa</w:t>
      </w:r>
      <w:r w:rsidRPr="0074520F" w:rsidR="00AB11AD">
        <w:t xml:space="preserve"> </w:t>
      </w:r>
      <w:r w:rsidRPr="00F1273D" w:rsidR="00AB11AD">
        <w:rPr>
          <w:spacing w:val="-3"/>
        </w:rPr>
        <w:t>regioner ökade hyrkostnaderna betydligt mer. Störst ökning skedde i Jämtland Härjedalen</w:t>
      </w:r>
      <w:r w:rsidR="00174C89">
        <w:t>,</w:t>
      </w:r>
      <w:r w:rsidRPr="0074520F" w:rsidR="00AB11AD">
        <w:t xml:space="preserve"> med 79 procent</w:t>
      </w:r>
      <w:r w:rsidR="00174C89">
        <w:t>,</w:t>
      </w:r>
      <w:r w:rsidRPr="0074520F" w:rsidR="00AB11AD">
        <w:t xml:space="preserve"> </w:t>
      </w:r>
      <w:r w:rsidR="00174C89">
        <w:t>samt</w:t>
      </w:r>
      <w:r w:rsidRPr="0074520F" w:rsidR="00AB11AD">
        <w:t xml:space="preserve"> i Västernorrland och Norrbotten</w:t>
      </w:r>
      <w:r w:rsidR="00174C89">
        <w:t>,</w:t>
      </w:r>
      <w:r w:rsidRPr="0074520F" w:rsidR="00AB11AD">
        <w:t xml:space="preserve"> där ökningen i båda regionerna nådde 65 procent.</w:t>
      </w:r>
      <w:r w:rsidRPr="0074520F" w:rsidR="00602D68">
        <w:t xml:space="preserve"> Totalt landade hyrnotan för hela landet på ca 9,3 miljarder kronor.</w:t>
      </w:r>
      <w:r w:rsidRPr="0074520F" w:rsidR="00AB11AD">
        <w:rPr>
          <w:rStyle w:val="Fotnotsreferens"/>
        </w:rPr>
        <w:footnoteReference w:id="21"/>
      </w:r>
    </w:p>
    <w:p w:rsidR="00F1273D" w:rsidRDefault="00F1273D" w14:paraId="7C4D70F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74520F" w:rsidR="00A42800" w:rsidP="00FB55DE" w:rsidRDefault="00055445" w14:paraId="53677A56" w14:textId="1B9D4ADB">
      <w:pPr>
        <w:pStyle w:val="Tabellrubrik"/>
      </w:pPr>
      <w:r w:rsidRPr="0074520F">
        <w:lastRenderedPageBreak/>
        <w:t xml:space="preserve">Figur 14 </w:t>
      </w:r>
      <w:r w:rsidRPr="0074520F" w:rsidR="00FB55DE">
        <w:t xml:space="preserve">Kostnader för inhyrd personal </w:t>
      </w:r>
      <w:r w:rsidRPr="0074520F" w:rsidR="00AD29FD">
        <w:t xml:space="preserve">i hälso- och sjukvården </w:t>
      </w:r>
      <w:r w:rsidRPr="0074520F" w:rsidR="00FB55DE">
        <w:t>2015–2023</w:t>
      </w:r>
    </w:p>
    <w:p w:rsidRPr="0074520F" w:rsidR="00FB55DE" w:rsidP="008A5D29" w:rsidRDefault="00FB55DE" w14:paraId="4BCBD676" w14:textId="4D9BE444">
      <w:pPr>
        <w:pStyle w:val="Tabellunderrubrik"/>
      </w:pPr>
      <w:r w:rsidRPr="0074520F">
        <w:t>Miljoner kronor och i procent av total personalkostnad</w:t>
      </w:r>
    </w:p>
    <w:p w:rsidRPr="0074520F" w:rsidR="00FB55DE" w:rsidP="00FB55DE" w:rsidRDefault="00FB55DE" w14:paraId="7090EFEC" w14:textId="2EF1CCF5">
      <w:pPr>
        <w:pStyle w:val="Normalutanindragellerluft"/>
      </w:pPr>
      <w:r w:rsidRPr="0074520F">
        <w:rPr>
          <w:noProof/>
          <w14:numSpacing w14:val="default"/>
        </w:rPr>
        <w:drawing>
          <wp:inline distT="0" distB="0" distL="0" distR="0" wp14:anchorId="26F14C99" wp14:editId="03248C21">
            <wp:extent cx="5400000" cy="3025422"/>
            <wp:effectExtent l="0" t="0" r="10795" b="3810"/>
            <wp:docPr id="24" name="Diagram 24" descr="">
              <a:extLst xmlns:a="http://schemas.openxmlformats.org/drawingml/2006/main">
                <a:ext uri="{FF2B5EF4-FFF2-40B4-BE49-F238E27FC236}">
                  <a16:creationId xmlns:a16="http://schemas.microsoft.com/office/drawing/2014/main" id="{61929B11-BF5D-4C5A-AB89-4E1CAFA51B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Pr="0074520F" w:rsidR="00FB55DE" w:rsidP="00FB55DE" w:rsidRDefault="00FB55DE" w14:paraId="0D50ABCC" w14:textId="5C03E380">
      <w:pPr>
        <w:pStyle w:val="Klla"/>
      </w:pPr>
      <w:r w:rsidRPr="0074520F">
        <w:t>Källa: SKR</w:t>
      </w:r>
      <w:r w:rsidRPr="0074520F" w:rsidR="00FA7FFA">
        <w:t>.</w:t>
      </w:r>
    </w:p>
    <w:p w:rsidRPr="0074520F" w:rsidR="00475D5B" w:rsidP="008A5D29" w:rsidRDefault="00475D5B" w14:paraId="0568AE22" w14:textId="4383E0B8">
      <w:pPr>
        <w:spacing w:before="80"/>
        <w:ind w:firstLine="0"/>
      </w:pPr>
      <w:r w:rsidRPr="0074520F">
        <w:t xml:space="preserve">Regionerna har under flera år arbetat tillsammans för att uppnå ett oberoende av inhyrd personal. Satsningen är ett initiativ från samtliga regioner med regiondirektörerna som </w:t>
      </w:r>
      <w:r w:rsidRPr="00F1273D">
        <w:rPr>
          <w:spacing w:val="-3"/>
        </w:rPr>
        <w:t>initiativtagare.</w:t>
      </w:r>
      <w:r w:rsidRPr="00F1273D" w:rsidR="00CC756D">
        <w:rPr>
          <w:spacing w:val="-3"/>
        </w:rPr>
        <w:t xml:space="preserve"> </w:t>
      </w:r>
      <w:r w:rsidRPr="00F1273D">
        <w:rPr>
          <w:spacing w:val="-3"/>
        </w:rPr>
        <w:t>Under 2023 har regionerna intensifierat arbete</w:t>
      </w:r>
      <w:r w:rsidRPr="00F1273D" w:rsidR="00344C52">
        <w:rPr>
          <w:spacing w:val="-3"/>
        </w:rPr>
        <w:t>t</w:t>
      </w:r>
      <w:r w:rsidRPr="00F1273D">
        <w:rPr>
          <w:spacing w:val="-3"/>
        </w:rPr>
        <w:t xml:space="preserve"> med att minska hyrbeman</w:t>
      </w:r>
      <w:r w:rsidRPr="00F1273D" w:rsidR="00F1273D">
        <w:rPr>
          <w:spacing w:val="-3"/>
        </w:rPr>
        <w:softHyphen/>
      </w:r>
      <w:r w:rsidRPr="00F1273D">
        <w:rPr>
          <w:spacing w:val="-3"/>
        </w:rPr>
        <w:t>ningen</w:t>
      </w:r>
      <w:r w:rsidRPr="0074520F">
        <w:t xml:space="preserve"> och säkra tillgången till egen personal. Några regioner satte in särskilda åtgärder i slutet av året, men det stora flertalet implementerar sina insatser under de första måna</w:t>
      </w:r>
      <w:r w:rsidR="00F1273D">
        <w:softHyphen/>
      </w:r>
      <w:r w:rsidRPr="0074520F">
        <w:t>derna 2024.</w:t>
      </w:r>
    </w:p>
    <w:p w:rsidRPr="0074520F" w:rsidR="00986CAA" w:rsidP="00475D5B" w:rsidRDefault="00475D5B" w14:paraId="1DA91A9E" w14:textId="425F0DDB">
      <w:r w:rsidRPr="0074520F">
        <w:t xml:space="preserve">Sedan januari 2024 finns det </w:t>
      </w:r>
      <w:r w:rsidRPr="0074520F" w:rsidR="0009042E">
        <w:t xml:space="preserve">också </w:t>
      </w:r>
      <w:r w:rsidRPr="0074520F">
        <w:t>ett regiongemensamt avtal, med gemensam pris</w:t>
      </w:r>
      <w:r w:rsidR="00F1273D">
        <w:softHyphen/>
      </w:r>
      <w:r w:rsidRPr="00F1273D">
        <w:rPr>
          <w:spacing w:val="-3"/>
        </w:rPr>
        <w:t>sättning för olika bemanningstjänster i vården. Alla regioner kommer under året succe</w:t>
      </w:r>
      <w:r w:rsidRPr="00F1273D" w:rsidR="0009677B">
        <w:rPr>
          <w:spacing w:val="-3"/>
        </w:rPr>
        <w:t>s</w:t>
      </w:r>
      <w:r w:rsidRPr="00F1273D">
        <w:rPr>
          <w:spacing w:val="-3"/>
        </w:rPr>
        <w:t>sivt</w:t>
      </w:r>
      <w:r w:rsidRPr="0074520F">
        <w:t xml:space="preserve"> att ansluta till avtalet för att avropa bemanningstjänster på ett mer likvärdigt sätt.</w:t>
      </w:r>
      <w:r w:rsidRPr="0074520F" w:rsidR="00CC756D">
        <w:t xml:space="preserve"> </w:t>
      </w:r>
      <w:r w:rsidRPr="0074520F" w:rsidR="0009042E">
        <w:t>F</w:t>
      </w:r>
      <w:r w:rsidRPr="0074520F" w:rsidR="00602D68">
        <w:t xml:space="preserve">lera </w:t>
      </w:r>
      <w:r w:rsidRPr="00F1273D" w:rsidR="00602D68">
        <w:rPr>
          <w:spacing w:val="-3"/>
        </w:rPr>
        <w:t xml:space="preserve">regioner har själva </w:t>
      </w:r>
      <w:r w:rsidRPr="00F1273D" w:rsidR="0009042E">
        <w:rPr>
          <w:spacing w:val="-3"/>
        </w:rPr>
        <w:t xml:space="preserve">redan nu </w:t>
      </w:r>
      <w:r w:rsidRPr="00F1273D" w:rsidR="00602D68">
        <w:rPr>
          <w:spacing w:val="-3"/>
        </w:rPr>
        <w:t>infört stopp</w:t>
      </w:r>
      <w:r w:rsidRPr="00F1273D" w:rsidR="00CC756D">
        <w:rPr>
          <w:spacing w:val="-3"/>
        </w:rPr>
        <w:t xml:space="preserve"> för inhyrd personal</w:t>
      </w:r>
      <w:r w:rsidRPr="00F1273D" w:rsidR="00602D68">
        <w:rPr>
          <w:spacing w:val="-3"/>
        </w:rPr>
        <w:t xml:space="preserve">. I </w:t>
      </w:r>
      <w:r w:rsidRPr="00F1273D" w:rsidR="00044D1F">
        <w:rPr>
          <w:spacing w:val="-3"/>
        </w:rPr>
        <w:t xml:space="preserve">oktober slutade </w:t>
      </w:r>
      <w:r w:rsidRPr="00F1273D" w:rsidR="0009042E">
        <w:rPr>
          <w:spacing w:val="-3"/>
        </w:rPr>
        <w:t>exempelvis</w:t>
      </w:r>
      <w:r w:rsidRPr="0074520F" w:rsidR="00602D68">
        <w:t xml:space="preserve"> Region Skåne att hyra in sjuksköterskor</w:t>
      </w:r>
      <w:r w:rsidRPr="0074520F" w:rsidR="00044D1F">
        <w:t xml:space="preserve"> på dagtid och </w:t>
      </w:r>
      <w:r w:rsidRPr="0074520F" w:rsidR="0009677B">
        <w:t>fr.o.m.</w:t>
      </w:r>
      <w:r w:rsidRPr="0074520F" w:rsidR="00044D1F">
        <w:t xml:space="preserve"> mitten av januari gäller stoppet alla tider på dygnet</w:t>
      </w:r>
      <w:r w:rsidRPr="0074520F" w:rsidR="00602D68">
        <w:t>.</w:t>
      </w:r>
      <w:r w:rsidRPr="0074520F" w:rsidR="00602D68">
        <w:rPr>
          <w:rStyle w:val="Fotnotsreferens"/>
        </w:rPr>
        <w:footnoteReference w:id="22"/>
      </w:r>
      <w:r w:rsidRPr="0074520F" w:rsidR="00602D68">
        <w:t xml:space="preserve"> </w:t>
      </w:r>
      <w:r w:rsidRPr="0074520F" w:rsidR="0079043D">
        <w:t>Också i Halland har man infört ett stopp för hyrpersonal.</w:t>
      </w:r>
      <w:r w:rsidRPr="0074520F" w:rsidR="0079043D">
        <w:rPr>
          <w:rStyle w:val="Fotnotsreferens"/>
        </w:rPr>
        <w:footnoteReference w:id="23"/>
      </w:r>
      <w:r w:rsidRPr="0074520F" w:rsidR="0079043D">
        <w:t xml:space="preserve"> Målet är en bättre situation på sikt, men vägen dit innebär en stor påfrestning </w:t>
      </w:r>
      <w:r w:rsidRPr="0074520F" w:rsidR="008173B1">
        <w:t>för</w:t>
      </w:r>
      <w:r w:rsidRPr="0074520F" w:rsidR="0079043D">
        <w:t xml:space="preserve"> en redan pressad verksamhet.</w:t>
      </w:r>
    </w:p>
    <w:p w:rsidRPr="0074520F" w:rsidR="00203929" w:rsidP="00F91B1B" w:rsidRDefault="00476C0C" w14:paraId="559499E5" w14:textId="78F53B96">
      <w:r w:rsidRPr="00F1273D">
        <w:rPr>
          <w:spacing w:val="-3"/>
        </w:rPr>
        <w:t>Det är tydligt att regionerna har olika förutsättningar och behöver stöd i omställningen</w:t>
      </w:r>
      <w:r w:rsidRPr="0074520F">
        <w:t xml:space="preserve"> till att själva anställa fler och förbättra arbetsvillkoren för den befintliga bemanningen.</w:t>
      </w:r>
      <w:r w:rsidRPr="0074520F" w:rsidR="00F55CB9">
        <w:t xml:space="preserve"> I </w:t>
      </w:r>
      <w:r w:rsidRPr="00F1273D" w:rsidR="00F55CB9">
        <w:rPr>
          <w:spacing w:val="-3"/>
        </w:rPr>
        <w:t>Region Stockholm är kostnaderna för hyrpersonal i hälso- och sjukvården enbart 2 procent</w:t>
      </w:r>
      <w:r w:rsidRPr="0074520F" w:rsidR="00F55CB9">
        <w:t xml:space="preserve"> av de totala personalkostnaderna medan de i Västernorrland </w:t>
      </w:r>
      <w:r w:rsidR="0054275F">
        <w:t>va</w:t>
      </w:r>
      <w:r w:rsidRPr="0074520F" w:rsidR="00F55CB9">
        <w:t>r 18 procent 2023.</w:t>
      </w:r>
      <w:r w:rsidRPr="0074520F" w:rsidR="00D725EB">
        <w:rPr>
          <w:rStyle w:val="Fotnotsreferens"/>
        </w:rPr>
        <w:footnoteReference w:id="24"/>
      </w:r>
      <w:r w:rsidRPr="0074520F">
        <w:t xml:space="preserve"> </w:t>
      </w:r>
      <w:r w:rsidRPr="0074520F" w:rsidR="00986CAA">
        <w:t xml:space="preserve">För </w:t>
      </w:r>
      <w:r w:rsidRPr="00F1273D" w:rsidR="00986CAA">
        <w:rPr>
          <w:spacing w:val="-3"/>
        </w:rPr>
        <w:t>många regioner är hyrpersonal i dagsläget den enda möjliga utvägen. Ett omedelbart stopp</w:t>
      </w:r>
      <w:r w:rsidRPr="0074520F" w:rsidR="00986CAA">
        <w:t xml:space="preserve"> skulle i praktiken innebära att avdelningar behöv</w:t>
      </w:r>
      <w:r w:rsidR="0054275F">
        <w:t>d</w:t>
      </w:r>
      <w:r w:rsidRPr="0074520F" w:rsidR="00986CAA">
        <w:t>e stänga helt eller tillfälligt.</w:t>
      </w:r>
    </w:p>
    <w:p w:rsidRPr="0074520F" w:rsidR="00986CAA" w:rsidP="009337ED" w:rsidRDefault="009337ED" w14:paraId="644D195F" w14:textId="1F00CC77">
      <w:r w:rsidRPr="0074520F">
        <w:t xml:space="preserve">Vänsterpartiet vill se ett </w:t>
      </w:r>
      <w:r w:rsidRPr="0074520F" w:rsidR="00BF517E">
        <w:t>avskaffande av</w:t>
      </w:r>
      <w:r w:rsidRPr="0074520F">
        <w:t xml:space="preserve"> hyrpersonal i vården från 2027. </w:t>
      </w:r>
      <w:r w:rsidRPr="0074520F" w:rsidR="0013032A">
        <w:t>Det är dock helt centralt att e</w:t>
      </w:r>
      <w:r w:rsidRPr="0074520F" w:rsidR="00986CAA">
        <w:t xml:space="preserve">tt </w:t>
      </w:r>
      <w:r w:rsidRPr="0074520F" w:rsidR="00BF517E">
        <w:t xml:space="preserve">sådant </w:t>
      </w:r>
      <w:r w:rsidRPr="0074520F" w:rsidR="008F7CDF">
        <w:t>stopp</w:t>
      </w:r>
      <w:r w:rsidRPr="0074520F" w:rsidR="00986CAA">
        <w:t xml:space="preserve"> </w:t>
      </w:r>
      <w:r w:rsidRPr="0074520F" w:rsidR="00764875">
        <w:t>kombineras</w:t>
      </w:r>
      <w:r w:rsidRPr="0074520F" w:rsidR="00986CAA">
        <w:t xml:space="preserve"> med andra åtgärder </w:t>
      </w:r>
      <w:r w:rsidRPr="0074520F" w:rsidR="00602D68">
        <w:t>från staten</w:t>
      </w:r>
      <w:r w:rsidRPr="0074520F" w:rsidR="00986CAA">
        <w:t xml:space="preserve"> för att säkra </w:t>
      </w:r>
      <w:r w:rsidRPr="0074520F" w:rsidR="00986CAA">
        <w:lastRenderedPageBreak/>
        <w:t>personalförsörjningen. Vi föreslår därför ett tiopunktsprogram för att avskaffa hyr</w:t>
      </w:r>
      <w:r w:rsidR="007B4340">
        <w:softHyphen/>
      </w:r>
      <w:r w:rsidRPr="0074520F" w:rsidR="00986CAA">
        <w:t xml:space="preserve">personal i vården. Vi gör en särskild satsning på Norra sjukvårdsregionen och även glesbefolkade regioner. </w:t>
      </w:r>
      <w:r w:rsidRPr="0074520F" w:rsidR="004E19B5">
        <w:t xml:space="preserve">Förslaget beräknas kosta </w:t>
      </w:r>
      <w:r w:rsidRPr="0074520F" w:rsidR="00342906">
        <w:t xml:space="preserve">staten </w:t>
      </w:r>
      <w:r w:rsidRPr="0074520F" w:rsidR="004E19B5">
        <w:t xml:space="preserve">omkring </w:t>
      </w:r>
      <w:r w:rsidRPr="0074520F" w:rsidR="007D051B">
        <w:t>400</w:t>
      </w:r>
      <w:r w:rsidRPr="0074520F" w:rsidR="004E19B5">
        <w:t xml:space="preserve"> miljoner kronor </w:t>
      </w:r>
      <w:r w:rsidRPr="0074520F" w:rsidR="00317982">
        <w:t>2025</w:t>
      </w:r>
      <w:r w:rsidRPr="0074520F" w:rsidR="007D051B">
        <w:t>.</w:t>
      </w:r>
      <w:r w:rsidRPr="0074520F" w:rsidR="00342906">
        <w:t xml:space="preserve"> </w:t>
      </w:r>
      <w:r w:rsidRPr="0074520F" w:rsidR="007D051B">
        <w:t>Om merkostnaden för hyrpersonal beräknas vara omkring 30 procent (enligt SKR:s bedömning) skulle besparingen beräknat på kostnaderna för 2023 motsvara ca</w:t>
      </w:r>
      <w:r w:rsidR="0054275F">
        <w:t> </w:t>
      </w:r>
      <w:r w:rsidRPr="0074520F" w:rsidR="007D051B">
        <w:t>3</w:t>
      </w:r>
      <w:r w:rsidR="0054275F">
        <w:t> </w:t>
      </w:r>
      <w:r w:rsidRPr="0074520F" w:rsidR="007D051B">
        <w:t>miljarder kronor</w:t>
      </w:r>
      <w:r w:rsidRPr="0074520F" w:rsidR="004E19B5">
        <w:t>.</w:t>
      </w:r>
      <w:r w:rsidRPr="0074520F" w:rsidR="004E19B5">
        <w:rPr>
          <w:rStyle w:val="Fotnotsreferens"/>
        </w:rPr>
        <w:footnoteReference w:id="25"/>
      </w:r>
      <w:r w:rsidRPr="0074520F" w:rsidR="004E19B5">
        <w:t xml:space="preserve"> </w:t>
      </w:r>
      <w:bookmarkEnd w:id="31"/>
    </w:p>
    <w:p w:rsidRPr="0074520F" w:rsidR="00986CAA" w:rsidP="00BF517E" w:rsidRDefault="00986CAA" w14:paraId="20CDC659" w14:textId="3C50939A">
      <w:pPr>
        <w:pStyle w:val="Tabellrubrik"/>
      </w:pPr>
      <w:bookmarkStart w:name="_Hlk164677626" w:id="32"/>
      <w:r w:rsidRPr="0074520F">
        <w:t>Vänsterpartiets 10-punktsprogram för att avskaffa hyrpersonal inom vården</w:t>
      </w:r>
    </w:p>
    <w:p w:rsidRPr="0074520F" w:rsidR="00986CAA" w:rsidP="008A5D29" w:rsidRDefault="00986CAA" w14:paraId="113F0FA3" w14:textId="639493C1">
      <w:pPr>
        <w:pStyle w:val="ListaNummer"/>
        <w:numPr>
          <w:ilvl w:val="0"/>
          <w:numId w:val="41"/>
        </w:numPr>
        <w:ind w:left="284" w:hanging="284"/>
      </w:pPr>
      <w:r w:rsidRPr="0074520F">
        <w:t>Utöka läkarutbildningen med 500 platser åren 2025</w:t>
      </w:r>
      <w:r w:rsidRPr="0074520F" w:rsidR="00312E80">
        <w:t>–</w:t>
      </w:r>
      <w:r w:rsidRPr="0074520F">
        <w:t>2030. Fokus ska ligga på Norra sjukvårdsregionen, så att antalet examinerade läkare där på sikt kan öka från dagens 190 till 350.</w:t>
      </w:r>
    </w:p>
    <w:p w:rsidRPr="0074520F" w:rsidR="00986CAA" w:rsidP="008A5D29" w:rsidRDefault="00986CAA" w14:paraId="3B47A8BF" w14:textId="1ED0077C">
      <w:pPr>
        <w:pStyle w:val="ListaNummer"/>
        <w:numPr>
          <w:ilvl w:val="0"/>
          <w:numId w:val="41"/>
        </w:numPr>
        <w:ind w:left="284" w:hanging="284"/>
      </w:pPr>
      <w:r w:rsidRPr="0074520F">
        <w:t>Utöka sjuksköterskeutbildningen snarast med 1</w:t>
      </w:r>
      <w:r w:rsidRPr="0074520F" w:rsidR="009B7BE1">
        <w:t> </w:t>
      </w:r>
      <w:r w:rsidRPr="0074520F">
        <w:t xml:space="preserve">000 nya utbildningsplatser med fokus på Norra sjukvårdsregionen. Där beräknas antalet examinerade sjuksköterskor </w:t>
      </w:r>
      <w:r w:rsidRPr="0074520F" w:rsidR="009B7BE1">
        <w:t xml:space="preserve">2025 </w:t>
      </w:r>
      <w:r w:rsidRPr="0074520F">
        <w:t>minska från 600 till 530. Vi vill i</w:t>
      </w:r>
      <w:r w:rsidRPr="0074520F" w:rsidR="009B7BE1">
        <w:t xml:space="preserve"> </w:t>
      </w:r>
      <w:r w:rsidRPr="0074520F">
        <w:t>stället se en expansion så att 800 sjuksköterskor kan examineras där varje år.</w:t>
      </w:r>
    </w:p>
    <w:p w:rsidRPr="0074520F" w:rsidR="00986CAA" w:rsidP="008A5D29" w:rsidRDefault="00986CAA" w14:paraId="47217AA2" w14:textId="77777777">
      <w:pPr>
        <w:pStyle w:val="ListaNummer"/>
        <w:numPr>
          <w:ilvl w:val="0"/>
          <w:numId w:val="41"/>
        </w:numPr>
        <w:ind w:left="284" w:hanging="284"/>
      </w:pPr>
      <w:r w:rsidRPr="0074520F">
        <w:t>Skriv av studieskulderna för vårdutbildad personal som väljer att bo och arbeta i glesbefolkade regioner. Varje år ska 1/10 av studieskulderna skrivas av, så att hela studieskulden är avskriven efter 10 års tjänstgöring.</w:t>
      </w:r>
    </w:p>
    <w:p w:rsidRPr="0074520F" w:rsidR="00986CAA" w:rsidP="008A5D29" w:rsidRDefault="00986CAA" w14:paraId="6A6A6B1F" w14:textId="220CEA03">
      <w:pPr>
        <w:pStyle w:val="ListaNummer"/>
        <w:numPr>
          <w:ilvl w:val="0"/>
          <w:numId w:val="41"/>
        </w:numPr>
        <w:ind w:left="284" w:hanging="284"/>
      </w:pPr>
      <w:r w:rsidRPr="007B4340">
        <w:rPr>
          <w:spacing w:val="-3"/>
        </w:rPr>
        <w:t>Tillskapa en nationell samordning av regionernas ansvar för arbetsplatsförlagd utbild</w:t>
      </w:r>
      <w:r w:rsidRPr="007B4340" w:rsidR="007B4340">
        <w:rPr>
          <w:spacing w:val="-3"/>
        </w:rPr>
        <w:softHyphen/>
      </w:r>
      <w:r w:rsidRPr="007B4340">
        <w:rPr>
          <w:spacing w:val="-3"/>
        </w:rPr>
        <w:t xml:space="preserve">ning </w:t>
      </w:r>
      <w:r w:rsidRPr="0074520F">
        <w:t>och vidareutbildning i syfte att säkra tillräckligt många utbildningsplatser/</w:t>
      </w:r>
      <w:r w:rsidR="007B4340">
        <w:t xml:space="preserve"> </w:t>
      </w:r>
      <w:r w:rsidRPr="0074520F">
        <w:t xml:space="preserve">tjänster för att täcka kompetensförsörjningsbehovet av specialister. Vi vill se att förslagen i </w:t>
      </w:r>
      <w:r w:rsidRPr="0074520F" w:rsidR="0079043D">
        <w:t>betänkandet Utvecklat samarbete för verksamhetsförlagd utbildning (</w:t>
      </w:r>
      <w:r w:rsidRPr="0074520F">
        <w:t>SOU 2024:9</w:t>
      </w:r>
      <w:r w:rsidRPr="0074520F" w:rsidR="0079043D">
        <w:t>)</w:t>
      </w:r>
      <w:r w:rsidRPr="0074520F">
        <w:t xml:space="preserve"> genomförs snarast.</w:t>
      </w:r>
    </w:p>
    <w:p w:rsidRPr="0074520F" w:rsidR="00986CAA" w:rsidP="008A5D29" w:rsidRDefault="00986CAA" w14:paraId="0F9C6F0A" w14:textId="194F9C12">
      <w:pPr>
        <w:pStyle w:val="ListaNummer"/>
        <w:numPr>
          <w:ilvl w:val="0"/>
          <w:numId w:val="41"/>
        </w:numPr>
        <w:ind w:left="284" w:hanging="284"/>
      </w:pPr>
      <w:r w:rsidRPr="0074520F">
        <w:t xml:space="preserve">Tillsätt en särskild nationell samordnare avseende regionernas arbetsmiljöarbete, då det är en av de främsta anledningarna </w:t>
      </w:r>
      <w:r w:rsidRPr="0074520F" w:rsidR="004B552A">
        <w:t xml:space="preserve">till </w:t>
      </w:r>
      <w:r w:rsidRPr="0074520F">
        <w:t>att personalen lämnar vårdyrket.</w:t>
      </w:r>
    </w:p>
    <w:p w:rsidRPr="0074520F" w:rsidR="00986CAA" w:rsidP="008A5D29" w:rsidRDefault="00986CAA" w14:paraId="7F5C7FE3" w14:textId="359BCBC6">
      <w:pPr>
        <w:pStyle w:val="ListaNummer"/>
        <w:numPr>
          <w:ilvl w:val="0"/>
          <w:numId w:val="41"/>
        </w:numPr>
        <w:ind w:left="284" w:hanging="284"/>
      </w:pPr>
      <w:r w:rsidRPr="0074520F">
        <w:t xml:space="preserve">Förbjud regionanställda att ha </w:t>
      </w:r>
      <w:r w:rsidR="00707395">
        <w:t xml:space="preserve">en </w:t>
      </w:r>
      <w:r w:rsidRPr="0074520F">
        <w:t>bisyssla som hyrpersonal.</w:t>
      </w:r>
    </w:p>
    <w:p w:rsidRPr="0074520F" w:rsidR="00986CAA" w:rsidP="008A5D29" w:rsidRDefault="00986CAA" w14:paraId="1AA31C95" w14:textId="19799E4F">
      <w:pPr>
        <w:pStyle w:val="ListaNummer"/>
        <w:numPr>
          <w:ilvl w:val="0"/>
          <w:numId w:val="41"/>
        </w:numPr>
        <w:ind w:left="284" w:hanging="284"/>
      </w:pPr>
      <w:r w:rsidRPr="0074520F">
        <w:t>Förtydliga lagstiftningen så att det blir klargjort att regionerna har rätt att sluta ett gemensamt avtal avseende hyrpersonal (exempelvis avseende priser).</w:t>
      </w:r>
      <w:r w:rsidRPr="0074520F" w:rsidR="00CE3B4B">
        <w:rPr>
          <w:rStyle w:val="Fotnotsreferens"/>
        </w:rPr>
        <w:footnoteReference w:id="26"/>
      </w:r>
      <w:r w:rsidRPr="0074520F">
        <w:t xml:space="preserve"> Det behöver också bli tydligare att</w:t>
      </w:r>
      <w:r w:rsidR="00707395">
        <w:t xml:space="preserve"> en</w:t>
      </w:r>
      <w:r w:rsidRPr="0074520F">
        <w:t xml:space="preserve"> läkare som varit anställd i en region har en karenstid innan hen kan återkomma som hyrläkare och att viten ska delas ut om avtal inte hålls. </w:t>
      </w:r>
    </w:p>
    <w:p w:rsidRPr="0074520F" w:rsidR="00986CAA" w:rsidP="008A5D29" w:rsidRDefault="00986CAA" w14:paraId="7E8C3001" w14:textId="329E576B">
      <w:pPr>
        <w:pStyle w:val="ListaNummer"/>
        <w:numPr>
          <w:ilvl w:val="0"/>
          <w:numId w:val="41"/>
        </w:numPr>
        <w:ind w:left="284" w:hanging="284"/>
      </w:pPr>
      <w:r w:rsidRPr="0074520F">
        <w:t>Sätt konkreta mål för att minska hyrpersonalen under åren 2024</w:t>
      </w:r>
      <w:r w:rsidRPr="0074520F" w:rsidR="009337ED">
        <w:t>–</w:t>
      </w:r>
      <w:r w:rsidRPr="0074520F">
        <w:t>2026, med ambitionen att dessa ska minska med 75 procent till utgången av 2026.</w:t>
      </w:r>
    </w:p>
    <w:p w:rsidRPr="0074520F" w:rsidR="00986CAA" w:rsidP="008A5D29" w:rsidRDefault="00986CAA" w14:paraId="631A9930" w14:textId="7F25110B">
      <w:pPr>
        <w:pStyle w:val="ListaNummer"/>
        <w:numPr>
          <w:ilvl w:val="0"/>
          <w:numId w:val="41"/>
        </w:numPr>
        <w:ind w:left="284" w:hanging="284"/>
      </w:pPr>
      <w:r w:rsidRPr="0074520F">
        <w:t xml:space="preserve">Tillsätt en utredning som 2025 ska lämna förslag på hur ett </w:t>
      </w:r>
      <w:r w:rsidRPr="0074520F" w:rsidR="009F2204">
        <w:t>stopp</w:t>
      </w:r>
      <w:r w:rsidRPr="0074520F">
        <w:t xml:space="preserve"> för hyrpersonal i vården kan fungera.</w:t>
      </w:r>
    </w:p>
    <w:p w:rsidRPr="0074520F" w:rsidR="00986CAA" w:rsidP="008A5D29" w:rsidRDefault="00193CC9" w14:paraId="0E73A5F9" w14:textId="5A12520B">
      <w:pPr>
        <w:pStyle w:val="ListaNummer"/>
        <w:numPr>
          <w:ilvl w:val="0"/>
          <w:numId w:val="41"/>
        </w:numPr>
        <w:ind w:left="284" w:hanging="284"/>
      </w:pPr>
      <w:r w:rsidRPr="0074520F">
        <w:t>Stopp för</w:t>
      </w:r>
      <w:r w:rsidRPr="0074520F" w:rsidR="00986CAA">
        <w:t xml:space="preserve"> hyrpersonal i vården från 2027.</w:t>
      </w:r>
      <w:bookmarkEnd w:id="32"/>
    </w:p>
    <w:p w:rsidRPr="008A5D29" w:rsidR="00EF34C9" w:rsidP="008A5D29" w:rsidRDefault="00F22B7E" w14:paraId="6014DCE8" w14:textId="611C2CCD">
      <w:pPr>
        <w:pStyle w:val="Rubrik1numrerat"/>
      </w:pPr>
      <w:bookmarkStart w:name="_Toc166056438" w:id="33"/>
      <w:r w:rsidRPr="008A5D29">
        <w:t>B</w:t>
      </w:r>
      <w:r w:rsidRPr="008A5D29" w:rsidR="00A8193B">
        <w:t>ygg</w:t>
      </w:r>
      <w:r w:rsidRPr="008A5D29">
        <w:t>krisen</w:t>
      </w:r>
      <w:bookmarkEnd w:id="33"/>
    </w:p>
    <w:p w:rsidRPr="0074520F" w:rsidR="00F22B7E" w:rsidP="00F22B7E" w:rsidRDefault="00F22B7E" w14:paraId="14692B24" w14:textId="647A30F5">
      <w:pPr>
        <w:pStyle w:val="Normalutanindragellerluft"/>
        <w:rPr>
          <w:lang w:eastAsia="sv-SE"/>
        </w:rPr>
      </w:pPr>
      <w:r w:rsidRPr="007B4340">
        <w:rPr>
          <w:spacing w:val="-3"/>
          <w:lang w:eastAsia="sv-SE"/>
        </w:rPr>
        <w:t>Sedan 1990-talet, då den statliga bostadspolitiken ersattes med ett marknadsstyrt bostads</w:t>
      </w:r>
      <w:r w:rsidRPr="007B4340" w:rsidR="007B4340">
        <w:rPr>
          <w:spacing w:val="-3"/>
          <w:lang w:eastAsia="sv-SE"/>
        </w:rPr>
        <w:softHyphen/>
      </w:r>
      <w:r w:rsidRPr="007B4340">
        <w:rPr>
          <w:spacing w:val="-3"/>
          <w:lang w:eastAsia="sv-SE"/>
        </w:rPr>
        <w:t>byggande,</w:t>
      </w:r>
      <w:r w:rsidRPr="0074520F">
        <w:rPr>
          <w:lang w:eastAsia="sv-SE"/>
        </w:rPr>
        <w:t xml:space="preserve"> har bostadsbristen och segregationen ökat. Från att ha varit en grundbult i svensk välfärdspolitik har bostaden kommit att bli ett investeringsobjekt på en </w:t>
      </w:r>
      <w:r w:rsidRPr="0074520F" w:rsidR="009134F4">
        <w:rPr>
          <w:lang w:eastAsia="sv-SE"/>
        </w:rPr>
        <w:t xml:space="preserve">privat </w:t>
      </w:r>
      <w:r w:rsidRPr="0074520F">
        <w:rPr>
          <w:lang w:eastAsia="sv-SE"/>
        </w:rPr>
        <w:lastRenderedPageBreak/>
        <w:t xml:space="preserve">marknad. Vinstintresset och bristen på socialt ansvarstagande står i vägen för att lösa bostadsbristen. Det byggs för lite, för </w:t>
      </w:r>
      <w:r w:rsidRPr="0074520F" w:rsidR="004D092F">
        <w:rPr>
          <w:lang w:eastAsia="sv-SE"/>
        </w:rPr>
        <w:t>långsamt</w:t>
      </w:r>
      <w:r w:rsidRPr="0074520F">
        <w:rPr>
          <w:lang w:eastAsia="sv-SE"/>
        </w:rPr>
        <w:t xml:space="preserve"> och för dyrt. </w:t>
      </w:r>
    </w:p>
    <w:p w:rsidRPr="0074520F" w:rsidR="00F22B7E" w:rsidP="00F22B7E" w:rsidRDefault="00F22B7E" w14:paraId="61378D04" w14:textId="1CCA3317">
      <w:pPr>
        <w:rPr>
          <w:lang w:eastAsia="sv-SE"/>
        </w:rPr>
      </w:pPr>
      <w:r w:rsidRPr="0074520F">
        <w:rPr>
          <w:lang w:eastAsia="sv-SE"/>
        </w:rPr>
        <w:t xml:space="preserve">Den pågående krisen i byggbranschen är allvarlig och riskerar att få konsekvenser under lång tid framöver. </w:t>
      </w:r>
      <w:r w:rsidRPr="0074520F" w:rsidR="009668D0">
        <w:rPr>
          <w:lang w:eastAsia="sv-SE"/>
        </w:rPr>
        <w:t>Vid 90-talskrisen</w:t>
      </w:r>
      <w:r w:rsidRPr="0074520F" w:rsidR="00E07CE5">
        <w:rPr>
          <w:lang w:eastAsia="sv-SE"/>
        </w:rPr>
        <w:t xml:space="preserve"> lämnade 20</w:t>
      </w:r>
      <w:r w:rsidRPr="0074520F" w:rsidR="00BD3966">
        <w:rPr>
          <w:lang w:eastAsia="sv-SE"/>
        </w:rPr>
        <w:t> </w:t>
      </w:r>
      <w:r w:rsidRPr="0074520F" w:rsidR="00E07CE5">
        <w:rPr>
          <w:lang w:eastAsia="sv-SE"/>
        </w:rPr>
        <w:t>000 byggnadsarbetare branschen för att sedan aldrig komma tillbaka</w:t>
      </w:r>
      <w:r w:rsidRPr="0074520F" w:rsidR="009668D0">
        <w:rPr>
          <w:lang w:eastAsia="sv-SE"/>
        </w:rPr>
        <w:t xml:space="preserve">, ett scenario </w:t>
      </w:r>
      <w:r w:rsidR="00F00CEB">
        <w:rPr>
          <w:lang w:eastAsia="sv-SE"/>
        </w:rPr>
        <w:t xml:space="preserve">som </w:t>
      </w:r>
      <w:r w:rsidRPr="0074520F" w:rsidR="009668D0">
        <w:rPr>
          <w:lang w:eastAsia="sv-SE"/>
        </w:rPr>
        <w:t>Svenska Byggnadsarbetareförbundet nu varnar för kan bli verklighet igen</w:t>
      </w:r>
      <w:r w:rsidRPr="0074520F" w:rsidR="00E07CE5">
        <w:rPr>
          <w:lang w:eastAsia="sv-SE"/>
        </w:rPr>
        <w:t>.</w:t>
      </w:r>
      <w:r w:rsidRPr="0074520F" w:rsidR="00A714D4">
        <w:rPr>
          <w:rStyle w:val="Fotnotsreferens"/>
          <w:lang w:eastAsia="sv-SE"/>
        </w:rPr>
        <w:footnoteReference w:id="27"/>
      </w:r>
    </w:p>
    <w:p w:rsidRPr="0074520F" w:rsidR="00F22B7E" w:rsidP="00F22B7E" w:rsidRDefault="00F22B7E" w14:paraId="789B4CBA" w14:textId="29B3D0F4">
      <w:pPr>
        <w:rPr>
          <w:lang w:eastAsia="sv-SE"/>
        </w:rPr>
      </w:pPr>
      <w:r w:rsidRPr="0074520F">
        <w:rPr>
          <w:lang w:eastAsia="sv-SE"/>
        </w:rPr>
        <w:t>Förra året påbörjades byggnation av 29</w:t>
      </w:r>
      <w:r w:rsidRPr="0074520F" w:rsidR="00BD3966">
        <w:rPr>
          <w:lang w:eastAsia="sv-SE"/>
        </w:rPr>
        <w:t> </w:t>
      </w:r>
      <w:r w:rsidRPr="0074520F">
        <w:rPr>
          <w:lang w:eastAsia="sv-SE"/>
        </w:rPr>
        <w:t xml:space="preserve">350 lägenheter. Det är 49 procent färre än </w:t>
      </w:r>
      <w:r w:rsidRPr="007B4340">
        <w:rPr>
          <w:spacing w:val="-3"/>
          <w:lang w:eastAsia="sv-SE"/>
        </w:rPr>
        <w:t>året innan.</w:t>
      </w:r>
      <w:r w:rsidRPr="007B4340">
        <w:rPr>
          <w:rStyle w:val="Fotnotsreferens"/>
          <w:spacing w:val="-3"/>
          <w:lang w:eastAsia="sv-SE"/>
        </w:rPr>
        <w:footnoteReference w:id="28"/>
      </w:r>
      <w:r w:rsidRPr="007B4340">
        <w:rPr>
          <w:spacing w:val="-3"/>
          <w:lang w:eastAsia="sv-SE"/>
        </w:rPr>
        <w:t xml:space="preserve"> Enligt branchorganisationen Byggföretagen föll investeringarna i nya bostäder </w:t>
      </w:r>
      <w:r w:rsidRPr="003D27A5">
        <w:rPr>
          <w:spacing w:val="-3"/>
          <w:lang w:eastAsia="sv-SE"/>
        </w:rPr>
        <w:t>med 37 procent under förra året, som en konsekvens av stigande byggkostnader i kombina</w:t>
      </w:r>
      <w:r w:rsidRPr="003D27A5" w:rsidR="007B4340">
        <w:rPr>
          <w:spacing w:val="-3"/>
          <w:lang w:eastAsia="sv-SE"/>
        </w:rPr>
        <w:softHyphen/>
      </w:r>
      <w:r w:rsidRPr="003D27A5">
        <w:rPr>
          <w:spacing w:val="-3"/>
          <w:lang w:eastAsia="sv-SE"/>
        </w:rPr>
        <w:t>tion</w:t>
      </w:r>
      <w:r w:rsidRPr="0074520F">
        <w:rPr>
          <w:lang w:eastAsia="sv-SE"/>
        </w:rPr>
        <w:t xml:space="preserve"> med minskad efterfrågan. Det är den största nedgången </w:t>
      </w:r>
      <w:r w:rsidRPr="0074520F" w:rsidR="00246179">
        <w:rPr>
          <w:lang w:eastAsia="sv-SE"/>
        </w:rPr>
        <w:t>ett enskilt år sedan 2009</w:t>
      </w:r>
      <w:r w:rsidRPr="0074520F">
        <w:rPr>
          <w:lang w:eastAsia="sv-SE"/>
        </w:rPr>
        <w:t>.</w:t>
      </w:r>
      <w:r w:rsidRPr="0074520F">
        <w:rPr>
          <w:rStyle w:val="Fotnotsreferens"/>
          <w:lang w:eastAsia="sv-SE"/>
        </w:rPr>
        <w:footnoteReference w:id="29"/>
      </w:r>
      <w:r w:rsidRPr="0074520F">
        <w:rPr>
          <w:lang w:eastAsia="sv-SE"/>
        </w:rPr>
        <w:t xml:space="preserve"> Bostadsinvesteringarna beräknas minska ytterligare, med 15 procent under 2024, för att </w:t>
      </w:r>
      <w:r w:rsidRPr="003D27A5">
        <w:rPr>
          <w:spacing w:val="-3"/>
          <w:lang w:eastAsia="sv-SE"/>
        </w:rPr>
        <w:t>sedan vända upp något. Det mesta talar dock för en långvarig byggtakt som ligger betyd</w:t>
      </w:r>
      <w:r w:rsidRPr="003D27A5" w:rsidR="003D27A5">
        <w:rPr>
          <w:spacing w:val="-3"/>
          <w:lang w:eastAsia="sv-SE"/>
        </w:rPr>
        <w:softHyphen/>
      </w:r>
      <w:r w:rsidRPr="003D27A5">
        <w:rPr>
          <w:spacing w:val="-3"/>
          <w:lang w:eastAsia="sv-SE"/>
        </w:rPr>
        <w:t>ligt</w:t>
      </w:r>
      <w:r w:rsidRPr="0074520F">
        <w:rPr>
          <w:lang w:eastAsia="sv-SE"/>
        </w:rPr>
        <w:t xml:space="preserve"> lägre än det faktiska behovet.</w:t>
      </w:r>
      <w:r w:rsidRPr="0074520F">
        <w:rPr>
          <w:rStyle w:val="Fotnotsreferens"/>
          <w:lang w:eastAsia="sv-SE"/>
        </w:rPr>
        <w:footnoteReference w:id="30"/>
      </w:r>
      <w:r w:rsidRPr="0074520F">
        <w:rPr>
          <w:lang w:eastAsia="sv-SE"/>
        </w:rPr>
        <w:t xml:space="preserve"> </w:t>
      </w:r>
    </w:p>
    <w:p w:rsidRPr="0074520F" w:rsidR="00F22B7E" w:rsidP="00834537" w:rsidRDefault="00F22B7E" w14:paraId="143CCE4E" w14:textId="13B9F8EE">
      <w:pPr>
        <w:rPr>
          <w:lang w:eastAsia="sv-SE"/>
        </w:rPr>
      </w:pPr>
      <w:r w:rsidRPr="0074520F">
        <w:rPr>
          <w:lang w:eastAsia="sv-SE"/>
        </w:rPr>
        <w:t>Enligt Boverkets prognos kommer knappt 20</w:t>
      </w:r>
      <w:r w:rsidRPr="0074520F" w:rsidR="00BD3966">
        <w:rPr>
          <w:lang w:eastAsia="sv-SE"/>
        </w:rPr>
        <w:t> </w:t>
      </w:r>
      <w:r w:rsidRPr="0074520F">
        <w:rPr>
          <w:lang w:eastAsia="sv-SE"/>
        </w:rPr>
        <w:t xml:space="preserve">000 bostäder (inklusive ombyggnader) </w:t>
      </w:r>
      <w:r w:rsidR="00342C83">
        <w:rPr>
          <w:lang w:eastAsia="sv-SE"/>
        </w:rPr>
        <w:t xml:space="preserve">att </w:t>
      </w:r>
      <w:r w:rsidRPr="0074520F">
        <w:rPr>
          <w:lang w:eastAsia="sv-SE"/>
        </w:rPr>
        <w:t xml:space="preserve">påbörjas under 2024. Det ska ställas mot de </w:t>
      </w:r>
      <w:r w:rsidRPr="0074520F" w:rsidR="00A056DE">
        <w:rPr>
          <w:lang w:eastAsia="sv-SE"/>
        </w:rPr>
        <w:t>ca</w:t>
      </w:r>
      <w:r w:rsidRPr="0074520F">
        <w:rPr>
          <w:lang w:eastAsia="sv-SE"/>
        </w:rPr>
        <w:t xml:space="preserve"> 67</w:t>
      </w:r>
      <w:r w:rsidRPr="0074520F" w:rsidR="00BD3966">
        <w:rPr>
          <w:lang w:eastAsia="sv-SE"/>
        </w:rPr>
        <w:t> </w:t>
      </w:r>
      <w:r w:rsidRPr="0074520F">
        <w:rPr>
          <w:lang w:eastAsia="sv-SE"/>
        </w:rPr>
        <w:t>000 bostäder per år som behövs för att komma till rätta med det befintliga underskottet på bostäder.</w:t>
      </w:r>
      <w:r w:rsidRPr="0074520F">
        <w:rPr>
          <w:rStyle w:val="Fotnotsreferens"/>
          <w:lang w:eastAsia="sv-SE"/>
        </w:rPr>
        <w:footnoteReference w:id="31"/>
      </w:r>
    </w:p>
    <w:p w:rsidRPr="0074520F" w:rsidR="00F22B7E" w:rsidP="00834537" w:rsidRDefault="00834537" w14:paraId="7BC33DB4" w14:textId="608F7B8E">
      <w:pPr>
        <w:pStyle w:val="Tabellrubrik"/>
      </w:pPr>
      <w:r w:rsidRPr="0074520F">
        <w:t xml:space="preserve">Figur </w:t>
      </w:r>
      <w:r w:rsidRPr="0074520F" w:rsidR="00EC0248">
        <w:t>15</w:t>
      </w:r>
      <w:r w:rsidRPr="0074520F">
        <w:t xml:space="preserve"> </w:t>
      </w:r>
      <w:r w:rsidRPr="0074520F" w:rsidR="00F22B7E">
        <w:t xml:space="preserve">Antal påbörjade lägenheter </w:t>
      </w:r>
      <w:r w:rsidRPr="0074520F" w:rsidR="00FE4A95">
        <w:t>2006</w:t>
      </w:r>
      <w:r w:rsidRPr="0074520F" w:rsidR="00B839AC">
        <w:t>–</w:t>
      </w:r>
      <w:r w:rsidRPr="0074520F" w:rsidR="00F22B7E">
        <w:t>2023</w:t>
      </w:r>
    </w:p>
    <w:p w:rsidRPr="0074520F" w:rsidR="00F22B7E" w:rsidP="001B3B69" w:rsidRDefault="00FE4A95" w14:paraId="264B721C" w14:textId="46B56C75">
      <w:pPr>
        <w:pStyle w:val="Normalutanindragellerluft"/>
        <w:rPr>
          <w:lang w:eastAsia="sv-SE"/>
        </w:rPr>
      </w:pPr>
      <w:r w:rsidRPr="0074520F">
        <w:rPr>
          <w:noProof/>
          <w14:numSpacing w14:val="default"/>
        </w:rPr>
        <w:drawing>
          <wp:inline distT="0" distB="0" distL="0" distR="0" wp14:anchorId="1E38863D" wp14:editId="4BD77D8B">
            <wp:extent cx="5400000" cy="3216960"/>
            <wp:effectExtent l="0" t="0" r="10795" b="2540"/>
            <wp:docPr id="12" name="Diagram 12" descr="">
              <a:extLst xmlns:a="http://schemas.openxmlformats.org/drawingml/2006/main">
                <a:ext uri="{FF2B5EF4-FFF2-40B4-BE49-F238E27FC236}">
                  <a16:creationId xmlns:a16="http://schemas.microsoft.com/office/drawing/2014/main" id="{0CF4A4ED-0046-42CD-893B-8B5A57513151}"/>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Pr="0074520F" w:rsidR="00F22B7E" w:rsidP="00783E1E" w:rsidRDefault="00F22B7E" w14:paraId="109C78DA" w14:textId="6B014454">
      <w:pPr>
        <w:pStyle w:val="Klla"/>
      </w:pPr>
      <w:r w:rsidRPr="0074520F">
        <w:t>Källa: SCB</w:t>
      </w:r>
      <w:r w:rsidRPr="0074520F" w:rsidR="00696AF2">
        <w:t xml:space="preserve"> </w:t>
      </w:r>
      <w:r w:rsidR="00342C83">
        <w:t>o</w:t>
      </w:r>
      <w:r w:rsidR="00DD070B">
        <w:t>c</w:t>
      </w:r>
      <w:r w:rsidR="00342C83">
        <w:t>h</w:t>
      </w:r>
      <w:r w:rsidRPr="0074520F" w:rsidR="00696AF2">
        <w:t xml:space="preserve"> Boverket</w:t>
      </w:r>
      <w:r w:rsidRPr="0074520F" w:rsidR="0051604A">
        <w:t>.</w:t>
      </w:r>
    </w:p>
    <w:p w:rsidRPr="0074520F" w:rsidR="0074558A" w:rsidP="00CD1D73" w:rsidRDefault="00F22B7E" w14:paraId="4D299322" w14:textId="08A7639C">
      <w:pPr>
        <w:pStyle w:val="Normalutanindragellerluft"/>
        <w:rPr>
          <w:lang w:eastAsia="sv-SE"/>
        </w:rPr>
      </w:pPr>
      <w:r w:rsidRPr="003D27A5">
        <w:rPr>
          <w:spacing w:val="-3"/>
          <w:lang w:eastAsia="sv-SE"/>
        </w:rPr>
        <w:t>Under 2023 uppgick antalet sysselsatta i byggindustrin till 381</w:t>
      </w:r>
      <w:r w:rsidRPr="003D27A5" w:rsidR="00BD3966">
        <w:rPr>
          <w:spacing w:val="-3"/>
          <w:lang w:eastAsia="sv-SE"/>
        </w:rPr>
        <w:t> </w:t>
      </w:r>
      <w:r w:rsidRPr="003D27A5">
        <w:rPr>
          <w:spacing w:val="-3"/>
          <w:lang w:eastAsia="sv-SE"/>
        </w:rPr>
        <w:t>600 personer. Branschens</w:t>
      </w:r>
      <w:r w:rsidRPr="0074520F">
        <w:rPr>
          <w:lang w:eastAsia="sv-SE"/>
        </w:rPr>
        <w:t xml:space="preserve"> eg</w:t>
      </w:r>
      <w:r w:rsidR="00377BB9">
        <w:rPr>
          <w:lang w:eastAsia="sv-SE"/>
        </w:rPr>
        <w:t>e</w:t>
      </w:r>
      <w:r w:rsidRPr="0074520F">
        <w:rPr>
          <w:lang w:eastAsia="sv-SE"/>
        </w:rPr>
        <w:t>n prognos är att sysselsättningen förväntas sjunka med 1,5 procent under 2024</w:t>
      </w:r>
      <w:r w:rsidRPr="0074520F" w:rsidR="00D131CE">
        <w:rPr>
          <w:lang w:eastAsia="sv-SE"/>
        </w:rPr>
        <w:t xml:space="preserve">, </w:t>
      </w:r>
      <w:r w:rsidRPr="0074520F" w:rsidR="00BD3966">
        <w:rPr>
          <w:lang w:eastAsia="sv-SE"/>
        </w:rPr>
        <w:t>dvs.</w:t>
      </w:r>
      <w:r w:rsidRPr="0074520F" w:rsidR="00D131CE">
        <w:rPr>
          <w:lang w:eastAsia="sv-SE"/>
        </w:rPr>
        <w:t xml:space="preserve"> </w:t>
      </w:r>
      <w:r w:rsidR="00377BB9">
        <w:rPr>
          <w:lang w:eastAsia="sv-SE"/>
        </w:rPr>
        <w:lastRenderedPageBreak/>
        <w:t xml:space="preserve">med </w:t>
      </w:r>
      <w:r w:rsidRPr="0074520F" w:rsidR="00D131CE">
        <w:rPr>
          <w:lang w:eastAsia="sv-SE"/>
        </w:rPr>
        <w:t>5 700 personer</w:t>
      </w:r>
      <w:r w:rsidRPr="0074520F">
        <w:rPr>
          <w:lang w:eastAsia="sv-SE"/>
        </w:rPr>
        <w:t>.</w:t>
      </w:r>
      <w:r w:rsidRPr="0074520F" w:rsidR="003E0582">
        <w:rPr>
          <w:rStyle w:val="Fotnotsreferens"/>
          <w:lang w:eastAsia="sv-SE"/>
        </w:rPr>
        <w:footnoteReference w:id="32"/>
      </w:r>
      <w:r w:rsidRPr="0074520F" w:rsidR="006F17A5">
        <w:rPr>
          <w:lang w:eastAsia="sv-SE"/>
        </w:rPr>
        <w:t xml:space="preserve"> Enligt Arbetsförmedlingen ökade varslen i byggbranschen med 59 procent det första kvartalet i år jämfört med samma period i fjol.</w:t>
      </w:r>
      <w:r w:rsidRPr="0074520F" w:rsidR="009344F0">
        <w:rPr>
          <w:rStyle w:val="Fotnotsreferens"/>
          <w:lang w:eastAsia="sv-SE"/>
        </w:rPr>
        <w:footnoteReference w:id="33"/>
      </w:r>
      <w:r w:rsidRPr="0074520F">
        <w:rPr>
          <w:lang w:eastAsia="sv-SE"/>
        </w:rPr>
        <w:t xml:space="preserve"> </w:t>
      </w:r>
      <w:r w:rsidRPr="0074520F" w:rsidR="00AF1B80">
        <w:rPr>
          <w:lang w:eastAsia="sv-SE"/>
        </w:rPr>
        <w:t>Samtidigt</w:t>
      </w:r>
      <w:r w:rsidRPr="0074520F" w:rsidR="007A22F3">
        <w:rPr>
          <w:lang w:eastAsia="sv-SE"/>
        </w:rPr>
        <w:t xml:space="preserve"> ligger antalet arbetslösa medlemmar i Byggnads a-kassa på över </w:t>
      </w:r>
      <w:r w:rsidRPr="0074520F" w:rsidR="003E75ED">
        <w:rPr>
          <w:lang w:eastAsia="sv-SE"/>
        </w:rPr>
        <w:t>10</w:t>
      </w:r>
      <w:r w:rsidRPr="0074520F" w:rsidR="007A22F3">
        <w:rPr>
          <w:lang w:eastAsia="sv-SE"/>
        </w:rPr>
        <w:t xml:space="preserve"> procent.</w:t>
      </w:r>
    </w:p>
    <w:p w:rsidRPr="0074520F" w:rsidR="0074558A" w:rsidP="00460398" w:rsidRDefault="00460398" w14:paraId="487FA4B5" w14:textId="441ADBF2">
      <w:pPr>
        <w:pStyle w:val="Tabellrubrik"/>
      </w:pPr>
      <w:r w:rsidRPr="0074520F">
        <w:rPr>
          <w:lang w:eastAsia="sv-SE"/>
        </w:rPr>
        <w:t xml:space="preserve">Figur </w:t>
      </w:r>
      <w:r w:rsidRPr="0074520F" w:rsidR="00EC0248">
        <w:rPr>
          <w:lang w:eastAsia="sv-SE"/>
        </w:rPr>
        <w:t>16</w:t>
      </w:r>
      <w:r w:rsidRPr="0074520F">
        <w:rPr>
          <w:lang w:eastAsia="sv-SE"/>
        </w:rPr>
        <w:t xml:space="preserve"> </w:t>
      </w:r>
      <w:r w:rsidRPr="0074520F" w:rsidR="0074558A">
        <w:rPr>
          <w:lang w:eastAsia="sv-SE"/>
        </w:rPr>
        <w:t xml:space="preserve">Inskrivna arbetslösa i </w:t>
      </w:r>
      <w:r w:rsidRPr="0074520F">
        <w:t>fem</w:t>
      </w:r>
      <w:r w:rsidRPr="0074520F" w:rsidR="0074558A">
        <w:rPr>
          <w:lang w:eastAsia="sv-SE"/>
        </w:rPr>
        <w:t xml:space="preserve"> a-kassor</w:t>
      </w:r>
    </w:p>
    <w:p w:rsidRPr="0074520F" w:rsidR="0074558A" w:rsidP="00460398" w:rsidRDefault="00460398" w14:paraId="509FB534" w14:textId="5F6275DD">
      <w:pPr>
        <w:pStyle w:val="Tabellunderrubrik"/>
        <w:rPr>
          <w:lang w:eastAsia="sv-SE"/>
        </w:rPr>
      </w:pPr>
      <w:r w:rsidRPr="0074520F">
        <w:t>A</w:t>
      </w:r>
      <w:r w:rsidRPr="0074520F" w:rsidR="0074558A">
        <w:rPr>
          <w:lang w:eastAsia="sv-SE"/>
        </w:rPr>
        <w:t>ntal i februari 2023 och februari 2024</w:t>
      </w:r>
    </w:p>
    <w:p w:rsidRPr="0074520F" w:rsidR="0074558A" w:rsidP="00CD1D73" w:rsidRDefault="0074558A" w14:paraId="11E9795C" w14:textId="351E9613">
      <w:pPr>
        <w:pStyle w:val="Normalutanindragellerluft"/>
        <w:rPr>
          <w:lang w:eastAsia="sv-SE"/>
        </w:rPr>
      </w:pPr>
      <w:r w:rsidRPr="0074520F">
        <w:rPr>
          <w:noProof/>
          <w14:numSpacing w14:val="default"/>
        </w:rPr>
        <w:drawing>
          <wp:inline distT="0" distB="0" distL="0" distR="0" wp14:anchorId="717015B1" wp14:editId="5CF48C4B">
            <wp:extent cx="5400000" cy="3241080"/>
            <wp:effectExtent l="0" t="0" r="10795" b="16510"/>
            <wp:docPr id="29" name="Diagram 29" descr="">
              <a:extLst xmlns:a="http://schemas.openxmlformats.org/drawingml/2006/main">
                <a:ext uri="{FF2B5EF4-FFF2-40B4-BE49-F238E27FC236}">
                  <a16:creationId xmlns:a16="http://schemas.microsoft.com/office/drawing/2014/main" id="{B07121F2-D8E2-4A06-B293-CD1F1AD5392A}"/>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Pr="0074520F" w:rsidR="00420EC1" w:rsidP="00420EC1" w:rsidRDefault="00420EC1" w14:paraId="1409ADD6" w14:textId="6DADDA9D">
      <w:pPr>
        <w:pStyle w:val="Klla"/>
      </w:pPr>
      <w:r w:rsidRPr="0074520F">
        <w:t>Källa: Arbetsförmedlingen</w:t>
      </w:r>
      <w:r w:rsidRPr="0074520F" w:rsidR="001F00F5">
        <w:t>.</w:t>
      </w:r>
    </w:p>
    <w:p w:rsidRPr="0074520F" w:rsidR="00F22B7E" w:rsidP="00F81AF6" w:rsidRDefault="00F22B7E" w14:paraId="47C6C148" w14:textId="4E21EB9F">
      <w:pPr>
        <w:pStyle w:val="Normalutanindragellerluft"/>
        <w:rPr>
          <w:lang w:eastAsia="sv-SE"/>
        </w:rPr>
      </w:pPr>
      <w:r w:rsidRPr="003D27A5">
        <w:rPr>
          <w:spacing w:val="-3"/>
          <w:lang w:eastAsia="sv-SE"/>
        </w:rPr>
        <w:t>För varje arbete i byggbranschen skapas</w:t>
      </w:r>
      <w:r w:rsidRPr="003D27A5" w:rsidR="00AF1B80">
        <w:rPr>
          <w:spacing w:val="-3"/>
          <w:lang w:eastAsia="sv-SE"/>
        </w:rPr>
        <w:t xml:space="preserve"> dessutom</w:t>
      </w:r>
      <w:r w:rsidRPr="003D27A5">
        <w:rPr>
          <w:spacing w:val="-3"/>
          <w:lang w:eastAsia="sv-SE"/>
        </w:rPr>
        <w:t xml:space="preserve"> ytterligare andra inom </w:t>
      </w:r>
      <w:r w:rsidRPr="003D27A5" w:rsidR="00F81AF6">
        <w:rPr>
          <w:spacing w:val="-3"/>
          <w:lang w:eastAsia="sv-SE"/>
        </w:rPr>
        <w:t>exempelvis arki</w:t>
      </w:r>
      <w:r w:rsidRPr="003D27A5" w:rsidR="003D27A5">
        <w:rPr>
          <w:spacing w:val="-3"/>
          <w:lang w:eastAsia="sv-SE"/>
        </w:rPr>
        <w:softHyphen/>
      </w:r>
      <w:r w:rsidRPr="003D27A5" w:rsidR="00F81AF6">
        <w:rPr>
          <w:spacing w:val="-3"/>
          <w:lang w:eastAsia="sv-SE"/>
        </w:rPr>
        <w:t>tektur</w:t>
      </w:r>
      <w:r w:rsidRPr="0074520F" w:rsidR="00F81AF6">
        <w:rPr>
          <w:lang w:eastAsia="sv-SE"/>
        </w:rPr>
        <w:t xml:space="preserve">, teknikkonsulter, </w:t>
      </w:r>
      <w:r w:rsidRPr="0074520F">
        <w:rPr>
          <w:lang w:eastAsia="sv-SE"/>
        </w:rPr>
        <w:t>material</w:t>
      </w:r>
      <w:r w:rsidRPr="0074520F" w:rsidR="00F81AF6">
        <w:rPr>
          <w:lang w:eastAsia="sv-SE"/>
        </w:rPr>
        <w:t xml:space="preserve"> och</w:t>
      </w:r>
      <w:r w:rsidRPr="0074520F">
        <w:rPr>
          <w:lang w:eastAsia="sv-SE"/>
        </w:rPr>
        <w:t xml:space="preserve"> transporter, vilket gör att påverkan blir betydligt </w:t>
      </w:r>
      <w:r w:rsidRPr="003D27A5">
        <w:rPr>
          <w:spacing w:val="-3"/>
          <w:lang w:eastAsia="sv-SE"/>
        </w:rPr>
        <w:t xml:space="preserve">större. Enligt Stockholms </w:t>
      </w:r>
      <w:r w:rsidRPr="003D27A5" w:rsidR="00E94B6E">
        <w:rPr>
          <w:spacing w:val="-3"/>
          <w:lang w:eastAsia="sv-SE"/>
        </w:rPr>
        <w:t>H</w:t>
      </w:r>
      <w:r w:rsidRPr="003D27A5">
        <w:rPr>
          <w:spacing w:val="-3"/>
          <w:lang w:eastAsia="sv-SE"/>
        </w:rPr>
        <w:t xml:space="preserve">andelskammare </w:t>
      </w:r>
      <w:r w:rsidRPr="003D27A5" w:rsidR="00F81AF6">
        <w:rPr>
          <w:spacing w:val="-3"/>
          <w:lang w:eastAsia="sv-SE"/>
        </w:rPr>
        <w:t>kan sysselsättningseffekten av en mildare kris</w:t>
      </w:r>
      <w:r w:rsidRPr="0074520F" w:rsidR="00F81AF6">
        <w:rPr>
          <w:lang w:eastAsia="sv-SE"/>
        </w:rPr>
        <w:t xml:space="preserve"> kulminera redan 2024 med omkring 33 000 färre sysselsatta</w:t>
      </w:r>
      <w:r w:rsidRPr="0074520F" w:rsidR="004B3269">
        <w:rPr>
          <w:lang w:eastAsia="sv-SE"/>
        </w:rPr>
        <w:t xml:space="preserve"> bara i Stockholmsregionen</w:t>
      </w:r>
      <w:r w:rsidRPr="0074520F" w:rsidR="00F81AF6">
        <w:rPr>
          <w:lang w:eastAsia="sv-SE"/>
        </w:rPr>
        <w:t xml:space="preserve"> jämfört med ett scenario där byggsektorn skulle leverera i nivå med bostadsbehovet.</w:t>
      </w:r>
      <w:r w:rsidRPr="0074520F" w:rsidR="003E0582">
        <w:rPr>
          <w:rStyle w:val="Fotnotsreferens"/>
          <w:lang w:eastAsia="sv-SE"/>
        </w:rPr>
        <w:footnoteReference w:id="34"/>
      </w:r>
      <w:r w:rsidRPr="0074520F">
        <w:rPr>
          <w:lang w:eastAsia="sv-SE"/>
        </w:rPr>
        <w:t xml:space="preserve">  </w:t>
      </w:r>
    </w:p>
    <w:p w:rsidRPr="0074520F" w:rsidR="00F22B7E" w:rsidP="00F22B7E" w:rsidRDefault="00F22B7E" w14:paraId="0D79F1CF" w14:textId="4556ED04">
      <w:pPr>
        <w:rPr>
          <w:lang w:eastAsia="sv-SE"/>
        </w:rPr>
      </w:pPr>
      <w:r w:rsidRPr="0074520F">
        <w:rPr>
          <w:lang w:eastAsia="sv-SE"/>
        </w:rPr>
        <w:t>Som ett resultat av krisen märks ett högt antal konkurser. Enligt Myndigheten för tillväxtpolitiska utvärderingar och analyser</w:t>
      </w:r>
      <w:r w:rsidRPr="0074520F" w:rsidR="00B60E00">
        <w:rPr>
          <w:lang w:eastAsia="sv-SE"/>
        </w:rPr>
        <w:t xml:space="preserve"> ökade</w:t>
      </w:r>
      <w:r w:rsidRPr="0074520F">
        <w:rPr>
          <w:lang w:eastAsia="sv-SE"/>
        </w:rPr>
        <w:t xml:space="preserve"> antalet konkurser inom byggindustrin </w:t>
      </w:r>
      <w:r w:rsidRPr="003D27A5">
        <w:rPr>
          <w:spacing w:val="-3"/>
          <w:lang w:eastAsia="sv-SE"/>
        </w:rPr>
        <w:t>med 37 procent under 2023 jämfört med föregående år.</w:t>
      </w:r>
      <w:r w:rsidRPr="003D27A5" w:rsidR="003E0582">
        <w:rPr>
          <w:rStyle w:val="Fotnotsreferens"/>
          <w:spacing w:val="-3"/>
          <w:lang w:eastAsia="sv-SE"/>
        </w:rPr>
        <w:footnoteReference w:id="35"/>
      </w:r>
      <w:r w:rsidRPr="003D27A5">
        <w:rPr>
          <w:spacing w:val="-3"/>
          <w:lang w:eastAsia="sv-SE"/>
        </w:rPr>
        <w:t xml:space="preserve"> I januari i år låg antalet konkurser</w:t>
      </w:r>
      <w:r w:rsidRPr="0074520F">
        <w:rPr>
          <w:lang w:eastAsia="sv-SE"/>
        </w:rPr>
        <w:t xml:space="preserve"> på det dubbla jämfört med det genomsnittliga antalet konkurser per månad det senaste decenniet. Mest utsatta är småföretag i storstadsregionerna.</w:t>
      </w:r>
      <w:r w:rsidRPr="0074520F" w:rsidR="003E0582">
        <w:rPr>
          <w:rStyle w:val="Fotnotsreferens"/>
          <w:lang w:eastAsia="sv-SE"/>
        </w:rPr>
        <w:footnoteReference w:id="36"/>
      </w:r>
    </w:p>
    <w:p w:rsidRPr="0074520F" w:rsidR="00F22B7E" w:rsidP="00056FEE" w:rsidRDefault="00F22B7E" w14:paraId="5BE661AE" w14:textId="0D9CDF3C">
      <w:pPr>
        <w:rPr>
          <w:lang w:eastAsia="sv-SE"/>
        </w:rPr>
      </w:pPr>
      <w:r w:rsidRPr="003D27A5">
        <w:rPr>
          <w:spacing w:val="-3"/>
          <w:lang w:eastAsia="sv-SE"/>
        </w:rPr>
        <w:t>Sverige behöver en ny bostadspolitik med betydligt högre ambitioner än vad som varit</w:t>
      </w:r>
      <w:r w:rsidRPr="0074520F">
        <w:rPr>
          <w:lang w:eastAsia="sv-SE"/>
        </w:rPr>
        <w:t xml:space="preserve"> </w:t>
      </w:r>
      <w:r w:rsidRPr="003D27A5">
        <w:rPr>
          <w:spacing w:val="-3"/>
          <w:lang w:eastAsia="sv-SE"/>
        </w:rPr>
        <w:t xml:space="preserve">fallet de senaste decennierna. </w:t>
      </w:r>
      <w:r w:rsidRPr="003D27A5" w:rsidR="00753367">
        <w:rPr>
          <w:spacing w:val="-3"/>
        </w:rPr>
        <w:t>Med Vänsterpartiets politik hade situationen varit en annan</w:t>
      </w:r>
      <w:r w:rsidRPr="0074520F" w:rsidR="00753367">
        <w:t xml:space="preserve">. </w:t>
      </w:r>
      <w:r w:rsidRPr="0074520F">
        <w:rPr>
          <w:lang w:eastAsia="sv-SE"/>
        </w:rPr>
        <w:t xml:space="preserve">En hållbar och långsiktig politik som kan möta de utmaningar vi står inför i form av </w:t>
      </w:r>
      <w:r w:rsidRPr="003D27A5">
        <w:rPr>
          <w:spacing w:val="-3"/>
          <w:lang w:eastAsia="sv-SE"/>
        </w:rPr>
        <w:t xml:space="preserve">hemlöshet, bostadssegregation och </w:t>
      </w:r>
      <w:r w:rsidRPr="003D27A5" w:rsidR="006B0247">
        <w:rPr>
          <w:spacing w:val="-3"/>
          <w:lang w:eastAsia="sv-SE"/>
        </w:rPr>
        <w:t xml:space="preserve">behovet av </w:t>
      </w:r>
      <w:r w:rsidRPr="003D27A5">
        <w:rPr>
          <w:spacing w:val="-3"/>
          <w:lang w:eastAsia="sv-SE"/>
        </w:rPr>
        <w:t>klimatomställning. Men regeringen behöver</w:t>
      </w:r>
      <w:r w:rsidRPr="0074520F">
        <w:rPr>
          <w:lang w:eastAsia="sv-SE"/>
        </w:rPr>
        <w:t xml:space="preserve"> också vidta åtgärder här och nu för att inte förvärra en redan allvarlig situation.</w:t>
      </w:r>
    </w:p>
    <w:p w:rsidRPr="00D950ED" w:rsidR="009011B6" w:rsidP="00D950ED" w:rsidRDefault="007D079E" w14:paraId="1B1EEC25" w14:textId="50F9974D">
      <w:pPr>
        <w:pStyle w:val="Rubrik2numrerat"/>
      </w:pPr>
      <w:bookmarkStart w:name="_Toc166056439" w:id="34"/>
      <w:bookmarkStart w:name="_Hlk164953581" w:id="35"/>
      <w:r w:rsidRPr="00D950ED">
        <w:lastRenderedPageBreak/>
        <w:t>Stora i</w:t>
      </w:r>
      <w:r w:rsidRPr="00D950ED" w:rsidR="009011B6">
        <w:t xml:space="preserve">nvesteringsbehov </w:t>
      </w:r>
      <w:r w:rsidRPr="00D950ED" w:rsidR="00FE222F">
        <w:t>i kommuner</w:t>
      </w:r>
      <w:r w:rsidRPr="00D950ED" w:rsidR="00842A4F">
        <w:t>na</w:t>
      </w:r>
      <w:bookmarkEnd w:id="34"/>
    </w:p>
    <w:p w:rsidRPr="0074520F" w:rsidR="00FF1DF4" w:rsidP="00E843A8" w:rsidRDefault="00D41EBA" w14:paraId="35276960" w14:textId="23130F7B">
      <w:pPr>
        <w:pStyle w:val="Normalutanindragellerluft"/>
      </w:pPr>
      <w:r w:rsidRPr="0074520F">
        <w:t>Sveriges k</w:t>
      </w:r>
      <w:r w:rsidRPr="0074520F" w:rsidR="00D64D4C">
        <w:t>ommuner och regioner står i</w:t>
      </w:r>
      <w:r w:rsidRPr="0074520F" w:rsidR="00BF0C54">
        <w:t xml:space="preserve"> </w:t>
      </w:r>
      <w:r w:rsidRPr="0074520F" w:rsidR="00D64D4C">
        <w:t>dag inför stora investeringsbehov, inte minst kopplat till en åldrande befolkning med ökade vård</w:t>
      </w:r>
      <w:r w:rsidRPr="0074520F" w:rsidR="00BF0C54">
        <w:t>-</w:t>
      </w:r>
      <w:r w:rsidRPr="0074520F" w:rsidR="00D64D4C">
        <w:t xml:space="preserve"> och omsorgsbehov, </w:t>
      </w:r>
      <w:r w:rsidRPr="0074520F" w:rsidR="00E43CBB">
        <w:t xml:space="preserve">men också i </w:t>
      </w:r>
      <w:r w:rsidR="00526D67">
        <w:t xml:space="preserve">fråga om </w:t>
      </w:r>
      <w:r w:rsidRPr="0074520F" w:rsidR="00E43CBB">
        <w:t>infrastruktur</w:t>
      </w:r>
      <w:r w:rsidR="00526D67">
        <w:t xml:space="preserve"> och</w:t>
      </w:r>
      <w:r w:rsidRPr="0074520F" w:rsidR="00E43CBB">
        <w:t xml:space="preserve"> </w:t>
      </w:r>
      <w:r w:rsidRPr="0074520F" w:rsidR="00D64D4C">
        <w:t xml:space="preserve">att ge markförutsättningar för ökat bostadsbyggande och klimatanpassning. </w:t>
      </w:r>
      <w:r w:rsidRPr="0074520F" w:rsidR="004F6365">
        <w:t xml:space="preserve">Det handlar bl.a. om äldre infrastruktur och fastigheter som behöver </w:t>
      </w:r>
      <w:r w:rsidRPr="00CC35FC" w:rsidR="004F6365">
        <w:rPr>
          <w:spacing w:val="-3"/>
        </w:rPr>
        <w:t>rustas upp och anpassas för att leva upp till nya miljö- och kvalitetskrav. Många befintliga</w:t>
      </w:r>
      <w:r w:rsidRPr="0074520F" w:rsidR="004F6365">
        <w:t xml:space="preserve"> avlopps- och vattenledningar, idrottsanläggningar, sjukhus och bostäder runtom i landet </w:t>
      </w:r>
      <w:r w:rsidRPr="00A4222A" w:rsidR="004F6365">
        <w:rPr>
          <w:spacing w:val="-3"/>
        </w:rPr>
        <w:t xml:space="preserve">har nått slutet på sin tekniska livslängd. </w:t>
      </w:r>
      <w:r w:rsidRPr="00A4222A" w:rsidR="00D64D4C">
        <w:rPr>
          <w:spacing w:val="-3"/>
        </w:rPr>
        <w:t>Samtidigt har nästa</w:t>
      </w:r>
      <w:r w:rsidRPr="00A4222A" w:rsidR="003F426D">
        <w:rPr>
          <w:spacing w:val="-3"/>
        </w:rPr>
        <w:t>n</w:t>
      </w:r>
      <w:r w:rsidRPr="00A4222A" w:rsidR="00D64D4C">
        <w:rPr>
          <w:spacing w:val="-3"/>
        </w:rPr>
        <w:t xml:space="preserve"> alla kommuner och regioner</w:t>
      </w:r>
      <w:r w:rsidRPr="0074520F" w:rsidR="00D64D4C">
        <w:t xml:space="preserve"> </w:t>
      </w:r>
      <w:r w:rsidRPr="00A4222A" w:rsidR="00D64D4C">
        <w:rPr>
          <w:spacing w:val="-3"/>
        </w:rPr>
        <w:t>pressade ekonomier och över tid en allt större skuldsättning som leder till att nödvändiga</w:t>
      </w:r>
      <w:r w:rsidRPr="0074520F" w:rsidR="00D64D4C">
        <w:t xml:space="preserve"> investeringar skjuts på framtiden. </w:t>
      </w:r>
      <w:r w:rsidRPr="0074520F" w:rsidR="0076441D">
        <w:t xml:space="preserve">Kommuninvest </w:t>
      </w:r>
      <w:r w:rsidRPr="0074520F" w:rsidR="004F6365">
        <w:t xml:space="preserve">redovisar </w:t>
      </w:r>
      <w:r w:rsidRPr="0074520F" w:rsidR="0076441D">
        <w:t xml:space="preserve">att höga </w:t>
      </w:r>
      <w:r w:rsidRPr="00CC35FC" w:rsidR="0076441D">
        <w:rPr>
          <w:spacing w:val="-3"/>
        </w:rPr>
        <w:t>byggkostnader och stigande räntor gör det allt svårare att få ihop investeringskalkylerna</w:t>
      </w:r>
      <w:r w:rsidRPr="0074520F" w:rsidR="0076441D">
        <w:t>.</w:t>
      </w:r>
      <w:r w:rsidRPr="0074520F" w:rsidR="0076441D">
        <w:rPr>
          <w:rStyle w:val="Fotnotsreferens"/>
        </w:rPr>
        <w:footnoteReference w:id="37"/>
      </w:r>
    </w:p>
    <w:p w:rsidRPr="0074520F" w:rsidR="0012048D" w:rsidP="0012048D" w:rsidRDefault="002328AF" w14:paraId="398EB9A7" w14:textId="062F9BC2">
      <w:r w:rsidRPr="0074520F">
        <w:t>En lång rad regeringar har gjort sig skyldiga till att låta den offentliga bygg- och an</w:t>
      </w:r>
      <w:r w:rsidR="00CC35FC">
        <w:softHyphen/>
      </w:r>
      <w:r w:rsidRPr="0074520F">
        <w:t xml:space="preserve">läggningsskulden växa. </w:t>
      </w:r>
      <w:r w:rsidRPr="0074520F" w:rsidR="00FF1DF4">
        <w:t xml:space="preserve">Med Vänsterpartiets politik hade situationen sett annorlunda ut. Vi avsätter 700 miljarder </w:t>
      </w:r>
      <w:r w:rsidRPr="0074520F" w:rsidR="00C16866">
        <w:t xml:space="preserve">kronor </w:t>
      </w:r>
      <w:r w:rsidRPr="0074520F" w:rsidR="00FF1DF4">
        <w:t>över 10 år för investeringar i bl.a. energiförsörjning, transport och bostadsbyggande.</w:t>
      </w:r>
    </w:p>
    <w:p w:rsidRPr="0074520F" w:rsidR="007059FC" w:rsidP="0061367B" w:rsidRDefault="00B55BE2" w14:paraId="037C6A11" w14:textId="0F79CD66">
      <w:r w:rsidRPr="0074520F">
        <w:t xml:space="preserve">Många kommuner står inför förändrade behov av verksamhetslokaler. </w:t>
      </w:r>
      <w:r w:rsidRPr="0074520F" w:rsidR="004E19B5">
        <w:t>Boverket bedömer att det behövs ca 6</w:t>
      </w:r>
      <w:r w:rsidRPr="0074520F" w:rsidR="00046542">
        <w:t>7 000 bostäder per år fram till 2030.</w:t>
      </w:r>
      <w:r w:rsidRPr="0074520F" w:rsidR="00046542">
        <w:rPr>
          <w:rStyle w:val="Fotnotsreferens"/>
        </w:rPr>
        <w:footnoteReference w:id="38"/>
      </w:r>
      <w:r w:rsidRPr="0074520F" w:rsidR="00046542">
        <w:t xml:space="preserve"> </w:t>
      </w:r>
      <w:r w:rsidRPr="0074520F" w:rsidR="004E19B5">
        <w:t xml:space="preserve">I samband med detta behövs både </w:t>
      </w:r>
      <w:r w:rsidRPr="0074520F" w:rsidR="004E19B5">
        <w:rPr>
          <w:b/>
          <w:bCs/>
        </w:rPr>
        <w:t>nya skolor och förskolor</w:t>
      </w:r>
      <w:r w:rsidRPr="0074520F" w:rsidR="004E19B5">
        <w:t>.</w:t>
      </w:r>
      <w:r w:rsidRPr="0074520F" w:rsidR="00F34B5D">
        <w:t xml:space="preserve"> Dessutom är en stor andel av de befintliga skolorna och förskolorna byggda under 1960</w:t>
      </w:r>
      <w:r w:rsidRPr="0074520F" w:rsidR="009D7D9E">
        <w:t>–</w:t>
      </w:r>
      <w:r w:rsidR="00977E25">
        <w:t>19</w:t>
      </w:r>
      <w:r w:rsidRPr="0074520F" w:rsidR="00F34B5D">
        <w:t xml:space="preserve">80-talen och är nu i stort behov av </w:t>
      </w:r>
      <w:r w:rsidRPr="0074520F" w:rsidR="00F34B5D">
        <w:rPr>
          <w:b/>
          <w:bCs/>
        </w:rPr>
        <w:t>att renoveras eller byggas om</w:t>
      </w:r>
      <w:r w:rsidRPr="0074520F" w:rsidR="00F34B5D">
        <w:t>.</w:t>
      </w:r>
      <w:r w:rsidRPr="0074520F" w:rsidR="00470579">
        <w:rPr>
          <w:rStyle w:val="Fotnotsreferens"/>
        </w:rPr>
        <w:footnoteReference w:id="39"/>
      </w:r>
      <w:r w:rsidRPr="0074520F" w:rsidR="00F34B5D">
        <w:t xml:space="preserve"> </w:t>
      </w:r>
      <w:r w:rsidRPr="0074520F">
        <w:t>Den demografiska utvecklingen påverkar också behovet</w:t>
      </w:r>
      <w:r w:rsidRPr="0074520F" w:rsidR="00617348">
        <w:t>, liksom behovet av äldreboenden</w:t>
      </w:r>
      <w:r w:rsidRPr="0074520F">
        <w:t xml:space="preserve">. </w:t>
      </w:r>
    </w:p>
    <w:p w:rsidRPr="0074520F" w:rsidR="00E843A8" w:rsidP="00282ABE" w:rsidRDefault="00E843A8" w14:paraId="071EC717" w14:textId="6440229D">
      <w:r w:rsidRPr="0074520F">
        <w:t>Enligt b</w:t>
      </w:r>
      <w:r w:rsidRPr="0074520F" w:rsidR="000D393C">
        <w:t xml:space="preserve">ranchorganisationen Svenskt Vatten </w:t>
      </w:r>
      <w:r w:rsidRPr="0074520F">
        <w:t>uppgår</w:t>
      </w:r>
      <w:r w:rsidRPr="0074520F" w:rsidR="000D393C">
        <w:t xml:space="preserve"> </w:t>
      </w:r>
      <w:r w:rsidRPr="0074520F" w:rsidR="000D393C">
        <w:rPr>
          <w:b/>
          <w:bCs/>
        </w:rPr>
        <w:t>investeringsbehovet för VA</w:t>
      </w:r>
      <w:r w:rsidRPr="0074520F" w:rsidR="000D393C">
        <w:t xml:space="preserve"> i Sverige till 31 miljarder kronor per år, eller 560 miljarder kronor fram till 2040.</w:t>
      </w:r>
      <w:r w:rsidRPr="0074520F" w:rsidR="000D393C">
        <w:rPr>
          <w:rStyle w:val="Fotnotsreferens"/>
        </w:rPr>
        <w:footnoteReference w:id="40"/>
      </w:r>
      <w:r w:rsidRPr="0074520F" w:rsidR="000D393C">
        <w:t xml:space="preserve"> Det är </w:t>
      </w:r>
      <w:r w:rsidRPr="00A2236F" w:rsidR="000D393C">
        <w:rPr>
          <w:spacing w:val="-3"/>
        </w:rPr>
        <w:t>11 miljarder mer per år än vad som faktiskt investeras. Organisationen har gjort ett försök</w:t>
      </w:r>
      <w:r w:rsidRPr="0074520F" w:rsidR="000D393C">
        <w:t xml:space="preserve"> att kvantifiera behovet av personella resurser och uppskattar att det rör sig om mer än 18</w:t>
      </w:r>
      <w:r w:rsidRPr="0074520F" w:rsidR="00883378">
        <w:t> </w:t>
      </w:r>
      <w:r w:rsidRPr="0074520F" w:rsidR="000D393C">
        <w:t>000</w:t>
      </w:r>
      <w:r w:rsidRPr="0074520F" w:rsidR="00883378">
        <w:t>–</w:t>
      </w:r>
      <w:r w:rsidRPr="0074520F" w:rsidR="000D393C">
        <w:t>25</w:t>
      </w:r>
      <w:r w:rsidRPr="0074520F" w:rsidR="00883378">
        <w:t> </w:t>
      </w:r>
      <w:r w:rsidRPr="0074520F" w:rsidR="000D393C">
        <w:t xml:space="preserve">000 direkta och indirekta årsarbeten. </w:t>
      </w:r>
      <w:r w:rsidRPr="0074520F">
        <w:t>Men trots behoven har bara var tredje kommun en plan för hur man ska finansiera VA-infrastrukturen</w:t>
      </w:r>
      <w:r w:rsidR="00977E25">
        <w:t>,</w:t>
      </w:r>
      <w:r w:rsidRPr="0074520F">
        <w:t xml:space="preserve"> och knappt hälften av kommunerna bedömer att de har kompetens och kapacitet för majoriteten av projekten. Förnyelsebehovet </w:t>
      </w:r>
      <w:r w:rsidR="00977E25">
        <w:t>i fråga om</w:t>
      </w:r>
      <w:r w:rsidRPr="0074520F">
        <w:t xml:space="preserve"> befintlig infrastruktur är stort och skjuts på framtiden. </w:t>
      </w:r>
      <w:r w:rsidRPr="0074520F" w:rsidR="00ED6559">
        <w:t xml:space="preserve">Redan i dag är dessutom </w:t>
      </w:r>
      <w:proofErr w:type="spellStart"/>
      <w:r w:rsidRPr="0074520F" w:rsidR="00C77F50">
        <w:t>VA</w:t>
      </w:r>
      <w:r w:rsidRPr="0074520F" w:rsidR="00ED6559">
        <w:t>-taxan</w:t>
      </w:r>
      <w:proofErr w:type="spellEnd"/>
      <w:r w:rsidRPr="0074520F" w:rsidR="00ED6559">
        <w:t xml:space="preserve"> 500 procent högre i landets dyraste kommun jämfört med den billigaste.</w:t>
      </w:r>
      <w:r w:rsidRPr="0074520F" w:rsidR="007C5D13">
        <w:t xml:space="preserve"> I ett läge där hushållen är hårt pressade av kostnadsökningar är ytterligare höjningar inte </w:t>
      </w:r>
      <w:r w:rsidRPr="0074520F" w:rsidR="00547E42">
        <w:t xml:space="preserve">en </w:t>
      </w:r>
      <w:r w:rsidRPr="0074520F" w:rsidR="007C5D13">
        <w:t>önskvärd väg f</w:t>
      </w:r>
      <w:r w:rsidRPr="0074520F" w:rsidR="00E175F8">
        <w:t>r</w:t>
      </w:r>
      <w:r w:rsidRPr="0074520F" w:rsidR="007C5D13">
        <w:t>amåt.</w:t>
      </w:r>
    </w:p>
    <w:p w:rsidRPr="0074520F" w:rsidR="00E843A8" w:rsidP="00E843A8" w:rsidRDefault="00E843A8" w14:paraId="7913CA53" w14:textId="2D459C0E">
      <w:r w:rsidRPr="0074520F">
        <w:t xml:space="preserve">Ett annat område som kräver stora investeringar är </w:t>
      </w:r>
      <w:r w:rsidRPr="0074520F">
        <w:rPr>
          <w:b/>
          <w:bCs/>
        </w:rPr>
        <w:t>behovet av klimatanpassning i den fysiska planeringen</w:t>
      </w:r>
      <w:r w:rsidRPr="0074520F">
        <w:t xml:space="preserve">. Trots skillnader mellan hur olika kommuner påverkas av klimatförändringen finns det ett behov av åtgärder över hela landet. </w:t>
      </w:r>
      <w:r w:rsidRPr="0074520F" w:rsidR="0006176A">
        <w:t>R</w:t>
      </w:r>
      <w:r w:rsidRPr="0074520F">
        <w:t>isken för över</w:t>
      </w:r>
      <w:r w:rsidR="00A2236F">
        <w:softHyphen/>
      </w:r>
      <w:r w:rsidRPr="0074520F">
        <w:t xml:space="preserve">svämningar </w:t>
      </w:r>
      <w:r w:rsidRPr="0074520F" w:rsidR="0006176A">
        <w:t xml:space="preserve">är t.ex. </w:t>
      </w:r>
      <w:r w:rsidRPr="0074520F">
        <w:t xml:space="preserve">gemensam för alla kommuner. I SKR:s ekonomirapport konstateras </w:t>
      </w:r>
      <w:r w:rsidRPr="00A2236F">
        <w:rPr>
          <w:spacing w:val="-3"/>
        </w:rPr>
        <w:t xml:space="preserve">att </w:t>
      </w:r>
      <w:r w:rsidRPr="00A2236F" w:rsidR="00282ABE">
        <w:rPr>
          <w:spacing w:val="-3"/>
        </w:rPr>
        <w:t>investeringarna för att hantera kommande klimatanpassningar i kommunerna beräknas</w:t>
      </w:r>
      <w:r w:rsidRPr="0074520F" w:rsidR="00282ABE">
        <w:t xml:space="preserve"> motsvara </w:t>
      </w:r>
      <w:r w:rsidRPr="0074520F">
        <w:t>”hundratals miljarder kronor”.</w:t>
      </w:r>
      <w:r w:rsidRPr="0074520F" w:rsidR="00EC67FC">
        <w:rPr>
          <w:rStyle w:val="Fotnotsreferens"/>
        </w:rPr>
        <w:footnoteReference w:id="41"/>
      </w:r>
    </w:p>
    <w:p w:rsidRPr="0074520F" w:rsidR="00E843A8" w:rsidP="00E843A8" w:rsidRDefault="003A1258" w14:paraId="0745C8EB" w14:textId="52243B01">
      <w:r w:rsidRPr="0074520F">
        <w:t>De riktade statsbidrag kommuner i</w:t>
      </w:r>
      <w:r w:rsidRPr="0074520F" w:rsidR="00F677F9">
        <w:t xml:space="preserve"> </w:t>
      </w:r>
      <w:r w:rsidRPr="0074520F">
        <w:t>dag kan söka från MSB bedöms</w:t>
      </w:r>
      <w:r w:rsidRPr="0074520F" w:rsidR="0022439A">
        <w:t xml:space="preserve"> av SKR</w:t>
      </w:r>
      <w:r w:rsidRPr="0074520F">
        <w:t xml:space="preserve"> som långt ifrån tillräckliga.</w:t>
      </w:r>
      <w:r w:rsidRPr="0074520F">
        <w:rPr>
          <w:rStyle w:val="Fotnotsreferens"/>
        </w:rPr>
        <w:footnoteReference w:id="42"/>
      </w:r>
      <w:r w:rsidRPr="0074520F">
        <w:t xml:space="preserve"> I </w:t>
      </w:r>
      <w:r w:rsidRPr="0074520F" w:rsidR="00F2523D">
        <w:t>K</w:t>
      </w:r>
      <w:r w:rsidRPr="0074520F">
        <w:t xml:space="preserve">limatanpassningsutredningen (SOU 2017:42) uppskattades </w:t>
      </w:r>
      <w:r w:rsidRPr="0074520F">
        <w:lastRenderedPageBreak/>
        <w:t>kostnaden för att genomföra nödvändiga klimatanpassningsåtgärder för enbart ras, skred och erosion uppgå till 137–205 miljarder kronor fram till år 2100.</w:t>
      </w:r>
      <w:r w:rsidRPr="0074520F">
        <w:rPr>
          <w:rStyle w:val="Fotnotsreferens"/>
        </w:rPr>
        <w:footnoteReference w:id="43"/>
      </w:r>
      <w:r w:rsidRPr="0074520F">
        <w:t xml:space="preserve"> </w:t>
      </w:r>
      <w:r w:rsidRPr="0074520F" w:rsidR="00407857">
        <w:t>Om vi antar en jämn fördelning över tid så innebär detta ca 2</w:t>
      </w:r>
      <w:r w:rsidRPr="0074520F" w:rsidR="00804796">
        <w:t>–</w:t>
      </w:r>
      <w:r w:rsidRPr="0074520F" w:rsidR="00407857">
        <w:t>3 miljarder</w:t>
      </w:r>
      <w:r w:rsidRPr="0074520F" w:rsidR="002F437B">
        <w:t xml:space="preserve"> kronor</w:t>
      </w:r>
      <w:r w:rsidRPr="0074520F" w:rsidR="00407857">
        <w:t xml:space="preserve"> per år. Sannolikt behöver dock dessa kostnader tas med tyngdpunkten på </w:t>
      </w:r>
      <w:r w:rsidRPr="0074520F" w:rsidR="00804796">
        <w:t>de närmaste decennierna</w:t>
      </w:r>
      <w:r w:rsidRPr="0074520F" w:rsidR="0067646A">
        <w:t>.</w:t>
      </w:r>
    </w:p>
    <w:p w:rsidRPr="0074520F" w:rsidR="00E175F8" w:rsidP="00E175F8" w:rsidRDefault="003A1258" w14:paraId="44505884" w14:textId="787AFD01">
      <w:r w:rsidRPr="0074520F">
        <w:t xml:space="preserve">Nio av tio kommuner uppger </w:t>
      </w:r>
      <w:r w:rsidRPr="0074520F" w:rsidR="00E843A8">
        <w:t>att de har påverkats av klimatförändringar och/eller extrema väderhändelser.</w:t>
      </w:r>
      <w:r w:rsidRPr="0074520F">
        <w:rPr>
          <w:rStyle w:val="Fotnotsreferens"/>
        </w:rPr>
        <w:footnoteReference w:id="44"/>
      </w:r>
      <w:r w:rsidRPr="0074520F" w:rsidR="00E843A8">
        <w:t xml:space="preserve"> Det handlar framför allt om ökad temperatur, ökad nederbörd </w:t>
      </w:r>
      <w:r w:rsidRPr="00A2236F" w:rsidR="00E843A8">
        <w:rPr>
          <w:spacing w:val="-3"/>
        </w:rPr>
        <w:t>och förändrade flöden. Ungefär lika många kommuner uppger att de arbetar med klimat</w:t>
      </w:r>
      <w:r w:rsidRPr="00A2236F" w:rsidR="00A2236F">
        <w:rPr>
          <w:spacing w:val="-3"/>
        </w:rPr>
        <w:softHyphen/>
      </w:r>
      <w:r w:rsidRPr="00A2236F" w:rsidR="00E843A8">
        <w:rPr>
          <w:spacing w:val="-3"/>
        </w:rPr>
        <w:t>anpassning</w:t>
      </w:r>
      <w:r w:rsidRPr="0074520F" w:rsidR="00E843A8">
        <w:t>. Samtidigt har mindre än hälften av kommunerna avsatt resurser för klimat</w:t>
      </w:r>
      <w:r w:rsidR="00A2236F">
        <w:softHyphen/>
      </w:r>
      <w:r w:rsidRPr="0074520F" w:rsidR="00E843A8">
        <w:t>anpassningsarbetet.</w:t>
      </w:r>
    </w:p>
    <w:p w:rsidRPr="0074520F" w:rsidR="0056359F" w:rsidP="00E175F8" w:rsidRDefault="0056359F" w14:paraId="6E3CDDD0" w14:textId="0691F777">
      <w:r w:rsidRPr="0074520F">
        <w:t xml:space="preserve">SKR gav 2016 ut rapporten </w:t>
      </w:r>
      <w:r w:rsidRPr="0074520F">
        <w:rPr>
          <w:b/>
        </w:rPr>
        <w:t>Skulden till underhåll</w:t>
      </w:r>
      <w:r w:rsidR="00536A75">
        <w:rPr>
          <w:b/>
        </w:rPr>
        <w:t xml:space="preserve"> – D</w:t>
      </w:r>
      <w:r w:rsidRPr="0074520F">
        <w:rPr>
          <w:b/>
        </w:rPr>
        <w:t>et kommunala underhålls</w:t>
      </w:r>
      <w:r w:rsidR="00A2236F">
        <w:rPr>
          <w:b/>
        </w:rPr>
        <w:softHyphen/>
      </w:r>
      <w:r w:rsidRPr="0074520F">
        <w:rPr>
          <w:b/>
        </w:rPr>
        <w:t>behovet för gator, broar och belysning</w:t>
      </w:r>
      <w:r w:rsidRPr="0074520F">
        <w:t>.</w:t>
      </w:r>
      <w:r w:rsidRPr="0074520F" w:rsidR="00FE0F8D">
        <w:rPr>
          <w:rStyle w:val="Fotnotsreferens"/>
        </w:rPr>
        <w:footnoteReference w:id="45"/>
      </w:r>
      <w:r w:rsidRPr="0074520F" w:rsidR="00FE0F8D">
        <w:t xml:space="preserve"> </w:t>
      </w:r>
      <w:r w:rsidRPr="0074520F" w:rsidR="00DB0742">
        <w:t>I denna uppskattas kommunsektorns under</w:t>
      </w:r>
      <w:r w:rsidR="00A2236F">
        <w:softHyphen/>
      </w:r>
      <w:r w:rsidRPr="00A2236F" w:rsidR="00DB0742">
        <w:rPr>
          <w:spacing w:val="-3"/>
        </w:rPr>
        <w:t>hållsskuld till 14,6 miljarder</w:t>
      </w:r>
      <w:r w:rsidRPr="00A2236F" w:rsidR="00F2523D">
        <w:rPr>
          <w:spacing w:val="-3"/>
        </w:rPr>
        <w:t xml:space="preserve"> kronor</w:t>
      </w:r>
      <w:r w:rsidRPr="00A2236F" w:rsidR="00DB0742">
        <w:rPr>
          <w:spacing w:val="-3"/>
        </w:rPr>
        <w:t>. Trafikverke</w:t>
      </w:r>
      <w:r w:rsidRPr="00A2236F" w:rsidR="003F6228">
        <w:rPr>
          <w:spacing w:val="-3"/>
        </w:rPr>
        <w:t>t</w:t>
      </w:r>
      <w:r w:rsidRPr="00A2236F" w:rsidR="00DB0742">
        <w:rPr>
          <w:spacing w:val="-3"/>
        </w:rPr>
        <w:t xml:space="preserve"> gör </w:t>
      </w:r>
      <w:r w:rsidRPr="00A2236F" w:rsidR="003F6228">
        <w:rPr>
          <w:spacing w:val="-3"/>
        </w:rPr>
        <w:t>en bedömning att ett ökat ramanslag</w:t>
      </w:r>
      <w:r w:rsidRPr="0074520F" w:rsidR="003F6228">
        <w:t xml:space="preserve"> med 20 procent skulle krävas för att beta av </w:t>
      </w:r>
      <w:r w:rsidRPr="0074520F" w:rsidR="00DB0742">
        <w:t>den totala underhållsskulden för vägar i Sverige.</w:t>
      </w:r>
      <w:r w:rsidRPr="0074520F" w:rsidR="00D566AD">
        <w:rPr>
          <w:rStyle w:val="Fotnotsreferens"/>
        </w:rPr>
        <w:footnoteReference w:id="46"/>
      </w:r>
      <w:r w:rsidRPr="0074520F" w:rsidR="00F55FAC">
        <w:t xml:space="preserve"> Om denna ök</w:t>
      </w:r>
      <w:r w:rsidRPr="0074520F" w:rsidR="00DE700A">
        <w:t>n</w:t>
      </w:r>
      <w:r w:rsidRPr="0074520F" w:rsidR="00F55FAC">
        <w:t>ing tillämpas på det kommunala vägnätet skulle det innebära att anslagen behöver öka med 4,5 miljarder</w:t>
      </w:r>
      <w:r w:rsidRPr="0074520F" w:rsidR="00D04B5E">
        <w:t xml:space="preserve"> kronor</w:t>
      </w:r>
      <w:r w:rsidRPr="0074520F" w:rsidR="00F55FAC">
        <w:t xml:space="preserve"> – från 22 miljarder kronor (2022) till 26,5 miljarder</w:t>
      </w:r>
      <w:r w:rsidRPr="0074520F" w:rsidR="001F5191">
        <w:t xml:space="preserve"> kronor</w:t>
      </w:r>
      <w:r w:rsidRPr="0074520F" w:rsidR="00F55FAC">
        <w:t>.</w:t>
      </w:r>
    </w:p>
    <w:p w:rsidRPr="0074520F" w:rsidR="00CC17CB" w:rsidP="00E175F8" w:rsidRDefault="00CC17CB" w14:paraId="4F1B9791" w14:textId="6528FD6E">
      <w:r w:rsidRPr="00A2236F">
        <w:rPr>
          <w:spacing w:val="-3"/>
        </w:rPr>
        <w:t>Enbart de tre områden som nämns ovan kräv</w:t>
      </w:r>
      <w:r w:rsidRPr="00A2236F" w:rsidR="002D0AE3">
        <w:rPr>
          <w:spacing w:val="-3"/>
        </w:rPr>
        <w:t>er</w:t>
      </w:r>
      <w:r w:rsidRPr="00A2236F">
        <w:rPr>
          <w:spacing w:val="-3"/>
        </w:rPr>
        <w:t xml:space="preserve"> ökade investeringar på totalt ca 18 mil</w:t>
      </w:r>
      <w:r w:rsidRPr="00A2236F" w:rsidR="00A2236F">
        <w:rPr>
          <w:spacing w:val="-3"/>
        </w:rPr>
        <w:softHyphen/>
      </w:r>
      <w:r w:rsidRPr="00A2236F">
        <w:rPr>
          <w:spacing w:val="-3"/>
        </w:rPr>
        <w:t xml:space="preserve">jarder </w:t>
      </w:r>
      <w:r w:rsidRPr="00A2236F" w:rsidR="00F6537A">
        <w:rPr>
          <w:spacing w:val="-3"/>
        </w:rPr>
        <w:t xml:space="preserve">kronor </w:t>
      </w:r>
      <w:r w:rsidRPr="00A2236F">
        <w:rPr>
          <w:spacing w:val="-3"/>
        </w:rPr>
        <w:t>per år</w:t>
      </w:r>
      <w:r w:rsidRPr="0074520F">
        <w:t xml:space="preserve">. </w:t>
      </w:r>
    </w:p>
    <w:p w:rsidRPr="0074520F" w:rsidR="00E175F8" w:rsidP="00E175F8" w:rsidRDefault="00AA0D8D" w14:paraId="3462E3BD" w14:textId="708F6037">
      <w:r w:rsidRPr="00A2236F">
        <w:rPr>
          <w:spacing w:val="-3"/>
        </w:rPr>
        <w:t>Diskussioner om att</w:t>
      </w:r>
      <w:r w:rsidRPr="00A2236F" w:rsidR="00E175F8">
        <w:rPr>
          <w:spacing w:val="-3"/>
        </w:rPr>
        <w:t xml:space="preserve"> öka de offentliga infrastrukturinvesteringarna </w:t>
      </w:r>
      <w:r w:rsidRPr="00A2236F" w:rsidR="00BB0F9B">
        <w:rPr>
          <w:spacing w:val="-3"/>
        </w:rPr>
        <w:t>följs ofta av invänd</w:t>
      </w:r>
      <w:r w:rsidRPr="00A2236F" w:rsidR="00A2236F">
        <w:rPr>
          <w:spacing w:val="-3"/>
        </w:rPr>
        <w:softHyphen/>
      </w:r>
      <w:r w:rsidRPr="00A2236F" w:rsidR="00BB0F9B">
        <w:rPr>
          <w:spacing w:val="-3"/>
        </w:rPr>
        <w:t>ningar</w:t>
      </w:r>
      <w:r w:rsidRPr="0074520F" w:rsidR="00BB0F9B">
        <w:t xml:space="preserve"> om</w:t>
      </w:r>
      <w:r w:rsidRPr="0074520F" w:rsidR="00E175F8">
        <w:t xml:space="preserve"> </w:t>
      </w:r>
      <w:r w:rsidRPr="0074520F" w:rsidR="00F6537A">
        <w:t>s.k.</w:t>
      </w:r>
      <w:r w:rsidRPr="0074520F" w:rsidR="00E175F8">
        <w:t xml:space="preserve"> reala begränsningar som ett hinder</w:t>
      </w:r>
      <w:r w:rsidRPr="0074520F" w:rsidR="00A04E4E">
        <w:t xml:space="preserve"> – </w:t>
      </w:r>
      <w:r w:rsidRPr="0074520F" w:rsidR="00F6537A">
        <w:t>dvs.</w:t>
      </w:r>
      <w:r w:rsidRPr="0074520F" w:rsidR="00E175F8">
        <w:t xml:space="preserve"> brist på arbetskraft</w:t>
      </w:r>
      <w:r w:rsidRPr="0074520F" w:rsidR="00A04E4E">
        <w:t xml:space="preserve"> – </w:t>
      </w:r>
      <w:r w:rsidRPr="0074520F" w:rsidR="00E175F8">
        <w:t xml:space="preserve">och att </w:t>
      </w:r>
      <w:r w:rsidRPr="0074520F" w:rsidR="00A04E4E">
        <w:t>projekten</w:t>
      </w:r>
      <w:r w:rsidRPr="0074520F" w:rsidR="00E175F8">
        <w:t xml:space="preserve"> riskera</w:t>
      </w:r>
      <w:r w:rsidRPr="0074520F" w:rsidR="00A04E4E">
        <w:t>r</w:t>
      </w:r>
      <w:r w:rsidRPr="0074520F" w:rsidR="00E175F8">
        <w:t xml:space="preserve"> att tränga</w:t>
      </w:r>
      <w:r w:rsidRPr="0074520F" w:rsidR="00A04E4E">
        <w:t xml:space="preserve"> undan</w:t>
      </w:r>
      <w:r w:rsidRPr="0074520F" w:rsidR="00E175F8">
        <w:t xml:space="preserve"> privata investeringar. I</w:t>
      </w:r>
      <w:r w:rsidRPr="0074520F" w:rsidR="00F6537A">
        <w:t xml:space="preserve"> </w:t>
      </w:r>
      <w:r w:rsidRPr="0074520F" w:rsidR="00E175F8">
        <w:t>dag ser dock situationen annorlunda</w:t>
      </w:r>
      <w:r w:rsidRPr="0074520F" w:rsidR="00BB0F9B">
        <w:t xml:space="preserve"> ut</w:t>
      </w:r>
      <w:r w:rsidRPr="0074520F" w:rsidR="00E175F8">
        <w:t>. Bygg- och anläggningsmarknaden har närmast kollapsat</w:t>
      </w:r>
      <w:r w:rsidR="002D0AE3">
        <w:t>,</w:t>
      </w:r>
      <w:r w:rsidRPr="0074520F" w:rsidR="00E175F8">
        <w:t xml:space="preserve"> och det finns gott om både ledig arbetskraft (arbetslösa) och maskiner (realkapital).</w:t>
      </w:r>
    </w:p>
    <w:p w:rsidRPr="00D950ED" w:rsidR="00FE222F" w:rsidP="00D950ED" w:rsidRDefault="00B9346A" w14:paraId="7769FE67" w14:textId="75A2C3E0">
      <w:pPr>
        <w:pStyle w:val="Rubrik2numrerat"/>
      </w:pPr>
      <w:bookmarkStart w:name="_Toc166056440" w:id="36"/>
      <w:r w:rsidRPr="00D950ED">
        <w:t xml:space="preserve">Förslag: </w:t>
      </w:r>
      <w:r w:rsidRPr="00D950ED" w:rsidR="00FE222F">
        <w:t>Sverigejobb</w:t>
      </w:r>
      <w:bookmarkEnd w:id="36"/>
    </w:p>
    <w:p w:rsidRPr="0074520F" w:rsidR="00E175F8" w:rsidP="00FE222F" w:rsidRDefault="00A5040B" w14:paraId="796B46FA" w14:textId="7249B010">
      <w:pPr>
        <w:pStyle w:val="Normalutanindragellerluft"/>
      </w:pPr>
      <w:r w:rsidRPr="0074520F">
        <w:t xml:space="preserve">Behovet av kommunala infrastrukturinvesteringar är stort. </w:t>
      </w:r>
      <w:r w:rsidRPr="0074520F" w:rsidR="00E175F8">
        <w:t xml:space="preserve">Det </w:t>
      </w:r>
      <w:r w:rsidRPr="0074520F" w:rsidR="00DA78D6">
        <w:t>fi</w:t>
      </w:r>
      <w:r w:rsidRPr="0074520F">
        <w:t xml:space="preserve">nns nu </w:t>
      </w:r>
      <w:r w:rsidRPr="0074520F" w:rsidR="00E175F8">
        <w:t xml:space="preserve">starka skäl att tidigarelägga kommunala och regionala investeringar för att dämpa arbetslösheten och förstärka konjunkturen. </w:t>
      </w:r>
      <w:r w:rsidRPr="0074520F" w:rsidR="00DA78D6">
        <w:t xml:space="preserve">Det hindras </w:t>
      </w:r>
      <w:r w:rsidRPr="0074520F" w:rsidR="00E175F8">
        <w:t xml:space="preserve">dock </w:t>
      </w:r>
      <w:r w:rsidRPr="0074520F" w:rsidR="00DA78D6">
        <w:t xml:space="preserve">av situationen i </w:t>
      </w:r>
      <w:r w:rsidRPr="0074520F" w:rsidR="00E175F8">
        <w:t>de kommunala ekonomi</w:t>
      </w:r>
      <w:r w:rsidRPr="0074520F" w:rsidR="00DA78D6">
        <w:t>er</w:t>
      </w:r>
      <w:r w:rsidRPr="0074520F" w:rsidR="00E175F8">
        <w:t>n</w:t>
      </w:r>
      <w:r w:rsidRPr="0074520F" w:rsidR="00DA78D6">
        <w:t>a</w:t>
      </w:r>
      <w:r w:rsidRPr="0074520F" w:rsidR="00E175F8">
        <w:t xml:space="preserve">. </w:t>
      </w:r>
      <w:r w:rsidRPr="00A2236F" w:rsidR="00E175F8">
        <w:rPr>
          <w:spacing w:val="-3"/>
        </w:rPr>
        <w:t xml:space="preserve">Den pressade ekonomiska situation </w:t>
      </w:r>
      <w:r w:rsidRPr="00A2236F" w:rsidR="00BD1997">
        <w:rPr>
          <w:spacing w:val="-3"/>
        </w:rPr>
        <w:t xml:space="preserve">som råder </w:t>
      </w:r>
      <w:r w:rsidRPr="00A2236F" w:rsidR="00E175F8">
        <w:rPr>
          <w:spacing w:val="-3"/>
        </w:rPr>
        <w:t>riskerar snarare att leda till att nödvändiga</w:t>
      </w:r>
      <w:r w:rsidRPr="0074520F" w:rsidR="00E175F8">
        <w:t xml:space="preserve"> investeringar skjuts på framtiden. Det är </w:t>
      </w:r>
      <w:r w:rsidRPr="0074520F" w:rsidR="00BD1997">
        <w:t>självklart att</w:t>
      </w:r>
      <w:r w:rsidRPr="0074520F" w:rsidR="00E175F8">
        <w:t xml:space="preserve"> den löpande verksamheten</w:t>
      </w:r>
      <w:r w:rsidR="00E70115">
        <w:t xml:space="preserve"> </w:t>
      </w:r>
      <w:r w:rsidRPr="0074520F" w:rsidR="00E70115">
        <w:t>prio</w:t>
      </w:r>
      <w:r w:rsidR="00A2236F">
        <w:softHyphen/>
      </w:r>
      <w:r w:rsidRPr="0074520F" w:rsidR="00E70115">
        <w:t>ritera</w:t>
      </w:r>
      <w:r w:rsidR="00E70115">
        <w:t>s,</w:t>
      </w:r>
      <w:r w:rsidRPr="0074520F">
        <w:t xml:space="preserve"> men p</w:t>
      </w:r>
      <w:r w:rsidRPr="0074520F" w:rsidR="00E175F8">
        <w:t>roblemet är att det byggs upp en underhåll</w:t>
      </w:r>
      <w:r w:rsidRPr="0074520F" w:rsidR="00045D5C">
        <w:t>s</w:t>
      </w:r>
      <w:r w:rsidRPr="0074520F" w:rsidR="00E175F8">
        <w:t xml:space="preserve">- och </w:t>
      </w:r>
      <w:proofErr w:type="spellStart"/>
      <w:r w:rsidRPr="0074520F" w:rsidR="00E175F8">
        <w:t>investeringsskuld</w:t>
      </w:r>
      <w:proofErr w:type="spellEnd"/>
      <w:r w:rsidRPr="0074520F" w:rsidR="00E175F8">
        <w:t xml:space="preserve"> i kom</w:t>
      </w:r>
      <w:r w:rsidR="00A2236F">
        <w:softHyphen/>
      </w:r>
      <w:r w:rsidRPr="0074520F" w:rsidR="00E175F8">
        <w:t>muner och regioner.</w:t>
      </w:r>
    </w:p>
    <w:p w:rsidRPr="0074520F" w:rsidR="00E02A75" w:rsidP="00E02A75" w:rsidRDefault="00E02A75" w14:paraId="3153E267" w14:textId="0FF4580B">
      <w:r w:rsidRPr="00A2236F">
        <w:rPr>
          <w:spacing w:val="-3"/>
        </w:rPr>
        <w:t>Under goda tider, n</w:t>
      </w:r>
      <w:r w:rsidRPr="00A2236F" w:rsidR="00E175F8">
        <w:rPr>
          <w:spacing w:val="-3"/>
        </w:rPr>
        <w:t>är kommuner och regioner har råd att börja betala av denna skuld,</w:t>
      </w:r>
      <w:r w:rsidRPr="0074520F" w:rsidR="00E175F8">
        <w:t xml:space="preserve"> </w:t>
      </w:r>
      <w:r w:rsidRPr="0074520F" w:rsidR="00670C3D">
        <w:t>går</w:t>
      </w:r>
      <w:r w:rsidRPr="0074520F" w:rsidR="00E175F8">
        <w:t xml:space="preserve"> också privat sektor för full fart. D</w:t>
      </w:r>
      <w:r w:rsidRPr="0074520F">
        <w:t>å finns en risk för</w:t>
      </w:r>
      <w:r w:rsidRPr="0074520F" w:rsidR="00E175F8">
        <w:t xml:space="preserve"> snabbt stigande priser </w:t>
      </w:r>
      <w:r w:rsidRPr="0074520F">
        <w:t>om</w:t>
      </w:r>
      <w:r w:rsidRPr="0074520F" w:rsidR="00E175F8">
        <w:t xml:space="preserve"> kon</w:t>
      </w:r>
      <w:r w:rsidR="00A2236F">
        <w:softHyphen/>
      </w:r>
      <w:r w:rsidRPr="0074520F" w:rsidR="00E175F8">
        <w:t>kurrensen om befintlig arbetskraft är stor</w:t>
      </w:r>
      <w:r w:rsidRPr="0074520F">
        <w:t xml:space="preserve">, vilket kan </w:t>
      </w:r>
      <w:r w:rsidRPr="0074520F" w:rsidR="00E175F8">
        <w:t xml:space="preserve">fördyra </w:t>
      </w:r>
      <w:r w:rsidRPr="0074520F" w:rsidR="008415F5">
        <w:t>projekten</w:t>
      </w:r>
      <w:r w:rsidRPr="0074520F" w:rsidR="00E175F8">
        <w:t>.</w:t>
      </w:r>
      <w:r w:rsidRPr="0074520F">
        <w:t xml:space="preserve"> </w:t>
      </w:r>
    </w:p>
    <w:p w:rsidRPr="0074520F" w:rsidR="007C7B60" w:rsidP="000605E8" w:rsidRDefault="00E175F8" w14:paraId="1CE6DD14" w14:textId="2CA3789F">
      <w:r w:rsidRPr="0074520F">
        <w:t xml:space="preserve">Det </w:t>
      </w:r>
      <w:r w:rsidRPr="0074520F" w:rsidR="00E02A75">
        <w:t>är därför fördelaktigt om det</w:t>
      </w:r>
      <w:r w:rsidRPr="0074520F">
        <w:t xml:space="preserve"> offentligas investeringar är kontracykliska, </w:t>
      </w:r>
      <w:r w:rsidRPr="0074520F" w:rsidR="006D559F">
        <w:t>dvs.</w:t>
      </w:r>
      <w:r w:rsidRPr="0074520F">
        <w:t xml:space="preserve"> </w:t>
      </w:r>
      <w:r w:rsidRPr="0074520F" w:rsidR="008415F5">
        <w:t>ökar i sämre tider</w:t>
      </w:r>
      <w:r w:rsidRPr="0074520F" w:rsidR="0028174F">
        <w:t>.</w:t>
      </w:r>
      <w:r w:rsidRPr="0074520F" w:rsidR="00E02A75">
        <w:t xml:space="preserve"> </w:t>
      </w:r>
      <w:r w:rsidRPr="0074520F" w:rsidR="0028174F">
        <w:t>N</w:t>
      </w:r>
      <w:r w:rsidRPr="0074520F">
        <w:t>är privat sektor går för full</w:t>
      </w:r>
      <w:r w:rsidRPr="0074520F" w:rsidR="0028174F">
        <w:t>t</w:t>
      </w:r>
      <w:r w:rsidRPr="0074520F">
        <w:t xml:space="preserve"> igen</w:t>
      </w:r>
      <w:r w:rsidRPr="0074520F" w:rsidR="0028174F">
        <w:t xml:space="preserve"> kan då de offentliga investering</w:t>
      </w:r>
      <w:r w:rsidR="00A2236F">
        <w:softHyphen/>
      </w:r>
      <w:r w:rsidRPr="0074520F" w:rsidR="0028174F">
        <w:t>arna i</w:t>
      </w:r>
      <w:r w:rsidRPr="0074520F" w:rsidR="006D559F">
        <w:t xml:space="preserve"> </w:t>
      </w:r>
      <w:r w:rsidRPr="0074520F" w:rsidR="0028174F">
        <w:t>stället plana ut något</w:t>
      </w:r>
      <w:r w:rsidRPr="0074520F" w:rsidR="00E02A75">
        <w:t>.</w:t>
      </w:r>
      <w:r w:rsidRPr="0074520F">
        <w:t xml:space="preserve"> Det </w:t>
      </w:r>
      <w:r w:rsidRPr="0074520F" w:rsidR="00E02A75">
        <w:t>skulle</w:t>
      </w:r>
      <w:r w:rsidRPr="0074520F">
        <w:t xml:space="preserve"> långsiktigt </w:t>
      </w:r>
      <w:r w:rsidRPr="0074520F" w:rsidR="00503CA1">
        <w:t>innebära</w:t>
      </w:r>
      <w:r w:rsidRPr="0074520F">
        <w:t xml:space="preserve"> lägre investeringskostnader </w:t>
      </w:r>
      <w:r w:rsidRPr="00A2236F">
        <w:rPr>
          <w:spacing w:val="-3"/>
        </w:rPr>
        <w:t xml:space="preserve">och över tid </w:t>
      </w:r>
      <w:r w:rsidRPr="00A2236F" w:rsidR="00503CA1">
        <w:rPr>
          <w:spacing w:val="-3"/>
        </w:rPr>
        <w:t>också</w:t>
      </w:r>
      <w:r w:rsidRPr="00A2236F">
        <w:rPr>
          <w:spacing w:val="-3"/>
        </w:rPr>
        <w:t xml:space="preserve"> </w:t>
      </w:r>
      <w:r w:rsidRPr="00A2236F" w:rsidR="000679B9">
        <w:rPr>
          <w:spacing w:val="-3"/>
        </w:rPr>
        <w:t xml:space="preserve">en </w:t>
      </w:r>
      <w:r w:rsidRPr="00A2236F">
        <w:rPr>
          <w:spacing w:val="-3"/>
        </w:rPr>
        <w:t>lägre arbetslöshet.</w:t>
      </w:r>
      <w:r w:rsidRPr="00A2236F" w:rsidR="00E02A75">
        <w:rPr>
          <w:spacing w:val="-3"/>
        </w:rPr>
        <w:t xml:space="preserve"> </w:t>
      </w:r>
      <w:r w:rsidRPr="00A2236F">
        <w:rPr>
          <w:spacing w:val="-3"/>
        </w:rPr>
        <w:t xml:space="preserve">Det förutsätter </w:t>
      </w:r>
      <w:r w:rsidRPr="00A2236F" w:rsidR="0054259E">
        <w:rPr>
          <w:spacing w:val="-3"/>
        </w:rPr>
        <w:t xml:space="preserve">dock </w:t>
      </w:r>
      <w:r w:rsidRPr="00A2236F">
        <w:rPr>
          <w:spacing w:val="-3"/>
        </w:rPr>
        <w:t xml:space="preserve">att staten </w:t>
      </w:r>
      <w:r w:rsidRPr="00A2236F" w:rsidR="0054259E">
        <w:rPr>
          <w:spacing w:val="-3"/>
        </w:rPr>
        <w:t>bidrar till att</w:t>
      </w:r>
      <w:r w:rsidRPr="00A2236F">
        <w:rPr>
          <w:spacing w:val="-3"/>
        </w:rPr>
        <w:t xml:space="preserve"> ändra</w:t>
      </w:r>
      <w:r w:rsidRPr="0074520F">
        <w:t xml:space="preserve"> d</w:t>
      </w:r>
      <w:r w:rsidRPr="0074520F" w:rsidR="00E02A75">
        <w:t>agens</w:t>
      </w:r>
      <w:r w:rsidRPr="0074520F">
        <w:t xml:space="preserve"> logik och ger kommuner och regioner förutsättningar att tidigarelägga </w:t>
      </w:r>
      <w:r w:rsidRPr="0074520F" w:rsidR="00E02A75">
        <w:t xml:space="preserve">sina </w:t>
      </w:r>
      <w:r w:rsidRPr="0074520F">
        <w:t xml:space="preserve">investeringar. </w:t>
      </w:r>
    </w:p>
    <w:p w:rsidRPr="0074520F" w:rsidR="000605E8" w:rsidP="000605E8" w:rsidRDefault="0054259E" w14:paraId="1FAB04A2" w14:textId="029EFFE9">
      <w:r w:rsidRPr="0074520F">
        <w:lastRenderedPageBreak/>
        <w:t>Just nu</w:t>
      </w:r>
      <w:r w:rsidRPr="0074520F" w:rsidR="000605E8">
        <w:t xml:space="preserve"> </w:t>
      </w:r>
      <w:r w:rsidRPr="0074520F">
        <w:t>är</w:t>
      </w:r>
      <w:r w:rsidRPr="0074520F" w:rsidR="000605E8">
        <w:t xml:space="preserve"> ett utmärkt tillfälle att </w:t>
      </w:r>
      <w:r w:rsidRPr="0074520F">
        <w:t>börja</w:t>
      </w:r>
      <w:r w:rsidRPr="0074520F" w:rsidR="000605E8">
        <w:t xml:space="preserve"> betala av den befintliga bygg- och anlägg</w:t>
      </w:r>
      <w:r w:rsidR="00A14A90">
        <w:softHyphen/>
      </w:r>
      <w:r w:rsidRPr="0074520F" w:rsidR="000605E8">
        <w:t>ningsskulden inom offentlig verksamhet. Målet är att tidigarelägga offentliga investe</w:t>
      </w:r>
      <w:r w:rsidR="00A14A90">
        <w:softHyphen/>
      </w:r>
      <w:r w:rsidRPr="0074520F" w:rsidR="000605E8">
        <w:t xml:space="preserve">ringar som annars skulle skjutas upp </w:t>
      </w:r>
      <w:r w:rsidRPr="0074520F" w:rsidR="006D559F">
        <w:t>p</w:t>
      </w:r>
      <w:r w:rsidR="002F25F3">
        <w:t xml:space="preserve">å grund av </w:t>
      </w:r>
      <w:r w:rsidRPr="0074520F" w:rsidR="000605E8">
        <w:t xml:space="preserve">det ansträngda ekonomiska läget. Det </w:t>
      </w:r>
      <w:r w:rsidRPr="00A14A90" w:rsidR="000605E8">
        <w:rPr>
          <w:spacing w:val="-3"/>
        </w:rPr>
        <w:t>handlar</w:t>
      </w:r>
      <w:r w:rsidRPr="00A14A90" w:rsidR="0012048D">
        <w:rPr>
          <w:spacing w:val="-3"/>
        </w:rPr>
        <w:t xml:space="preserve"> t.ex.</w:t>
      </w:r>
      <w:r w:rsidRPr="00A14A90" w:rsidR="000605E8">
        <w:rPr>
          <w:spacing w:val="-3"/>
        </w:rPr>
        <w:t xml:space="preserve"> om renovering av skolor och förskolor, </w:t>
      </w:r>
      <w:r w:rsidRPr="00A14A90" w:rsidR="00792744">
        <w:rPr>
          <w:spacing w:val="-3"/>
        </w:rPr>
        <w:t>anläggningsarbeten för nybyggnation</w:t>
      </w:r>
      <w:r w:rsidRPr="0074520F" w:rsidR="00792744">
        <w:t xml:space="preserve">, </w:t>
      </w:r>
      <w:r w:rsidRPr="0074520F" w:rsidR="000605E8">
        <w:t xml:space="preserve">reinvesteringar i VA-infrastruktur, klimatanpassningar i den fysiska miljön </w:t>
      </w:r>
      <w:r w:rsidRPr="0074520F">
        <w:t xml:space="preserve">och </w:t>
      </w:r>
      <w:r w:rsidR="002F25F3">
        <w:t>av</w:t>
      </w:r>
      <w:r w:rsidRPr="0074520F">
        <w:t>betal</w:t>
      </w:r>
      <w:r w:rsidR="00A14A90">
        <w:softHyphen/>
      </w:r>
      <w:r w:rsidR="002F25F3">
        <w:t>ning</w:t>
      </w:r>
      <w:r w:rsidRPr="0074520F">
        <w:t xml:space="preserve"> av underhållsskulden för det kommunala vägnätet</w:t>
      </w:r>
      <w:r w:rsidRPr="0074520F" w:rsidR="000605E8">
        <w:t xml:space="preserve">. </w:t>
      </w:r>
    </w:p>
    <w:p w:rsidRPr="0074520F" w:rsidR="009214FF" w:rsidP="000605E8" w:rsidRDefault="00A92E0D" w14:paraId="0A624AB9" w14:textId="28CC3BE1">
      <w:r w:rsidRPr="0074520F">
        <w:t>Vi föreslår en</w:t>
      </w:r>
      <w:r w:rsidRPr="0074520F" w:rsidR="006D1AF1">
        <w:t xml:space="preserve"> m</w:t>
      </w:r>
      <w:r w:rsidRPr="0074520F" w:rsidR="000605E8">
        <w:t>odell</w:t>
      </w:r>
      <w:r w:rsidRPr="0074520F">
        <w:t xml:space="preserve"> som</w:t>
      </w:r>
      <w:r w:rsidRPr="0074520F" w:rsidR="000605E8">
        <w:t xml:space="preserve"> innebär att staten går in och tar hälften av investerings</w:t>
      </w:r>
      <w:r w:rsidR="00A14A90">
        <w:softHyphen/>
      </w:r>
      <w:r w:rsidRPr="0074520F" w:rsidR="000605E8">
        <w:t>kostnaden för planerade projekt</w:t>
      </w:r>
      <w:r w:rsidRPr="0074520F" w:rsidR="007A554A">
        <w:t xml:space="preserve"> som utförs mellan 2024 och 2026</w:t>
      </w:r>
      <w:r w:rsidRPr="0074520F" w:rsidR="000605E8">
        <w:t xml:space="preserve">. </w:t>
      </w:r>
      <w:r w:rsidRPr="0074520F" w:rsidR="00344ECD">
        <w:t>En del av stödet kan konstrueras så att k</w:t>
      </w:r>
      <w:r w:rsidRPr="0074520F" w:rsidR="006D1AF1">
        <w:t>ommuner kan ansöka om stöd hos MSB på samma sätt som i</w:t>
      </w:r>
      <w:r w:rsidRPr="0074520F" w:rsidR="00CD0EB1">
        <w:t xml:space="preserve"> </w:t>
      </w:r>
      <w:r w:rsidRPr="0074520F" w:rsidR="006D1AF1">
        <w:t>dag, men omfattningen</w:t>
      </w:r>
      <w:r w:rsidRPr="0074520F" w:rsidR="00344ECD">
        <w:t xml:space="preserve"> – såväl ramen som inriktningen – bör vara</w:t>
      </w:r>
      <w:r w:rsidRPr="0074520F" w:rsidR="006D1AF1">
        <w:t xml:space="preserve"> betydligt större.</w:t>
      </w:r>
      <w:r w:rsidRPr="0074520F" w:rsidR="000605E8">
        <w:t xml:space="preserve"> En </w:t>
      </w:r>
      <w:r w:rsidRPr="0074520F" w:rsidR="000C41DC">
        <w:t xml:space="preserve">central </w:t>
      </w:r>
      <w:r w:rsidRPr="0074520F" w:rsidR="000605E8">
        <w:t>förutsättning är att den planerade verksamheten ägs och drivs i offentlig regi. Genom ett anbudsförfarande kan sedan privata aktörer vara med och realisera investeringen.</w:t>
      </w:r>
    </w:p>
    <w:p w:rsidRPr="0074520F" w:rsidR="00CD7896" w:rsidP="000605E8" w:rsidRDefault="009214FF" w14:paraId="7151CF65" w14:textId="3E21DCFD">
      <w:r w:rsidRPr="0074520F">
        <w:t xml:space="preserve">Detta ska kombineras med en ny arbetsmarknadspolitisk insats kallad </w:t>
      </w:r>
      <w:r w:rsidRPr="0074520F">
        <w:rPr>
          <w:i/>
          <w:iCs/>
        </w:rPr>
        <w:t>Sverigejobb</w:t>
      </w:r>
      <w:r w:rsidRPr="0074520F">
        <w:t xml:space="preserve">, riktad till arbetslösa </w:t>
      </w:r>
      <w:r w:rsidRPr="0074520F" w:rsidR="00E50C1F">
        <w:t xml:space="preserve">med kompetens </w:t>
      </w:r>
      <w:r w:rsidRPr="0074520F">
        <w:t xml:space="preserve">inom bygg och anläggning. </w:t>
      </w:r>
      <w:r w:rsidRPr="0074520F" w:rsidR="000605E8">
        <w:t xml:space="preserve">Modellen innebär en </w:t>
      </w:r>
      <w:r w:rsidRPr="00A14A90" w:rsidR="000605E8">
        <w:rPr>
          <w:spacing w:val="-3"/>
        </w:rPr>
        <w:t>form av anställningsstöd där staten tar 80 procent av kostnaderna för anställningen. Vill</w:t>
      </w:r>
      <w:r w:rsidRPr="00A14A90" w:rsidR="00A14A90">
        <w:rPr>
          <w:spacing w:val="-3"/>
        </w:rPr>
        <w:softHyphen/>
      </w:r>
      <w:r w:rsidRPr="00A14A90" w:rsidR="000605E8">
        <w:rPr>
          <w:spacing w:val="-3"/>
        </w:rPr>
        <w:t>koret</w:t>
      </w:r>
      <w:r w:rsidRPr="0074520F" w:rsidR="000605E8">
        <w:t xml:space="preserve"> ska vara 100 dagar i arbetslöshet och en utbildning inom bygg och anläggning eller motsvarande kvalifikationer. Befinner man sig i arbetslöshet har man företräde till anställning.</w:t>
      </w:r>
      <w:r w:rsidRPr="0074520F">
        <w:t xml:space="preserve"> De ska i likhet med andra subventionerad</w:t>
      </w:r>
      <w:r w:rsidRPr="0074520F" w:rsidR="00FE1D1A">
        <w:t>e</w:t>
      </w:r>
      <w:r w:rsidRPr="0074520F">
        <w:t xml:space="preserve"> anställningar ha fulla rättigheter och lön som andra anställda.</w:t>
      </w:r>
    </w:p>
    <w:p w:rsidRPr="0074520F" w:rsidR="004B3269" w:rsidP="00535958" w:rsidRDefault="007D37C2" w14:paraId="3DBEF786" w14:textId="0BC2F66F">
      <w:r w:rsidRPr="00A14A90">
        <w:rPr>
          <w:spacing w:val="-3"/>
        </w:rPr>
        <w:t xml:space="preserve">Vi beräknar att investeringsbehoven </w:t>
      </w:r>
      <w:r w:rsidRPr="00A14A90" w:rsidR="00007464">
        <w:rPr>
          <w:spacing w:val="-3"/>
        </w:rPr>
        <w:t>i ett första steg</w:t>
      </w:r>
      <w:r w:rsidRPr="00A14A90">
        <w:rPr>
          <w:spacing w:val="-3"/>
        </w:rPr>
        <w:t xml:space="preserve"> kan </w:t>
      </w:r>
      <w:r w:rsidRPr="00A14A90" w:rsidR="008B6793">
        <w:rPr>
          <w:spacing w:val="-3"/>
        </w:rPr>
        <w:t>uppgå</w:t>
      </w:r>
      <w:r w:rsidRPr="00A14A90">
        <w:rPr>
          <w:spacing w:val="-3"/>
        </w:rPr>
        <w:t xml:space="preserve"> till </w:t>
      </w:r>
      <w:r w:rsidRPr="00A14A90" w:rsidR="008B6793">
        <w:rPr>
          <w:spacing w:val="-3"/>
        </w:rPr>
        <w:t>20 miljarder</w:t>
      </w:r>
      <w:r w:rsidRPr="00A14A90" w:rsidR="00FE1D1A">
        <w:rPr>
          <w:spacing w:val="-3"/>
        </w:rPr>
        <w:t xml:space="preserve"> kronor</w:t>
      </w:r>
      <w:r w:rsidRPr="00A14A90" w:rsidR="008B6793">
        <w:rPr>
          <w:spacing w:val="-3"/>
        </w:rPr>
        <w:t xml:space="preserve"> </w:t>
      </w:r>
      <w:r w:rsidRPr="0074520F" w:rsidR="008B6793">
        <w:t>per år</w:t>
      </w:r>
      <w:r w:rsidRPr="0074520F">
        <w:t>.</w:t>
      </w:r>
      <w:r w:rsidRPr="0074520F" w:rsidR="008B6793">
        <w:t xml:space="preserve"> </w:t>
      </w:r>
      <w:r w:rsidRPr="0074520F" w:rsidR="006E0F9B">
        <w:t>Om all</w:t>
      </w:r>
      <w:r w:rsidRPr="0074520F" w:rsidR="00FE1D1A">
        <w:t>t</w:t>
      </w:r>
      <w:r w:rsidRPr="0074520F" w:rsidR="006E0F9B">
        <w:t xml:space="preserve"> detta kommer till stånd</w:t>
      </w:r>
      <w:r w:rsidRPr="0074520F" w:rsidR="008B6793">
        <w:t xml:space="preserve"> skulle</w:t>
      </w:r>
      <w:r w:rsidRPr="0074520F" w:rsidR="006E0F9B">
        <w:t xml:space="preserve"> det</w:t>
      </w:r>
      <w:r w:rsidRPr="0074520F" w:rsidR="008B6793">
        <w:t xml:space="preserve"> innebära att staten står för 10 miljarder</w:t>
      </w:r>
      <w:r w:rsidRPr="0074520F" w:rsidR="00FE1D1A">
        <w:t xml:space="preserve"> </w:t>
      </w:r>
      <w:r w:rsidRPr="00A14A90" w:rsidR="00FE1D1A">
        <w:rPr>
          <w:spacing w:val="-3"/>
        </w:rPr>
        <w:t>kronor</w:t>
      </w:r>
      <w:r w:rsidRPr="00A14A90" w:rsidR="008B6793">
        <w:rPr>
          <w:spacing w:val="-3"/>
        </w:rPr>
        <w:t>. Om dessa investeringar tidigareläggs så kan det bidra</w:t>
      </w:r>
      <w:r w:rsidRPr="00A14A90">
        <w:rPr>
          <w:spacing w:val="-3"/>
        </w:rPr>
        <w:t xml:space="preserve"> till en </w:t>
      </w:r>
      <w:r w:rsidRPr="00A14A90" w:rsidR="004D3E1F">
        <w:rPr>
          <w:spacing w:val="-3"/>
        </w:rPr>
        <w:t>sysselsättningsökning</w:t>
      </w:r>
      <w:r w:rsidRPr="0074520F" w:rsidR="004D3E1F">
        <w:t xml:space="preserve"> med 25 000 personer – vilket skulle kunna ge en </w:t>
      </w:r>
      <w:r w:rsidRPr="0074520F" w:rsidR="008B6793">
        <w:t>tydlig sänkning</w:t>
      </w:r>
      <w:r w:rsidRPr="0074520F">
        <w:t xml:space="preserve"> av </w:t>
      </w:r>
      <w:r w:rsidRPr="0074520F" w:rsidR="008B6793">
        <w:t>arbetslösheten med start redan i år</w:t>
      </w:r>
      <w:r w:rsidRPr="0074520F" w:rsidR="000063A5">
        <w:t>, 2024</w:t>
      </w:r>
      <w:r w:rsidRPr="0074520F" w:rsidR="008B6793">
        <w:t>.</w:t>
      </w:r>
      <w:bookmarkEnd w:id="35"/>
    </w:p>
    <w:p w:rsidRPr="00D950ED" w:rsidR="003C32FA" w:rsidP="00D950ED" w:rsidRDefault="003C32FA" w14:paraId="145E11E6" w14:textId="77777777">
      <w:pPr>
        <w:pStyle w:val="Rubrik1numrerat"/>
      </w:pPr>
      <w:bookmarkStart w:name="_Toc162362960" w:id="37"/>
      <w:bookmarkStart w:name="_Toc166056441" w:id="38"/>
      <w:bookmarkEnd w:id="30"/>
      <w:proofErr w:type="spellStart"/>
      <w:r w:rsidRPr="00D950ED">
        <w:t>Hushåll</w:t>
      </w:r>
      <w:bookmarkEnd w:id="37"/>
      <w:r w:rsidRPr="00D950ED" w:rsidR="00B01DE2">
        <w:t>skrisen</w:t>
      </w:r>
      <w:proofErr w:type="spellEnd"/>
      <w:r w:rsidRPr="00D950ED" w:rsidR="004A6E6B">
        <w:t xml:space="preserve"> har stadigt förvärrats</w:t>
      </w:r>
      <w:bookmarkEnd w:id="38"/>
    </w:p>
    <w:p w:rsidRPr="0074520F" w:rsidR="008C368A" w:rsidP="00586279" w:rsidRDefault="009F532D" w14:paraId="4A4FCE67" w14:textId="3427B3DF">
      <w:pPr>
        <w:pStyle w:val="Normalutanindragellerluft"/>
        <w:rPr>
          <w:rFonts w:eastAsia="Times New Roman"/>
          <w:lang w:eastAsia="sv-SE"/>
        </w:rPr>
      </w:pPr>
      <w:bookmarkStart w:name="_Hlk146189249" w:id="39"/>
      <w:bookmarkStart w:name="_Toc162362961" w:id="40"/>
      <w:r w:rsidRPr="0074520F">
        <w:rPr>
          <w:rFonts w:eastAsia="Times New Roman"/>
          <w:lang w:eastAsia="sv-SE"/>
        </w:rPr>
        <w:t xml:space="preserve">Förra året, </w:t>
      </w:r>
      <w:r w:rsidRPr="0074520F" w:rsidR="00584CC6">
        <w:rPr>
          <w:rFonts w:eastAsia="Times New Roman"/>
          <w:lang w:eastAsia="sv-SE"/>
        </w:rPr>
        <w:t>2023</w:t>
      </w:r>
      <w:r w:rsidRPr="0074520F">
        <w:rPr>
          <w:rFonts w:eastAsia="Times New Roman"/>
          <w:lang w:eastAsia="sv-SE"/>
        </w:rPr>
        <w:t>, kommer att gå till historien som ett av de år då</w:t>
      </w:r>
      <w:r w:rsidRPr="0074520F" w:rsidR="00584CC6">
        <w:rPr>
          <w:rFonts w:eastAsia="Times New Roman"/>
          <w:lang w:eastAsia="sv-SE"/>
        </w:rPr>
        <w:t xml:space="preserve"> </w:t>
      </w:r>
      <w:r w:rsidRPr="0074520F" w:rsidR="00586279">
        <w:rPr>
          <w:rFonts w:eastAsia="Times New Roman"/>
          <w:lang w:eastAsia="sv-SE"/>
        </w:rPr>
        <w:t xml:space="preserve">hushållens reala </w:t>
      </w:r>
      <w:r w:rsidRPr="0074520F" w:rsidR="002C5236">
        <w:rPr>
          <w:rFonts w:eastAsia="Times New Roman"/>
          <w:lang w:eastAsia="sv-SE"/>
        </w:rPr>
        <w:t>dispo</w:t>
      </w:r>
      <w:r w:rsidR="00A14A90">
        <w:rPr>
          <w:rFonts w:eastAsia="Times New Roman"/>
          <w:lang w:eastAsia="sv-SE"/>
        </w:rPr>
        <w:softHyphen/>
      </w:r>
      <w:r w:rsidRPr="0074520F" w:rsidR="002C5236">
        <w:rPr>
          <w:rFonts w:eastAsia="Times New Roman"/>
          <w:lang w:eastAsia="sv-SE"/>
        </w:rPr>
        <w:t xml:space="preserve">nibla </w:t>
      </w:r>
      <w:r w:rsidRPr="0074520F" w:rsidR="00586279">
        <w:rPr>
          <w:rFonts w:eastAsia="Times New Roman"/>
          <w:lang w:eastAsia="sv-SE"/>
        </w:rPr>
        <w:t xml:space="preserve">inkomster </w:t>
      </w:r>
      <w:r w:rsidRPr="0074520F" w:rsidR="002C5236">
        <w:rPr>
          <w:rFonts w:eastAsia="Times New Roman"/>
          <w:lang w:eastAsia="sv-SE"/>
        </w:rPr>
        <w:t>minskade som mest</w:t>
      </w:r>
      <w:r w:rsidRPr="0074520F" w:rsidR="00586279">
        <w:rPr>
          <w:rFonts w:eastAsia="Times New Roman"/>
          <w:lang w:eastAsia="sv-SE"/>
        </w:rPr>
        <w:t>.</w:t>
      </w:r>
      <w:r w:rsidRPr="0074520F" w:rsidR="00B55D1C">
        <w:rPr>
          <w:rFonts w:eastAsia="Times New Roman"/>
          <w:lang w:eastAsia="sv-SE"/>
        </w:rPr>
        <w:t xml:space="preserve"> Det är 30 år sedan hushållen såg en motsvarande minskning av sin köpkraft. Med undantag för det inledande pandemiåret har hushållens </w:t>
      </w:r>
      <w:r w:rsidRPr="00A14A90" w:rsidR="00B55D1C">
        <w:rPr>
          <w:rFonts w:eastAsia="Times New Roman"/>
          <w:spacing w:val="-3"/>
          <w:lang w:eastAsia="sv-SE"/>
        </w:rPr>
        <w:t>disponibla inkomster inte backat sedan 1997 och inte minskat i den här storleksordningen</w:t>
      </w:r>
      <w:r w:rsidRPr="0074520F" w:rsidR="00B55D1C">
        <w:rPr>
          <w:rFonts w:eastAsia="Times New Roman"/>
          <w:lang w:eastAsia="sv-SE"/>
        </w:rPr>
        <w:t xml:space="preserve"> sedan 1993.</w:t>
      </w:r>
      <w:bookmarkEnd w:id="39"/>
    </w:p>
    <w:p w:rsidRPr="0074520F" w:rsidR="008C368A" w:rsidP="008C368A" w:rsidRDefault="008C368A" w14:paraId="1CB2BB7F" w14:textId="299F6E5A">
      <w:pPr>
        <w:pStyle w:val="Tabellrubrik"/>
      </w:pPr>
      <w:r w:rsidRPr="0074520F">
        <w:lastRenderedPageBreak/>
        <w:t xml:space="preserve">Figur </w:t>
      </w:r>
      <w:r w:rsidRPr="0074520F" w:rsidR="00CD2127">
        <w:t>17</w:t>
      </w:r>
      <w:r w:rsidRPr="0074520F">
        <w:t xml:space="preserve"> Förändring i real disponibel</w:t>
      </w:r>
      <w:r w:rsidR="0075268E">
        <w:t xml:space="preserve"> </w:t>
      </w:r>
      <w:r w:rsidRPr="0074520F">
        <w:t>inkomst</w:t>
      </w:r>
    </w:p>
    <w:p w:rsidRPr="0074520F" w:rsidR="008C368A" w:rsidP="008C368A" w:rsidRDefault="008C368A" w14:paraId="65B4DF45" w14:textId="6178356B">
      <w:pPr>
        <w:pStyle w:val="Tabellunderrubrik"/>
        <w:rPr>
          <w:lang w:eastAsia="sv-SE"/>
        </w:rPr>
      </w:pPr>
      <w:r w:rsidRPr="0074520F">
        <w:t>Procentuell förändring</w:t>
      </w:r>
    </w:p>
    <w:p w:rsidRPr="0074520F" w:rsidR="00B55D1C" w:rsidP="00586279" w:rsidRDefault="002049C3" w14:paraId="42D5DAD2" w14:textId="7ADB4E17">
      <w:pPr>
        <w:pStyle w:val="Normalutanindragellerluft"/>
        <w:rPr>
          <w:rFonts w:eastAsia="Times New Roman"/>
          <w:lang w:eastAsia="sv-SE"/>
        </w:rPr>
      </w:pPr>
      <w:r w:rsidRPr="0074520F">
        <w:rPr>
          <w:noProof/>
          <w14:numSpacing w14:val="default"/>
        </w:rPr>
        <w:drawing>
          <wp:inline distT="0" distB="0" distL="0" distR="0" wp14:anchorId="5D90D0F6" wp14:editId="2CB6F256">
            <wp:extent cx="5399280" cy="2890080"/>
            <wp:effectExtent l="0" t="0" r="11430" b="5715"/>
            <wp:docPr id="4" name="Diagram 4" descr="">
              <a:extLst xmlns:a="http://schemas.openxmlformats.org/drawingml/2006/main">
                <a:ext uri="{FF2B5EF4-FFF2-40B4-BE49-F238E27FC236}">
                  <a16:creationId xmlns:a16="http://schemas.microsoft.com/office/drawing/2014/main" id="{018B9521-16CA-4D8E-B0CE-E67AC69717C3}"/>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74520F" w:rsidR="00B55D1C">
        <w:rPr>
          <w:rFonts w:eastAsia="Times New Roman"/>
          <w:lang w:eastAsia="sv-SE"/>
        </w:rPr>
        <w:t xml:space="preserve"> </w:t>
      </w:r>
    </w:p>
    <w:p w:rsidRPr="0074520F" w:rsidR="008C368A" w:rsidP="008C368A" w:rsidRDefault="008C368A" w14:paraId="4E6D5FC8" w14:textId="64594677">
      <w:pPr>
        <w:pStyle w:val="Klla"/>
      </w:pPr>
      <w:r w:rsidRPr="0074520F">
        <w:t>Källa: SCB</w:t>
      </w:r>
      <w:r w:rsidR="0075268E">
        <w:t>.</w:t>
      </w:r>
      <w:r w:rsidRPr="0074520F">
        <w:t xml:space="preserve"> </w:t>
      </w:r>
    </w:p>
    <w:p w:rsidRPr="0074520F" w:rsidR="0095019E" w:rsidP="0095019E" w:rsidRDefault="0095019E" w14:paraId="019C0040" w14:textId="3EB55AE9">
      <w:pPr>
        <w:pStyle w:val="Normalutanindragellerluft"/>
        <w:rPr>
          <w:rFonts w:eastAsia="Times New Roman"/>
          <w:lang w:eastAsia="sv-SE"/>
        </w:rPr>
      </w:pPr>
      <w:r w:rsidRPr="0074520F">
        <w:rPr>
          <w:rFonts w:eastAsia="Times New Roman"/>
          <w:lang w:eastAsia="sv-SE"/>
        </w:rPr>
        <w:t>Anledningen är en kombination av inflationschock och regeringens kompakta ovilja att agera för att stötta hushållen i den svåra krisen.</w:t>
      </w:r>
    </w:p>
    <w:p w:rsidRPr="0074520F" w:rsidR="00371789" w:rsidP="009C1BED" w:rsidRDefault="009C1BED" w14:paraId="216DA010" w14:textId="7D5BB293">
      <w:pPr>
        <w:rPr>
          <w:lang w:eastAsia="sv-SE"/>
        </w:rPr>
      </w:pPr>
      <w:r w:rsidRPr="0074520F">
        <w:rPr>
          <w:lang w:eastAsia="sv-SE"/>
        </w:rPr>
        <w:t xml:space="preserve">Inflationen har totalt sett ökat med 8,5 procent per år i två års tid. Det innebär att även om arbetstagarna har fått löneökningar </w:t>
      </w:r>
      <w:r w:rsidRPr="0074520F" w:rsidR="002049C3">
        <w:rPr>
          <w:lang w:eastAsia="sv-SE"/>
        </w:rPr>
        <w:t>på 3</w:t>
      </w:r>
      <w:r w:rsidRPr="0074520F" w:rsidR="0095019E">
        <w:rPr>
          <w:lang w:eastAsia="sv-SE"/>
        </w:rPr>
        <w:t>–</w:t>
      </w:r>
      <w:r w:rsidRPr="0074520F" w:rsidR="002049C3">
        <w:rPr>
          <w:lang w:eastAsia="sv-SE"/>
        </w:rPr>
        <w:t>4 procent per år så har reallönen ändå minskat med 10 procent sedan 2021.</w:t>
      </w:r>
      <w:r w:rsidRPr="0074520F" w:rsidR="0095019E">
        <w:rPr>
          <w:lang w:eastAsia="sv-SE"/>
        </w:rPr>
        <w:t xml:space="preserve"> För den som har a-kassa, aktivitetsstöd, etablerings</w:t>
      </w:r>
      <w:r w:rsidR="00A14A90">
        <w:rPr>
          <w:lang w:eastAsia="sv-SE"/>
        </w:rPr>
        <w:softHyphen/>
      </w:r>
      <w:r w:rsidRPr="0074520F" w:rsidR="0095019E">
        <w:rPr>
          <w:lang w:eastAsia="sv-SE"/>
        </w:rPr>
        <w:t>ersättning eller dagersättning som asylsökande ökar inte inkomsterna alls</w:t>
      </w:r>
      <w:r w:rsidRPr="0074520F" w:rsidR="00D73884">
        <w:rPr>
          <w:lang w:eastAsia="sv-SE"/>
        </w:rPr>
        <w:t xml:space="preserve"> – så </w:t>
      </w:r>
      <w:r w:rsidR="0075268E">
        <w:rPr>
          <w:lang w:eastAsia="sv-SE"/>
        </w:rPr>
        <w:t xml:space="preserve">de </w:t>
      </w:r>
      <w:r w:rsidRPr="0074520F" w:rsidR="00D73884">
        <w:rPr>
          <w:lang w:eastAsia="sv-SE"/>
        </w:rPr>
        <w:t>dispo</w:t>
      </w:r>
      <w:r w:rsidR="00A14A90">
        <w:rPr>
          <w:lang w:eastAsia="sv-SE"/>
        </w:rPr>
        <w:softHyphen/>
      </w:r>
      <w:r w:rsidRPr="0074520F" w:rsidR="00D73884">
        <w:rPr>
          <w:lang w:eastAsia="sv-SE"/>
        </w:rPr>
        <w:t>nibl</w:t>
      </w:r>
      <w:r w:rsidR="0075268E">
        <w:rPr>
          <w:lang w:eastAsia="sv-SE"/>
        </w:rPr>
        <w:t xml:space="preserve">a </w:t>
      </w:r>
      <w:r w:rsidRPr="0074520F" w:rsidR="00D73884">
        <w:rPr>
          <w:lang w:eastAsia="sv-SE"/>
        </w:rPr>
        <w:t>inkomsterna faller i takt med inflationen</w:t>
      </w:r>
      <w:r w:rsidRPr="0074520F" w:rsidR="0095019E">
        <w:rPr>
          <w:lang w:eastAsia="sv-SE"/>
        </w:rPr>
        <w:t>. A-kassan sänks dessutom för många vid dag 101 och 201.</w:t>
      </w:r>
      <w:r w:rsidRPr="0074520F" w:rsidR="00123D51">
        <w:rPr>
          <w:lang w:eastAsia="sv-SE"/>
        </w:rPr>
        <w:t xml:space="preserve"> </w:t>
      </w:r>
    </w:p>
    <w:p w:rsidRPr="0074520F" w:rsidR="00586279" w:rsidP="00371789" w:rsidRDefault="00586279" w14:paraId="704A1D88" w14:textId="41DEB55A">
      <w:pPr>
        <w:rPr>
          <w:rFonts w:eastAsia="Times New Roman"/>
          <w:lang w:eastAsia="sv-SE"/>
        </w:rPr>
      </w:pPr>
      <w:r w:rsidRPr="0074520F">
        <w:rPr>
          <w:rFonts w:eastAsia="Times New Roman"/>
          <w:lang w:eastAsia="sv-SE"/>
        </w:rPr>
        <w:t>De senaste årens snabba prisökningar på basvaror såsom el, boende, mat och driv</w:t>
      </w:r>
      <w:r w:rsidR="00A14A90">
        <w:rPr>
          <w:rFonts w:eastAsia="Times New Roman"/>
          <w:lang w:eastAsia="sv-SE"/>
        </w:rPr>
        <w:softHyphen/>
      </w:r>
      <w:r w:rsidRPr="0074520F">
        <w:rPr>
          <w:rFonts w:eastAsia="Times New Roman"/>
          <w:lang w:eastAsia="sv-SE"/>
        </w:rPr>
        <w:t xml:space="preserve">medel gör att fler hushåll får svårt att klara sin grundläggande försörjning. På </w:t>
      </w:r>
      <w:r w:rsidRPr="0074520F" w:rsidR="00B9410C">
        <w:rPr>
          <w:rFonts w:eastAsia="Times New Roman"/>
          <w:lang w:eastAsia="sv-SE"/>
        </w:rPr>
        <w:t>två</w:t>
      </w:r>
      <w:r w:rsidRPr="0074520F">
        <w:rPr>
          <w:rFonts w:eastAsia="Times New Roman"/>
          <w:lang w:eastAsia="sv-SE"/>
        </w:rPr>
        <w:t xml:space="preserve"> år</w:t>
      </w:r>
      <w:r w:rsidRPr="0074520F" w:rsidR="00B9410C">
        <w:rPr>
          <w:rFonts w:eastAsia="Times New Roman"/>
          <w:lang w:eastAsia="sv-SE"/>
        </w:rPr>
        <w:t xml:space="preserve"> har </w:t>
      </w:r>
      <w:r w:rsidRPr="0074520F">
        <w:rPr>
          <w:rFonts w:eastAsia="Times New Roman"/>
          <w:lang w:eastAsia="sv-SE"/>
        </w:rPr>
        <w:t xml:space="preserve">boendekostnaderna ökat med </w:t>
      </w:r>
      <w:r w:rsidRPr="0074520F" w:rsidR="00B9410C">
        <w:rPr>
          <w:rFonts w:eastAsia="Times New Roman"/>
          <w:lang w:eastAsia="sv-SE"/>
        </w:rPr>
        <w:t>26</w:t>
      </w:r>
      <w:r w:rsidRPr="0074520F">
        <w:rPr>
          <w:rFonts w:eastAsia="Times New Roman"/>
          <w:lang w:eastAsia="sv-SE"/>
        </w:rPr>
        <w:t xml:space="preserve"> procent och livsmedelspriserna med </w:t>
      </w:r>
      <w:r w:rsidRPr="0074520F" w:rsidR="00B9410C">
        <w:rPr>
          <w:rFonts w:eastAsia="Times New Roman"/>
          <w:lang w:eastAsia="sv-SE"/>
        </w:rPr>
        <w:t>25</w:t>
      </w:r>
      <w:r w:rsidRPr="0074520F">
        <w:rPr>
          <w:rFonts w:eastAsia="Times New Roman"/>
          <w:lang w:eastAsia="sv-SE"/>
        </w:rPr>
        <w:t xml:space="preserve"> procent, enligt SCB:s </w:t>
      </w:r>
      <w:r w:rsidR="0061762F">
        <w:rPr>
          <w:rFonts w:eastAsia="Times New Roman"/>
          <w:lang w:eastAsia="sv-SE"/>
        </w:rPr>
        <w:t>k</w:t>
      </w:r>
      <w:r w:rsidRPr="0074520F">
        <w:rPr>
          <w:rFonts w:eastAsia="Times New Roman"/>
          <w:lang w:eastAsia="sv-SE"/>
        </w:rPr>
        <w:t>onsumentprisindex. Boende, livsmedel och transporter utgör mer än hälften av hushållens utgifter. För hushåll med mindre marginaler utgör dessa utgifter nu större del</w:t>
      </w:r>
      <w:r w:rsidRPr="0074520F" w:rsidR="00B9410C">
        <w:rPr>
          <w:rFonts w:eastAsia="Times New Roman"/>
          <w:lang w:eastAsia="sv-SE"/>
        </w:rPr>
        <w:t>en</w:t>
      </w:r>
      <w:r w:rsidRPr="0074520F">
        <w:rPr>
          <w:rFonts w:eastAsia="Times New Roman"/>
          <w:lang w:eastAsia="sv-SE"/>
        </w:rPr>
        <w:t xml:space="preserve"> av den samlade konsumtionen. Det handlar om nödvändiga utgifter som är svåra att ersätta eller minska.</w:t>
      </w:r>
    </w:p>
    <w:p w:rsidRPr="0074520F" w:rsidR="00371789" w:rsidP="00371789" w:rsidRDefault="00371789" w14:paraId="463380DF" w14:textId="06921A06">
      <w:pPr>
        <w:rPr>
          <w:lang w:eastAsia="sv-SE"/>
        </w:rPr>
      </w:pPr>
      <w:r w:rsidRPr="00E726DA">
        <w:rPr>
          <w:spacing w:val="-3"/>
          <w:lang w:eastAsia="sv-SE"/>
        </w:rPr>
        <w:t>Barnfamiljer lägger en större andel av sin inkomst på mat och boende. Dessa familjer</w:t>
      </w:r>
      <w:r w:rsidRPr="0074520F">
        <w:rPr>
          <w:lang w:eastAsia="sv-SE"/>
        </w:rPr>
        <w:t xml:space="preserve"> är också i högre utsträckning beroende av stöd från samhället. Varken underhållsstödet, barnbidraget eller bostadsbidraget är indexera</w:t>
      </w:r>
      <w:r w:rsidR="00A71CC9">
        <w:rPr>
          <w:lang w:eastAsia="sv-SE"/>
        </w:rPr>
        <w:t>t,</w:t>
      </w:r>
      <w:r w:rsidRPr="0074520F">
        <w:rPr>
          <w:lang w:eastAsia="sv-SE"/>
        </w:rPr>
        <w:t xml:space="preserve"> och </w:t>
      </w:r>
      <w:r w:rsidR="00A71CC9">
        <w:rPr>
          <w:lang w:eastAsia="sv-SE"/>
        </w:rPr>
        <w:t xml:space="preserve">de </w:t>
      </w:r>
      <w:r w:rsidRPr="0074520F">
        <w:rPr>
          <w:lang w:eastAsia="sv-SE"/>
        </w:rPr>
        <w:t>har därför urholkats i takt med inflationen.</w:t>
      </w:r>
    </w:p>
    <w:p w:rsidRPr="0074520F" w:rsidR="006503CC" w:rsidP="006503CC" w:rsidRDefault="006503CC" w14:paraId="1208A56F" w14:textId="54267AA2">
      <w:pPr>
        <w:rPr>
          <w:rFonts w:eastAsia="Times New Roman"/>
          <w:lang w:eastAsia="sv-SE"/>
        </w:rPr>
      </w:pPr>
      <w:r w:rsidRPr="0074520F">
        <w:rPr>
          <w:rFonts w:eastAsia="Times New Roman"/>
          <w:lang w:eastAsia="sv-SE"/>
        </w:rPr>
        <w:t>SCB gör årligen undersökningar om befolkningens levnadsförhållanden. Att inte ha råd med en viss levnadsstandard karakteriseras som at</w:t>
      </w:r>
      <w:r w:rsidRPr="0074520F" w:rsidR="005D1A85">
        <w:rPr>
          <w:rFonts w:eastAsia="Times New Roman"/>
          <w:lang w:eastAsia="sv-SE"/>
        </w:rPr>
        <w:t>t</w:t>
      </w:r>
      <w:r w:rsidRPr="0074520F">
        <w:rPr>
          <w:rFonts w:eastAsia="Times New Roman"/>
          <w:lang w:eastAsia="sv-SE"/>
        </w:rPr>
        <w:t xml:space="preserve"> man lever i materiell och social fattigdom. För att mäta det undersöks om personer</w:t>
      </w:r>
    </w:p>
    <w:p w:rsidRPr="0074520F" w:rsidR="006503CC" w:rsidP="00D950ED" w:rsidRDefault="008C481D" w14:paraId="70BF4393" w14:textId="7C9FEB77">
      <w:pPr>
        <w:pStyle w:val="ListaLinje"/>
        <w:ind w:left="284" w:hanging="284"/>
        <w:rPr>
          <w:rFonts w:eastAsia="Times New Roman"/>
          <w:lang w:eastAsia="sv-SE"/>
        </w:rPr>
      </w:pPr>
      <w:r>
        <w:rPr>
          <w:rFonts w:eastAsia="Times New Roman"/>
          <w:lang w:eastAsia="sv-SE"/>
        </w:rPr>
        <w:t>k</w:t>
      </w:r>
      <w:r w:rsidRPr="0074520F" w:rsidR="006503CC">
        <w:rPr>
          <w:rFonts w:eastAsia="Times New Roman"/>
          <w:lang w:eastAsia="sv-SE"/>
        </w:rPr>
        <w:t>an betala oförutsedda utgifter på minst 13</w:t>
      </w:r>
      <w:r w:rsidRPr="0074520F" w:rsidR="002A1BB8">
        <w:rPr>
          <w:rFonts w:eastAsia="Times New Roman"/>
          <w:lang w:eastAsia="sv-SE"/>
        </w:rPr>
        <w:t> </w:t>
      </w:r>
      <w:r w:rsidRPr="0074520F" w:rsidR="006503CC">
        <w:rPr>
          <w:rFonts w:eastAsia="Times New Roman"/>
          <w:lang w:eastAsia="sv-SE"/>
        </w:rPr>
        <w:t>000 kronor utan att låna eller be om hjälp</w:t>
      </w:r>
    </w:p>
    <w:p w:rsidRPr="0074520F" w:rsidR="006503CC" w:rsidP="00D950ED" w:rsidRDefault="008C481D" w14:paraId="74905DB4" w14:textId="49B2446A">
      <w:pPr>
        <w:pStyle w:val="ListaLinje"/>
        <w:ind w:left="284" w:hanging="284"/>
        <w:rPr>
          <w:rFonts w:eastAsia="Times New Roman"/>
          <w:lang w:eastAsia="sv-SE"/>
        </w:rPr>
      </w:pPr>
      <w:r>
        <w:rPr>
          <w:rFonts w:eastAsia="Times New Roman"/>
          <w:lang w:eastAsia="sv-SE"/>
        </w:rPr>
        <w:t>h</w:t>
      </w:r>
      <w:r w:rsidRPr="0074520F" w:rsidR="006503CC">
        <w:rPr>
          <w:rFonts w:eastAsia="Times New Roman"/>
          <w:lang w:eastAsia="sv-SE"/>
        </w:rPr>
        <w:t>ar råd med en veckas semester per år</w:t>
      </w:r>
    </w:p>
    <w:p w:rsidRPr="0074520F" w:rsidR="006503CC" w:rsidP="00D950ED" w:rsidRDefault="008C481D" w14:paraId="6167B39B" w14:textId="6CB5027A">
      <w:pPr>
        <w:pStyle w:val="ListaLinje"/>
        <w:ind w:left="284" w:hanging="284"/>
        <w:rPr>
          <w:rFonts w:eastAsia="Times New Roman"/>
          <w:lang w:eastAsia="sv-SE"/>
        </w:rPr>
      </w:pPr>
      <w:r>
        <w:rPr>
          <w:rFonts w:eastAsia="Times New Roman"/>
          <w:lang w:eastAsia="sv-SE"/>
        </w:rPr>
        <w:t>k</w:t>
      </w:r>
      <w:r w:rsidRPr="0074520F" w:rsidR="006503CC">
        <w:rPr>
          <w:rFonts w:eastAsia="Times New Roman"/>
          <w:lang w:eastAsia="sv-SE"/>
        </w:rPr>
        <w:t>an betala skulder: bostadslån, hyra, räkningar, avbetalningsköp</w:t>
      </w:r>
    </w:p>
    <w:p w:rsidRPr="0074520F" w:rsidR="006503CC" w:rsidP="00D950ED" w:rsidRDefault="008C481D" w14:paraId="62622CD4" w14:textId="12FD94EB">
      <w:pPr>
        <w:pStyle w:val="ListaLinje"/>
        <w:ind w:left="284" w:hanging="284"/>
        <w:rPr>
          <w:rFonts w:eastAsia="Times New Roman"/>
          <w:lang w:eastAsia="sv-SE"/>
        </w:rPr>
      </w:pPr>
      <w:r>
        <w:rPr>
          <w:rFonts w:eastAsia="Times New Roman"/>
          <w:lang w:eastAsia="sv-SE"/>
        </w:rPr>
        <w:t>h</w:t>
      </w:r>
      <w:r w:rsidRPr="0074520F" w:rsidR="006503CC">
        <w:rPr>
          <w:rFonts w:eastAsia="Times New Roman"/>
          <w:lang w:eastAsia="sv-SE"/>
        </w:rPr>
        <w:t>ar råd med en måltid med kött, kyckling, fisk eller motsvarande vegetariskt alternativ varannan dag</w:t>
      </w:r>
    </w:p>
    <w:p w:rsidRPr="0074520F" w:rsidR="006503CC" w:rsidP="00D950ED" w:rsidRDefault="008C481D" w14:paraId="6B5EB3F4" w14:textId="241607DA">
      <w:pPr>
        <w:pStyle w:val="ListaLinje"/>
        <w:ind w:left="284" w:hanging="284"/>
        <w:rPr>
          <w:rFonts w:eastAsia="Times New Roman"/>
          <w:lang w:eastAsia="sv-SE"/>
        </w:rPr>
      </w:pPr>
      <w:r>
        <w:rPr>
          <w:rFonts w:eastAsia="Times New Roman"/>
          <w:lang w:eastAsia="sv-SE"/>
        </w:rPr>
        <w:t>h</w:t>
      </w:r>
      <w:r w:rsidRPr="0074520F" w:rsidR="006503CC">
        <w:rPr>
          <w:rFonts w:eastAsia="Times New Roman"/>
          <w:lang w:eastAsia="sv-SE"/>
        </w:rPr>
        <w:t>ar råd att hålla bostaden tillräckligt varm</w:t>
      </w:r>
    </w:p>
    <w:p w:rsidRPr="0074520F" w:rsidR="006503CC" w:rsidP="00D950ED" w:rsidRDefault="008C481D" w14:paraId="2B2A89E8" w14:textId="08BE7524">
      <w:pPr>
        <w:pStyle w:val="ListaLinje"/>
        <w:ind w:left="284" w:hanging="284"/>
        <w:rPr>
          <w:rFonts w:eastAsia="Times New Roman"/>
          <w:lang w:eastAsia="sv-SE"/>
        </w:rPr>
      </w:pPr>
      <w:r>
        <w:rPr>
          <w:rFonts w:eastAsia="Times New Roman"/>
          <w:lang w:eastAsia="sv-SE"/>
        </w:rPr>
        <w:t>h</w:t>
      </w:r>
      <w:r w:rsidRPr="0074520F" w:rsidR="006503CC">
        <w:rPr>
          <w:rFonts w:eastAsia="Times New Roman"/>
          <w:lang w:eastAsia="sv-SE"/>
        </w:rPr>
        <w:t>ar tillgång till bil</w:t>
      </w:r>
    </w:p>
    <w:p w:rsidRPr="0074520F" w:rsidR="006503CC" w:rsidP="00D950ED" w:rsidRDefault="008C481D" w14:paraId="19F96346" w14:textId="67129887">
      <w:pPr>
        <w:pStyle w:val="ListaLinje"/>
        <w:ind w:left="284" w:hanging="284"/>
        <w:rPr>
          <w:rFonts w:eastAsia="Times New Roman"/>
          <w:lang w:eastAsia="sv-SE"/>
        </w:rPr>
      </w:pPr>
      <w:r>
        <w:rPr>
          <w:rFonts w:eastAsia="Times New Roman"/>
          <w:lang w:eastAsia="sv-SE"/>
        </w:rPr>
        <w:lastRenderedPageBreak/>
        <w:t>h</w:t>
      </w:r>
      <w:r w:rsidRPr="0074520F" w:rsidR="006503CC">
        <w:rPr>
          <w:rFonts w:eastAsia="Times New Roman"/>
          <w:lang w:eastAsia="sv-SE"/>
        </w:rPr>
        <w:t>ar tillgång till internet</w:t>
      </w:r>
    </w:p>
    <w:p w:rsidRPr="0074520F" w:rsidR="006503CC" w:rsidP="00D950ED" w:rsidRDefault="008C481D" w14:paraId="0F622DAE" w14:textId="7465CD6F">
      <w:pPr>
        <w:pStyle w:val="ListaLinje"/>
        <w:ind w:left="284" w:hanging="284"/>
        <w:rPr>
          <w:rFonts w:eastAsia="Times New Roman"/>
          <w:lang w:eastAsia="sv-SE"/>
        </w:rPr>
      </w:pPr>
      <w:r>
        <w:rPr>
          <w:rFonts w:eastAsia="Times New Roman"/>
          <w:lang w:eastAsia="sv-SE"/>
        </w:rPr>
        <w:t>h</w:t>
      </w:r>
      <w:r w:rsidRPr="0074520F" w:rsidR="006503CC">
        <w:rPr>
          <w:rFonts w:eastAsia="Times New Roman"/>
          <w:lang w:eastAsia="sv-SE"/>
        </w:rPr>
        <w:t>ar råd att ersätta utslitna möbler</w:t>
      </w:r>
    </w:p>
    <w:p w:rsidRPr="0074520F" w:rsidR="006503CC" w:rsidP="00D950ED" w:rsidRDefault="008C481D" w14:paraId="447F16FF" w14:textId="5B6E4DD2">
      <w:pPr>
        <w:pStyle w:val="ListaLinje"/>
        <w:ind w:left="284" w:hanging="284"/>
        <w:rPr>
          <w:rFonts w:eastAsia="Times New Roman"/>
          <w:lang w:eastAsia="sv-SE"/>
        </w:rPr>
      </w:pPr>
      <w:r>
        <w:rPr>
          <w:rFonts w:eastAsia="Times New Roman"/>
          <w:lang w:eastAsia="sv-SE"/>
        </w:rPr>
        <w:t>h</w:t>
      </w:r>
      <w:r w:rsidRPr="0074520F" w:rsidR="006503CC">
        <w:rPr>
          <w:rFonts w:eastAsia="Times New Roman"/>
          <w:lang w:eastAsia="sv-SE"/>
        </w:rPr>
        <w:t>ar råd att ersätta utslitna kläder</w:t>
      </w:r>
    </w:p>
    <w:p w:rsidRPr="0074520F" w:rsidR="006503CC" w:rsidP="00D950ED" w:rsidRDefault="008C481D" w14:paraId="5AA2039C" w14:textId="3D0F887E">
      <w:pPr>
        <w:pStyle w:val="ListaLinje"/>
        <w:ind w:left="284" w:hanging="284"/>
        <w:rPr>
          <w:rFonts w:eastAsia="Times New Roman"/>
          <w:lang w:eastAsia="sv-SE"/>
        </w:rPr>
      </w:pPr>
      <w:r>
        <w:rPr>
          <w:rFonts w:eastAsia="Times New Roman"/>
          <w:lang w:eastAsia="sv-SE"/>
        </w:rPr>
        <w:t>h</w:t>
      </w:r>
      <w:r w:rsidRPr="0074520F" w:rsidR="006503CC">
        <w:rPr>
          <w:rFonts w:eastAsia="Times New Roman"/>
          <w:lang w:eastAsia="sv-SE"/>
        </w:rPr>
        <w:t>ar två par skor</w:t>
      </w:r>
    </w:p>
    <w:p w:rsidRPr="0074520F" w:rsidR="006503CC" w:rsidP="00D950ED" w:rsidRDefault="008C481D" w14:paraId="147162BF" w14:textId="0943EF86">
      <w:pPr>
        <w:pStyle w:val="ListaLinje"/>
        <w:ind w:left="284" w:hanging="284"/>
        <w:rPr>
          <w:rFonts w:eastAsia="Times New Roman"/>
          <w:lang w:eastAsia="sv-SE"/>
        </w:rPr>
      </w:pPr>
      <w:r>
        <w:rPr>
          <w:rFonts w:eastAsia="Times New Roman"/>
          <w:lang w:eastAsia="sv-SE"/>
        </w:rPr>
        <w:t>h</w:t>
      </w:r>
      <w:r w:rsidRPr="0074520F" w:rsidR="006503CC">
        <w:rPr>
          <w:rFonts w:eastAsia="Times New Roman"/>
          <w:lang w:eastAsia="sv-SE"/>
        </w:rPr>
        <w:t>ar råd att spendera en mindre summa på sig själv varje vecka</w:t>
      </w:r>
    </w:p>
    <w:p w:rsidRPr="0074520F" w:rsidR="006503CC" w:rsidP="00D950ED" w:rsidRDefault="008C481D" w14:paraId="5CE60284" w14:textId="14D683CA">
      <w:pPr>
        <w:pStyle w:val="ListaLinje"/>
        <w:ind w:left="284" w:hanging="284"/>
        <w:rPr>
          <w:rFonts w:eastAsia="Times New Roman"/>
          <w:lang w:eastAsia="sv-SE"/>
        </w:rPr>
      </w:pPr>
      <w:r>
        <w:rPr>
          <w:rFonts w:eastAsia="Times New Roman"/>
          <w:lang w:eastAsia="sv-SE"/>
        </w:rPr>
        <w:t>h</w:t>
      </w:r>
      <w:r w:rsidRPr="0074520F" w:rsidR="006503CC">
        <w:rPr>
          <w:rFonts w:eastAsia="Times New Roman"/>
          <w:lang w:eastAsia="sv-SE"/>
        </w:rPr>
        <w:t>ar råd att regelbundet delta i någon fritidsaktivitet som kostar pengar</w:t>
      </w:r>
    </w:p>
    <w:p w:rsidRPr="0074520F" w:rsidR="006503CC" w:rsidP="00D950ED" w:rsidRDefault="008C481D" w14:paraId="1D9DFB74" w14:textId="363A6C95">
      <w:pPr>
        <w:pStyle w:val="ListaLinje"/>
        <w:ind w:left="284" w:hanging="284"/>
        <w:rPr>
          <w:rFonts w:eastAsia="Times New Roman"/>
          <w:lang w:eastAsia="sv-SE"/>
        </w:rPr>
      </w:pPr>
      <w:r>
        <w:rPr>
          <w:rFonts w:eastAsia="Times New Roman"/>
          <w:lang w:eastAsia="sv-SE"/>
        </w:rPr>
        <w:t>h</w:t>
      </w:r>
      <w:r w:rsidRPr="0074520F" w:rsidR="006503CC">
        <w:rPr>
          <w:rFonts w:eastAsia="Times New Roman"/>
          <w:lang w:eastAsia="sv-SE"/>
        </w:rPr>
        <w:t>ar råd att träffa familj eller vänner för att fika eller äta middag minst en gång i månaden</w:t>
      </w:r>
      <w:r>
        <w:rPr>
          <w:rFonts w:eastAsia="Times New Roman"/>
          <w:lang w:eastAsia="sv-SE"/>
        </w:rPr>
        <w:t>.</w:t>
      </w:r>
    </w:p>
    <w:p w:rsidRPr="0074520F" w:rsidR="00A95584" w:rsidP="003F1EA1" w:rsidRDefault="006503CC" w14:paraId="29EF1622" w14:textId="1846F042">
      <w:pPr>
        <w:pStyle w:val="Normalutanindragellerluft"/>
        <w:rPr>
          <w:rFonts w:eastAsia="Times New Roman"/>
          <w:lang w:eastAsia="sv-SE"/>
        </w:rPr>
      </w:pPr>
      <w:r w:rsidRPr="0074520F">
        <w:rPr>
          <w:rFonts w:eastAsia="Times New Roman"/>
          <w:lang w:eastAsia="sv-SE"/>
        </w:rPr>
        <w:t>Närmare 1,7 miljoner människor i Sverige bor i hushåll som saknar kontantmarginal</w:t>
      </w:r>
      <w:r w:rsidRPr="0074520F" w:rsidR="00DA24A0">
        <w:rPr>
          <w:rFonts w:eastAsia="Times New Roman"/>
          <w:lang w:eastAsia="sv-SE"/>
        </w:rPr>
        <w:t xml:space="preserve">, </w:t>
      </w:r>
      <w:r w:rsidRPr="0074520F">
        <w:rPr>
          <w:rFonts w:eastAsia="Times New Roman"/>
          <w:lang w:eastAsia="sv-SE"/>
        </w:rPr>
        <w:t>dvs</w:t>
      </w:r>
      <w:r w:rsidRPr="0074520F" w:rsidR="002A1BB8">
        <w:rPr>
          <w:rFonts w:eastAsia="Times New Roman"/>
          <w:lang w:eastAsia="sv-SE"/>
        </w:rPr>
        <w:t>.</w:t>
      </w:r>
      <w:r w:rsidRPr="0074520F">
        <w:rPr>
          <w:rFonts w:eastAsia="Times New Roman"/>
          <w:lang w:eastAsia="sv-SE"/>
        </w:rPr>
        <w:t xml:space="preserve"> förmågan att betala en oförutsedd utgift på minst 13 000 kronor.</w:t>
      </w:r>
      <w:r w:rsidRPr="0074520F">
        <w:rPr>
          <w:rStyle w:val="Fotnotsreferens"/>
          <w:rFonts w:eastAsia="Times New Roman"/>
          <w:lang w:eastAsia="sv-SE"/>
        </w:rPr>
        <w:footnoteReference w:id="47"/>
      </w:r>
      <w:r w:rsidRPr="0074520F" w:rsidR="005D1A85">
        <w:rPr>
          <w:rFonts w:eastAsia="Times New Roman"/>
          <w:lang w:eastAsia="sv-SE"/>
        </w:rPr>
        <w:t xml:space="preserve"> </w:t>
      </w:r>
      <w:r w:rsidRPr="0074520F" w:rsidR="00A95584">
        <w:rPr>
          <w:rFonts w:eastAsia="Times New Roman"/>
          <w:lang w:eastAsia="sv-SE"/>
        </w:rPr>
        <w:t>Det är 20 procent av samtliga hushåll i landet. Av ensamstående kvinnor med barn var det så stor andel som 57 procent som sakande kontantmarginal</w:t>
      </w:r>
      <w:r w:rsidRPr="0074520F" w:rsidR="00472147">
        <w:rPr>
          <w:rFonts w:eastAsia="Times New Roman"/>
          <w:lang w:eastAsia="sv-SE"/>
        </w:rPr>
        <w:t xml:space="preserve"> 2023</w:t>
      </w:r>
      <w:r w:rsidRPr="0074520F" w:rsidR="00A95584">
        <w:rPr>
          <w:rFonts w:eastAsia="Times New Roman"/>
          <w:lang w:eastAsia="sv-SE"/>
        </w:rPr>
        <w:t>. Mer än en fjärdedel av ensamstående kvinnor med barn har inte råd att åka på en veckas semester eller att spendera en mindre summa på sig själv</w:t>
      </w:r>
      <w:r w:rsidRPr="0074520F" w:rsidR="00AA5FC3">
        <w:rPr>
          <w:rFonts w:eastAsia="Times New Roman"/>
          <w:lang w:eastAsia="sv-SE"/>
        </w:rPr>
        <w:t>.</w:t>
      </w:r>
    </w:p>
    <w:p w:rsidRPr="0074520F" w:rsidR="00AA5FC3" w:rsidP="00AA5FC3" w:rsidRDefault="00AA5FC3" w14:paraId="55887D05" w14:textId="73DA2311">
      <w:pPr>
        <w:pStyle w:val="Tabellrubrik"/>
      </w:pPr>
      <w:r w:rsidRPr="0074520F">
        <w:rPr>
          <w:lang w:eastAsia="sv-SE"/>
        </w:rPr>
        <w:t xml:space="preserve">Figur </w:t>
      </w:r>
      <w:r w:rsidRPr="0074520F" w:rsidR="00CD2127">
        <w:rPr>
          <w:lang w:eastAsia="sv-SE"/>
        </w:rPr>
        <w:t>18</w:t>
      </w:r>
      <w:r w:rsidRPr="0074520F">
        <w:rPr>
          <w:lang w:eastAsia="sv-SE"/>
        </w:rPr>
        <w:t xml:space="preserve"> Andel ensamstående föräldrar med ekonomiska svårigheter 2023</w:t>
      </w:r>
    </w:p>
    <w:p w:rsidRPr="0074520F" w:rsidR="00AA5FC3" w:rsidP="00AA5FC3" w:rsidRDefault="00AA5FC3" w14:paraId="76E6D8D0" w14:textId="23A7340D">
      <w:pPr>
        <w:pStyle w:val="Tabellunderrubrik"/>
      </w:pPr>
      <w:r w:rsidRPr="0074520F">
        <w:t>K</w:t>
      </w:r>
      <w:r w:rsidRPr="0074520F">
        <w:rPr>
          <w:lang w:eastAsia="sv-SE"/>
        </w:rPr>
        <w:t xml:space="preserve">vinnor och män </w:t>
      </w:r>
    </w:p>
    <w:p w:rsidRPr="0074520F" w:rsidR="005D1A85" w:rsidP="00AA5FC3" w:rsidRDefault="00AA5FC3" w14:paraId="30101018" w14:textId="6ABA4701">
      <w:pPr>
        <w:ind w:firstLine="0"/>
        <w:rPr>
          <w:rFonts w:eastAsia="Times New Roman"/>
          <w:lang w:eastAsia="sv-SE"/>
        </w:rPr>
      </w:pPr>
      <w:r w:rsidRPr="0074520F">
        <w:rPr>
          <w:noProof/>
          <w14:numSpacing w14:val="default"/>
        </w:rPr>
        <w:drawing>
          <wp:inline distT="0" distB="0" distL="0" distR="0" wp14:anchorId="0742D3F9" wp14:editId="017BA5F6">
            <wp:extent cx="5399280" cy="2895120"/>
            <wp:effectExtent l="0" t="0" r="11430" b="635"/>
            <wp:docPr id="30" name="Diagram 30" descr="">
              <a:extLst xmlns:a="http://schemas.openxmlformats.org/drawingml/2006/main">
                <a:ext uri="{FF2B5EF4-FFF2-40B4-BE49-F238E27FC236}">
                  <a16:creationId xmlns:a16="http://schemas.microsoft.com/office/drawing/2014/main" id="{D3A07477-1402-4C4E-B278-37CCA4D7FD6F}"/>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74520F" w:rsidR="00A95584">
        <w:rPr>
          <w:rFonts w:eastAsia="Times New Roman"/>
          <w:lang w:eastAsia="sv-SE"/>
        </w:rPr>
        <w:t xml:space="preserve"> </w:t>
      </w:r>
    </w:p>
    <w:p w:rsidRPr="0074520F" w:rsidR="00AA5FC3" w:rsidP="00AA5FC3" w:rsidRDefault="00AA5FC3" w14:paraId="415DDF9F" w14:textId="62F34D10">
      <w:pPr>
        <w:pStyle w:val="Klla"/>
      </w:pPr>
      <w:r w:rsidRPr="0074520F">
        <w:t>Källa: SCB</w:t>
      </w:r>
      <w:r w:rsidR="004C4A0F">
        <w:t>.</w:t>
      </w:r>
    </w:p>
    <w:p w:rsidRPr="0074520F" w:rsidR="00010066" w:rsidP="000E0B16" w:rsidRDefault="0029227A" w14:paraId="7D2D80DF" w14:textId="40357F2D">
      <w:pPr>
        <w:pStyle w:val="Normalutanindragellerluft"/>
        <w:rPr>
          <w:rFonts w:eastAsia="Times New Roman"/>
          <w:lang w:eastAsia="sv-SE"/>
        </w:rPr>
      </w:pPr>
      <w:r w:rsidRPr="00010725">
        <w:rPr>
          <w:rFonts w:eastAsia="Times New Roman"/>
          <w:spacing w:val="-3"/>
          <w:lang w:eastAsia="sv-SE"/>
        </w:rPr>
        <w:t xml:space="preserve">I en undersökning av Rädda </w:t>
      </w:r>
      <w:r w:rsidRPr="00010725" w:rsidR="004C4A0F">
        <w:rPr>
          <w:rFonts w:eastAsia="Times New Roman"/>
          <w:spacing w:val="-3"/>
          <w:lang w:eastAsia="sv-SE"/>
        </w:rPr>
        <w:t>B</w:t>
      </w:r>
      <w:r w:rsidRPr="00010725">
        <w:rPr>
          <w:rFonts w:eastAsia="Times New Roman"/>
          <w:spacing w:val="-3"/>
          <w:lang w:eastAsia="sv-SE"/>
        </w:rPr>
        <w:t xml:space="preserve">arnen, Röda </w:t>
      </w:r>
      <w:r w:rsidRPr="00010725" w:rsidR="004C4A0F">
        <w:rPr>
          <w:rFonts w:eastAsia="Times New Roman"/>
          <w:spacing w:val="-3"/>
          <w:lang w:eastAsia="sv-SE"/>
        </w:rPr>
        <w:t>K</w:t>
      </w:r>
      <w:r w:rsidRPr="00010725">
        <w:rPr>
          <w:rFonts w:eastAsia="Times New Roman"/>
          <w:spacing w:val="-3"/>
          <w:lang w:eastAsia="sv-SE"/>
        </w:rPr>
        <w:t>orset, Hyresgästföreningen och Majblomman</w:t>
      </w:r>
      <w:r w:rsidRPr="0074520F">
        <w:rPr>
          <w:rFonts w:eastAsia="Times New Roman"/>
          <w:lang w:eastAsia="sv-SE"/>
        </w:rPr>
        <w:t xml:space="preserve"> </w:t>
      </w:r>
      <w:r w:rsidRPr="0074520F" w:rsidR="00565345">
        <w:rPr>
          <w:rFonts w:eastAsia="Times New Roman"/>
          <w:lang w:eastAsia="sv-SE"/>
        </w:rPr>
        <w:t>framträder en tydlig bild</w:t>
      </w:r>
      <w:r w:rsidRPr="0074520F" w:rsidR="00665EE8">
        <w:rPr>
          <w:rFonts w:eastAsia="Times New Roman"/>
          <w:lang w:eastAsia="sv-SE"/>
        </w:rPr>
        <w:t xml:space="preserve"> av</w:t>
      </w:r>
      <w:r w:rsidRPr="0074520F">
        <w:rPr>
          <w:rFonts w:eastAsia="Times New Roman"/>
          <w:lang w:eastAsia="sv-SE"/>
        </w:rPr>
        <w:t xml:space="preserve"> situationen för barnfamiljer och familjer med lägre inkomster.</w:t>
      </w:r>
      <w:r w:rsidRPr="0074520F" w:rsidR="00384072">
        <w:rPr>
          <w:rStyle w:val="Fotnotsreferens"/>
          <w:rFonts w:eastAsia="Times New Roman"/>
          <w:lang w:eastAsia="sv-SE"/>
        </w:rPr>
        <w:footnoteReference w:id="48"/>
      </w:r>
      <w:r w:rsidRPr="0074520F" w:rsidR="000E0B16">
        <w:rPr>
          <w:rFonts w:eastAsia="Times New Roman"/>
          <w:lang w:eastAsia="sv-SE"/>
        </w:rPr>
        <w:t xml:space="preserve"> </w:t>
      </w:r>
      <w:r w:rsidRPr="0074520F" w:rsidR="00384072">
        <w:rPr>
          <w:rFonts w:eastAsia="Times New Roman"/>
          <w:lang w:eastAsia="sv-SE"/>
        </w:rPr>
        <w:t>I undersökningen</w:t>
      </w:r>
      <w:r w:rsidR="00572B74">
        <w:rPr>
          <w:rFonts w:eastAsia="Times New Roman"/>
          <w:lang w:eastAsia="sv-SE"/>
        </w:rPr>
        <w:t>,</w:t>
      </w:r>
      <w:r w:rsidRPr="0074520F" w:rsidR="00384072">
        <w:rPr>
          <w:rFonts w:eastAsia="Times New Roman"/>
          <w:lang w:eastAsia="sv-SE"/>
        </w:rPr>
        <w:t xml:space="preserve"> </w:t>
      </w:r>
      <w:r w:rsidRPr="0074520F" w:rsidR="00FF7FA8">
        <w:rPr>
          <w:rFonts w:eastAsia="Times New Roman"/>
          <w:lang w:eastAsia="sv-SE"/>
        </w:rPr>
        <w:t>som gjordes i</w:t>
      </w:r>
      <w:r w:rsidRPr="0074520F" w:rsidR="00384072">
        <w:rPr>
          <w:rFonts w:eastAsia="Times New Roman"/>
          <w:lang w:eastAsia="sv-SE"/>
        </w:rPr>
        <w:t xml:space="preserve"> början av 2024</w:t>
      </w:r>
      <w:r w:rsidR="00572B74">
        <w:rPr>
          <w:rFonts w:eastAsia="Times New Roman"/>
          <w:lang w:eastAsia="sv-SE"/>
        </w:rPr>
        <w:t>,</w:t>
      </w:r>
      <w:r w:rsidRPr="0074520F" w:rsidR="00384072">
        <w:rPr>
          <w:rFonts w:eastAsia="Times New Roman"/>
          <w:lang w:eastAsia="sv-SE"/>
        </w:rPr>
        <w:t xml:space="preserve"> anger </w:t>
      </w:r>
      <w:r w:rsidRPr="0074520F" w:rsidR="000E0B16">
        <w:rPr>
          <w:rFonts w:eastAsia="Times New Roman"/>
          <w:lang w:eastAsia="sv-SE"/>
        </w:rPr>
        <w:t>4</w:t>
      </w:r>
      <w:r w:rsidRPr="0074520F" w:rsidR="00384072">
        <w:rPr>
          <w:rFonts w:eastAsia="Times New Roman"/>
          <w:lang w:eastAsia="sv-SE"/>
        </w:rPr>
        <w:t>2</w:t>
      </w:r>
      <w:r w:rsidRPr="0074520F" w:rsidR="002B3E97">
        <w:rPr>
          <w:rFonts w:eastAsia="Times New Roman"/>
          <w:lang w:eastAsia="sv-SE"/>
        </w:rPr>
        <w:t xml:space="preserve"> procent</w:t>
      </w:r>
      <w:r w:rsidRPr="0074520F" w:rsidR="000E0B16">
        <w:rPr>
          <w:rFonts w:eastAsia="Times New Roman"/>
          <w:lang w:eastAsia="sv-SE"/>
        </w:rPr>
        <w:t xml:space="preserve"> av ensamstående föräldrar med lägre inkomst att de har behövt </w:t>
      </w:r>
      <w:r w:rsidRPr="0074520F" w:rsidR="000E0B16">
        <w:rPr>
          <w:rFonts w:eastAsia="Times New Roman"/>
          <w:i/>
          <w:iCs/>
          <w:lang w:eastAsia="sv-SE"/>
        </w:rPr>
        <w:t>låna</w:t>
      </w:r>
      <w:r w:rsidRPr="0074520F" w:rsidR="000E0B16">
        <w:rPr>
          <w:rFonts w:eastAsia="Times New Roman"/>
          <w:lang w:eastAsia="sv-SE"/>
        </w:rPr>
        <w:t xml:space="preserve"> pengar för att kunna betala det </w:t>
      </w:r>
      <w:r w:rsidRPr="0074520F" w:rsidR="00170CEE">
        <w:rPr>
          <w:rFonts w:eastAsia="Times New Roman"/>
          <w:lang w:eastAsia="sv-SE"/>
        </w:rPr>
        <w:t xml:space="preserve">mest </w:t>
      </w:r>
      <w:r w:rsidRPr="0074520F" w:rsidR="000E0B16">
        <w:rPr>
          <w:rFonts w:eastAsia="Times New Roman"/>
          <w:lang w:eastAsia="sv-SE"/>
        </w:rPr>
        <w:t>grundläggande de senaste sex månaderna.</w:t>
      </w:r>
      <w:r w:rsidRPr="0074520F" w:rsidR="00010066">
        <w:rPr>
          <w:rFonts w:eastAsia="Times New Roman"/>
          <w:lang w:eastAsia="sv-SE"/>
        </w:rPr>
        <w:t xml:space="preserve"> Detta är en kraftig ökning jämfört med resultat från samma undersökning förra året.</w:t>
      </w:r>
      <w:r w:rsidRPr="0074520F" w:rsidR="000E0B16">
        <w:rPr>
          <w:rFonts w:eastAsia="Times New Roman"/>
          <w:lang w:eastAsia="sv-SE"/>
        </w:rPr>
        <w:t xml:space="preserve"> </w:t>
      </w:r>
      <w:r w:rsidRPr="0074520F" w:rsidR="00010066">
        <w:rPr>
          <w:rFonts w:eastAsia="Times New Roman"/>
          <w:lang w:eastAsia="sv-SE"/>
        </w:rPr>
        <w:t>41 procent skulle som mest klara av ökade utgifter på 1</w:t>
      </w:r>
      <w:r w:rsidRPr="0074520F" w:rsidR="002B3E97">
        <w:rPr>
          <w:rFonts w:eastAsia="Times New Roman"/>
          <w:lang w:eastAsia="sv-SE"/>
        </w:rPr>
        <w:t> </w:t>
      </w:r>
      <w:r w:rsidRPr="0074520F" w:rsidR="00010066">
        <w:rPr>
          <w:rFonts w:eastAsia="Times New Roman"/>
          <w:lang w:eastAsia="sv-SE"/>
        </w:rPr>
        <w:t>000 kronor innan det blir svårt att betala räkningarna – också det en kraftig försämring jämfört med förra årets undersökning.</w:t>
      </w:r>
    </w:p>
    <w:p w:rsidRPr="0074520F" w:rsidR="005D7F4E" w:rsidP="00607063" w:rsidRDefault="00010066" w14:paraId="0C17A9E2" w14:textId="038E91BA">
      <w:pPr>
        <w:rPr>
          <w:rFonts w:eastAsia="Times New Roman"/>
          <w:lang w:eastAsia="sv-SE"/>
        </w:rPr>
      </w:pPr>
      <w:r w:rsidRPr="0074520F">
        <w:rPr>
          <w:rFonts w:eastAsia="Times New Roman"/>
          <w:lang w:eastAsia="sv-SE"/>
        </w:rPr>
        <w:t>46 procent av de ensamstående föräldrar som deltog i undersökningen har inte haft råd att köpa näringsriktig mat varje dag i veckan</w:t>
      </w:r>
      <w:r w:rsidR="00572B74">
        <w:rPr>
          <w:rFonts w:eastAsia="Times New Roman"/>
          <w:lang w:eastAsia="sv-SE"/>
        </w:rPr>
        <w:t>,</w:t>
      </w:r>
      <w:r w:rsidRPr="0074520F">
        <w:rPr>
          <w:rFonts w:eastAsia="Times New Roman"/>
          <w:lang w:eastAsia="sv-SE"/>
        </w:rPr>
        <w:t xml:space="preserve"> och 20 procent</w:t>
      </w:r>
      <w:r w:rsidRPr="0074520F" w:rsidR="000E0B16">
        <w:rPr>
          <w:rFonts w:eastAsia="Times New Roman"/>
          <w:lang w:eastAsia="sv-SE"/>
        </w:rPr>
        <w:t xml:space="preserve"> har inte haft råd att äta </w:t>
      </w:r>
      <w:r w:rsidRPr="0074520F" w:rsidR="000E0B16">
        <w:rPr>
          <w:rFonts w:eastAsia="Times New Roman"/>
          <w:lang w:eastAsia="sv-SE"/>
        </w:rPr>
        <w:lastRenderedPageBreak/>
        <w:t>sig mätt</w:t>
      </w:r>
      <w:r w:rsidR="00572B74">
        <w:rPr>
          <w:rFonts w:eastAsia="Times New Roman"/>
          <w:lang w:eastAsia="sv-SE"/>
        </w:rPr>
        <w:t>a</w:t>
      </w:r>
      <w:r w:rsidRPr="0074520F" w:rsidR="000E0B16">
        <w:rPr>
          <w:rFonts w:eastAsia="Times New Roman"/>
          <w:lang w:eastAsia="sv-SE"/>
        </w:rPr>
        <w:t xml:space="preserve"> vid något eller flera tillfällen de senaste sex månaderna.</w:t>
      </w:r>
      <w:r w:rsidRPr="0074520F" w:rsidR="005D7F4E">
        <w:rPr>
          <w:rFonts w:eastAsia="Times New Roman"/>
          <w:lang w:eastAsia="sv-SE"/>
        </w:rPr>
        <w:t xml:space="preserve"> Drygt varannan (54</w:t>
      </w:r>
      <w:r w:rsidRPr="0074520F" w:rsidR="002B3E97">
        <w:rPr>
          <w:rFonts w:eastAsia="Times New Roman"/>
          <w:lang w:eastAsia="sv-SE"/>
        </w:rPr>
        <w:t xml:space="preserve"> procent</w:t>
      </w:r>
      <w:r w:rsidRPr="0074520F" w:rsidR="005D7F4E">
        <w:rPr>
          <w:rFonts w:eastAsia="Times New Roman"/>
          <w:lang w:eastAsia="sv-SE"/>
        </w:rPr>
        <w:t>) ensamstående förälder och 34 procent av de sammanboende föräldrarna har haft svårigheter att betala fritidsaktiviteter till barnen. </w:t>
      </w:r>
    </w:p>
    <w:p w:rsidRPr="0074520F" w:rsidR="005D7F4E" w:rsidP="00607063" w:rsidRDefault="005D7F4E" w14:paraId="7E9A5467" w14:textId="3D9BEC61">
      <w:pPr>
        <w:rPr>
          <w:rFonts w:eastAsia="Times New Roman"/>
          <w:lang w:eastAsia="sv-SE"/>
        </w:rPr>
      </w:pPr>
      <w:r w:rsidRPr="00010725">
        <w:rPr>
          <w:rFonts w:eastAsia="Times New Roman"/>
          <w:spacing w:val="-3"/>
          <w:lang w:eastAsia="sv-SE"/>
        </w:rPr>
        <w:t>Sammantaget visar dessa siffror på en extrem situation för många familjer</w:t>
      </w:r>
      <w:r w:rsidRPr="00010725" w:rsidR="004F62E6">
        <w:rPr>
          <w:rFonts w:eastAsia="Times New Roman"/>
          <w:spacing w:val="-3"/>
          <w:lang w:eastAsia="sv-SE"/>
        </w:rPr>
        <w:t xml:space="preserve">, </w:t>
      </w:r>
      <w:r w:rsidRPr="00010725">
        <w:rPr>
          <w:rFonts w:eastAsia="Times New Roman"/>
          <w:spacing w:val="-3"/>
          <w:lang w:eastAsia="sv-SE"/>
        </w:rPr>
        <w:t>som dess</w:t>
      </w:r>
      <w:r w:rsidRPr="00010725" w:rsidR="00010725">
        <w:rPr>
          <w:rFonts w:eastAsia="Times New Roman"/>
          <w:spacing w:val="-3"/>
          <w:lang w:eastAsia="sv-SE"/>
        </w:rPr>
        <w:softHyphen/>
      </w:r>
      <w:r w:rsidRPr="00010725">
        <w:rPr>
          <w:rFonts w:eastAsia="Times New Roman"/>
          <w:spacing w:val="-3"/>
          <w:lang w:eastAsia="sv-SE"/>
        </w:rPr>
        <w:t>utom</w:t>
      </w:r>
      <w:r w:rsidRPr="0074520F">
        <w:rPr>
          <w:rFonts w:eastAsia="Times New Roman"/>
          <w:lang w:eastAsia="sv-SE"/>
        </w:rPr>
        <w:t xml:space="preserve"> förvärra</w:t>
      </w:r>
      <w:r w:rsidR="00791898">
        <w:rPr>
          <w:rFonts w:eastAsia="Times New Roman"/>
          <w:lang w:eastAsia="sv-SE"/>
        </w:rPr>
        <w:t>de</w:t>
      </w:r>
      <w:r w:rsidRPr="0074520F">
        <w:rPr>
          <w:rFonts w:eastAsia="Times New Roman"/>
          <w:lang w:eastAsia="sv-SE"/>
        </w:rPr>
        <w:t>s under förra året. Organisationerna efter</w:t>
      </w:r>
      <w:r w:rsidRPr="0074520F" w:rsidR="00607063">
        <w:rPr>
          <w:rFonts w:eastAsia="Times New Roman"/>
          <w:lang w:eastAsia="sv-SE"/>
        </w:rPr>
        <w:t>lyser konkreta åtgärder från regeringen</w:t>
      </w:r>
      <w:r w:rsidRPr="0074520F" w:rsidR="004F62E6">
        <w:rPr>
          <w:rFonts w:eastAsia="Times New Roman"/>
          <w:lang w:eastAsia="sv-SE"/>
        </w:rPr>
        <w:t xml:space="preserve"> – </w:t>
      </w:r>
      <w:r w:rsidRPr="0074520F" w:rsidR="00607063">
        <w:rPr>
          <w:rFonts w:eastAsia="Times New Roman"/>
          <w:lang w:eastAsia="sv-SE"/>
        </w:rPr>
        <w:t>såsom höjt bostadsbidrag, höjt barnbidrag, bidrag till fritidsaktiviteter och avgiftsfri kollektivtrafik till barn och unga.</w:t>
      </w:r>
    </w:p>
    <w:p w:rsidRPr="0074520F" w:rsidR="00586279" w:rsidP="00586279" w:rsidRDefault="00586279" w14:paraId="20A31B61" w14:textId="5E6757B0">
      <w:pPr>
        <w:rPr>
          <w:rFonts w:eastAsia="Times New Roman"/>
          <w:lang w:eastAsia="sv-SE"/>
        </w:rPr>
      </w:pPr>
      <w:r w:rsidRPr="0074520F">
        <w:rPr>
          <w:rFonts w:eastAsia="Times New Roman"/>
          <w:lang w:eastAsia="sv-SE"/>
        </w:rPr>
        <w:t xml:space="preserve">Vänsterpartiet har </w:t>
      </w:r>
      <w:r w:rsidRPr="0074520F" w:rsidR="0029227A">
        <w:rPr>
          <w:rFonts w:eastAsia="Times New Roman"/>
          <w:lang w:eastAsia="sv-SE"/>
        </w:rPr>
        <w:t>vid upprepade tillfällen fört fram såväl dessa som andra</w:t>
      </w:r>
      <w:r w:rsidRPr="0074520F">
        <w:rPr>
          <w:rFonts w:eastAsia="Times New Roman"/>
          <w:lang w:eastAsia="sv-SE"/>
        </w:rPr>
        <w:t xml:space="preserve"> förslag för att underlätta för hushållen i krisen. </w:t>
      </w:r>
      <w:r w:rsidRPr="0074520F" w:rsidR="006E4DF8">
        <w:rPr>
          <w:rFonts w:eastAsia="Times New Roman"/>
          <w:lang w:eastAsia="sv-SE"/>
        </w:rPr>
        <w:t xml:space="preserve">Tidigt i krisen föreslog vi </w:t>
      </w:r>
      <w:r w:rsidRPr="0074520F" w:rsidR="00DB69E2">
        <w:rPr>
          <w:rFonts w:eastAsia="Times New Roman"/>
          <w:lang w:eastAsia="sv-SE"/>
        </w:rPr>
        <w:t xml:space="preserve">dessutom </w:t>
      </w:r>
      <w:r w:rsidRPr="0074520F" w:rsidR="006E4DF8">
        <w:rPr>
          <w:rFonts w:eastAsia="Times New Roman"/>
          <w:lang w:eastAsia="sv-SE"/>
        </w:rPr>
        <w:t>att mat</w:t>
      </w:r>
      <w:r w:rsidR="00010725">
        <w:rPr>
          <w:rFonts w:eastAsia="Times New Roman"/>
          <w:lang w:eastAsia="sv-SE"/>
        </w:rPr>
        <w:softHyphen/>
      </w:r>
      <w:r w:rsidRPr="0074520F" w:rsidR="006E4DF8">
        <w:rPr>
          <w:rFonts w:eastAsia="Times New Roman"/>
          <w:lang w:eastAsia="sv-SE"/>
        </w:rPr>
        <w:t>jättarnas möjligheter till prisökningar skulle regleras</w:t>
      </w:r>
      <w:r w:rsidRPr="0074520F" w:rsidR="00632D2A">
        <w:rPr>
          <w:rStyle w:val="Fotnotsreferens"/>
          <w:rFonts w:eastAsia="Times New Roman"/>
          <w:lang w:eastAsia="sv-SE"/>
        </w:rPr>
        <w:footnoteReference w:id="49"/>
      </w:r>
      <w:r w:rsidRPr="0074520F">
        <w:rPr>
          <w:rFonts w:eastAsia="Times New Roman"/>
          <w:lang w:eastAsia="sv-SE"/>
        </w:rPr>
        <w:t xml:space="preserve"> </w:t>
      </w:r>
      <w:r w:rsidR="00B52EB2">
        <w:rPr>
          <w:rFonts w:eastAsia="Times New Roman"/>
          <w:lang w:eastAsia="sv-SE"/>
        </w:rPr>
        <w:t xml:space="preserve">och </w:t>
      </w:r>
      <w:r w:rsidRPr="0074520F" w:rsidR="006E4DF8">
        <w:rPr>
          <w:rFonts w:eastAsia="Times New Roman"/>
          <w:lang w:eastAsia="sv-SE"/>
        </w:rPr>
        <w:t xml:space="preserve">att regeringen skulle pressa fram </w:t>
      </w:r>
      <w:r w:rsidRPr="0074520F">
        <w:rPr>
          <w:rFonts w:eastAsia="Times New Roman"/>
          <w:lang w:eastAsia="sv-SE"/>
        </w:rPr>
        <w:t xml:space="preserve">sänkta boräntor med hjälp av </w:t>
      </w:r>
      <w:r w:rsidRPr="0074520F" w:rsidR="006E4DF8">
        <w:rPr>
          <w:rFonts w:eastAsia="Times New Roman"/>
          <w:lang w:eastAsia="sv-SE"/>
        </w:rPr>
        <w:t xml:space="preserve">den statliga banken </w:t>
      </w:r>
      <w:r w:rsidRPr="0074520F">
        <w:rPr>
          <w:rFonts w:eastAsia="Times New Roman"/>
          <w:lang w:eastAsia="sv-SE"/>
        </w:rPr>
        <w:t>SBAB</w:t>
      </w:r>
      <w:r w:rsidRPr="0074520F" w:rsidR="00B275B7">
        <w:rPr>
          <w:rStyle w:val="Fotnotsreferens"/>
          <w:rFonts w:eastAsia="Times New Roman"/>
          <w:lang w:eastAsia="sv-SE"/>
        </w:rPr>
        <w:footnoteReference w:id="50"/>
      </w:r>
      <w:r w:rsidRPr="0074520F" w:rsidR="006E4DF8">
        <w:rPr>
          <w:rFonts w:eastAsia="Times New Roman"/>
          <w:lang w:eastAsia="sv-SE"/>
        </w:rPr>
        <w:t xml:space="preserve">. Vidare har vi i vår </w:t>
      </w:r>
      <w:r w:rsidRPr="00010725" w:rsidR="006E4DF8">
        <w:rPr>
          <w:rFonts w:eastAsia="Times New Roman"/>
          <w:spacing w:val="-3"/>
          <w:lang w:eastAsia="sv-SE"/>
        </w:rPr>
        <w:t>budgetmotion för 2024 föreslagit</w:t>
      </w:r>
      <w:r w:rsidRPr="00010725">
        <w:rPr>
          <w:rFonts w:eastAsia="Times New Roman"/>
          <w:spacing w:val="-3"/>
          <w:lang w:eastAsia="sv-SE"/>
        </w:rPr>
        <w:t xml:space="preserve"> slopat karensavdrag</w:t>
      </w:r>
      <w:r w:rsidRPr="00010725" w:rsidR="004F62E6">
        <w:rPr>
          <w:rFonts w:eastAsia="Times New Roman"/>
          <w:spacing w:val="-3"/>
          <w:lang w:eastAsia="sv-SE"/>
        </w:rPr>
        <w:t>, bostadsbidrag som följer inkomster</w:t>
      </w:r>
      <w:r w:rsidRPr="0074520F" w:rsidR="004F62E6">
        <w:rPr>
          <w:rFonts w:eastAsia="Times New Roman"/>
          <w:lang w:eastAsia="sv-SE"/>
        </w:rPr>
        <w:t xml:space="preserve"> och hyror,</w:t>
      </w:r>
      <w:r w:rsidRPr="0074520F">
        <w:rPr>
          <w:rFonts w:eastAsia="Times New Roman"/>
          <w:lang w:eastAsia="sv-SE"/>
        </w:rPr>
        <w:t xml:space="preserve"> höjt </w:t>
      </w:r>
      <w:r w:rsidRPr="0074520F" w:rsidR="004F62E6">
        <w:rPr>
          <w:rFonts w:eastAsia="Times New Roman"/>
          <w:lang w:eastAsia="sv-SE"/>
        </w:rPr>
        <w:t xml:space="preserve">och </w:t>
      </w:r>
      <w:proofErr w:type="spellStart"/>
      <w:r w:rsidRPr="0074520F" w:rsidR="004F62E6">
        <w:rPr>
          <w:rFonts w:eastAsia="Times New Roman"/>
          <w:lang w:eastAsia="sv-SE"/>
        </w:rPr>
        <w:t>inflationsskyddat</w:t>
      </w:r>
      <w:proofErr w:type="spellEnd"/>
      <w:r w:rsidRPr="0074520F" w:rsidR="004F62E6">
        <w:rPr>
          <w:rFonts w:eastAsia="Times New Roman"/>
          <w:lang w:eastAsia="sv-SE"/>
        </w:rPr>
        <w:t xml:space="preserve"> </w:t>
      </w:r>
      <w:r w:rsidRPr="0074520F">
        <w:rPr>
          <w:rFonts w:eastAsia="Times New Roman"/>
          <w:lang w:eastAsia="sv-SE"/>
        </w:rPr>
        <w:t>barn</w:t>
      </w:r>
      <w:r w:rsidRPr="0074520F" w:rsidR="004F62E6">
        <w:rPr>
          <w:rFonts w:eastAsia="Times New Roman"/>
          <w:lang w:eastAsia="sv-SE"/>
        </w:rPr>
        <w:t>bidrag samt höjt försörjningsstöd</w:t>
      </w:r>
      <w:r w:rsidRPr="0074520F" w:rsidR="00CA52E3">
        <w:rPr>
          <w:rFonts w:eastAsia="Times New Roman"/>
          <w:lang w:eastAsia="sv-SE"/>
        </w:rPr>
        <w:t xml:space="preserve"> med fokus på barnfamiljerna</w:t>
      </w:r>
      <w:r w:rsidRPr="0074520F" w:rsidR="006E4DF8">
        <w:rPr>
          <w:rFonts w:eastAsia="Times New Roman"/>
          <w:lang w:eastAsia="sv-SE"/>
        </w:rPr>
        <w:t>.</w:t>
      </w:r>
      <w:r w:rsidRPr="0074520F" w:rsidR="00B275B7">
        <w:rPr>
          <w:rStyle w:val="Fotnotsreferens"/>
          <w:rFonts w:eastAsia="Times New Roman"/>
          <w:lang w:eastAsia="sv-SE"/>
        </w:rPr>
        <w:footnoteReference w:id="51"/>
      </w:r>
      <w:r w:rsidRPr="0074520F">
        <w:rPr>
          <w:rFonts w:eastAsia="Times New Roman"/>
          <w:lang w:eastAsia="sv-SE"/>
        </w:rPr>
        <w:t xml:space="preserve"> </w:t>
      </w:r>
      <w:r w:rsidRPr="0074520F" w:rsidR="006E4DF8">
        <w:rPr>
          <w:rFonts w:eastAsia="Times New Roman"/>
          <w:lang w:eastAsia="sv-SE"/>
        </w:rPr>
        <w:t>De</w:t>
      </w:r>
      <w:r w:rsidRPr="0074520F" w:rsidR="00B275B7">
        <w:rPr>
          <w:rFonts w:eastAsia="Times New Roman"/>
          <w:lang w:eastAsia="sv-SE"/>
        </w:rPr>
        <w:t>t</w:t>
      </w:r>
      <w:r w:rsidRPr="0074520F" w:rsidR="006E4DF8">
        <w:rPr>
          <w:rFonts w:eastAsia="Times New Roman"/>
          <w:lang w:eastAsia="sv-SE"/>
        </w:rPr>
        <w:t>t</w:t>
      </w:r>
      <w:r w:rsidRPr="0074520F" w:rsidR="00B275B7">
        <w:rPr>
          <w:rFonts w:eastAsia="Times New Roman"/>
          <w:lang w:eastAsia="sv-SE"/>
        </w:rPr>
        <w:t>a</w:t>
      </w:r>
      <w:r w:rsidRPr="0074520F" w:rsidR="006E4DF8">
        <w:rPr>
          <w:rFonts w:eastAsia="Times New Roman"/>
          <w:lang w:eastAsia="sv-SE"/>
        </w:rPr>
        <w:t xml:space="preserve"> är</w:t>
      </w:r>
      <w:r w:rsidRPr="0074520F">
        <w:rPr>
          <w:rFonts w:eastAsia="Times New Roman"/>
          <w:lang w:eastAsia="sv-SE"/>
        </w:rPr>
        <w:t xml:space="preserve"> åtgärder som </w:t>
      </w:r>
      <w:r w:rsidRPr="0074520F" w:rsidR="006E4DF8">
        <w:rPr>
          <w:rFonts w:eastAsia="Times New Roman"/>
          <w:lang w:eastAsia="sv-SE"/>
        </w:rPr>
        <w:t>skulle ha pressat tillbaka inflationen och samtidigt stärkt</w:t>
      </w:r>
      <w:r w:rsidRPr="0074520F">
        <w:rPr>
          <w:rFonts w:eastAsia="Times New Roman"/>
          <w:lang w:eastAsia="sv-SE"/>
        </w:rPr>
        <w:t xml:space="preserve"> hushållens</w:t>
      </w:r>
      <w:r w:rsidRPr="0074520F" w:rsidR="006E4DF8">
        <w:rPr>
          <w:rFonts w:eastAsia="Times New Roman"/>
          <w:lang w:eastAsia="sv-SE"/>
        </w:rPr>
        <w:t xml:space="preserve"> inkomster och</w:t>
      </w:r>
      <w:r w:rsidRPr="0074520F">
        <w:rPr>
          <w:rFonts w:eastAsia="Times New Roman"/>
          <w:lang w:eastAsia="sv-SE"/>
        </w:rPr>
        <w:t xml:space="preserve"> </w:t>
      </w:r>
      <w:r w:rsidRPr="0074520F" w:rsidR="00B275B7">
        <w:rPr>
          <w:rFonts w:eastAsia="Times New Roman"/>
          <w:lang w:eastAsia="sv-SE"/>
        </w:rPr>
        <w:t xml:space="preserve">därmed förbättrat </w:t>
      </w:r>
      <w:r w:rsidRPr="0074520F">
        <w:rPr>
          <w:rFonts w:eastAsia="Times New Roman"/>
          <w:lang w:eastAsia="sv-SE"/>
        </w:rPr>
        <w:t>köpkraft</w:t>
      </w:r>
      <w:r w:rsidRPr="0074520F" w:rsidR="00B275B7">
        <w:rPr>
          <w:rFonts w:eastAsia="Times New Roman"/>
          <w:lang w:eastAsia="sv-SE"/>
        </w:rPr>
        <w:t>en rejält</w:t>
      </w:r>
      <w:r w:rsidRPr="0074520F">
        <w:rPr>
          <w:rFonts w:eastAsia="Times New Roman"/>
          <w:lang w:eastAsia="sv-SE"/>
        </w:rPr>
        <w:t xml:space="preserve">. </w:t>
      </w:r>
      <w:r w:rsidRPr="0074520F" w:rsidR="006E4DF8">
        <w:rPr>
          <w:rFonts w:eastAsia="Times New Roman"/>
          <w:lang w:eastAsia="sv-SE"/>
        </w:rPr>
        <w:t xml:space="preserve">Men regeringen har </w:t>
      </w:r>
      <w:r w:rsidRPr="0074520F" w:rsidR="00B275B7">
        <w:rPr>
          <w:rFonts w:eastAsia="Times New Roman"/>
          <w:lang w:eastAsia="sv-SE"/>
        </w:rPr>
        <w:t>i</w:t>
      </w:r>
      <w:r w:rsidRPr="0074520F" w:rsidR="002B3E97">
        <w:rPr>
          <w:rFonts w:eastAsia="Times New Roman"/>
          <w:lang w:eastAsia="sv-SE"/>
        </w:rPr>
        <w:t xml:space="preserve"> </w:t>
      </w:r>
      <w:r w:rsidRPr="0074520F" w:rsidR="00B275B7">
        <w:rPr>
          <w:rFonts w:eastAsia="Times New Roman"/>
          <w:lang w:eastAsia="sv-SE"/>
        </w:rPr>
        <w:t xml:space="preserve">stället </w:t>
      </w:r>
      <w:r w:rsidRPr="0074520F" w:rsidR="006E4DF8">
        <w:rPr>
          <w:rFonts w:eastAsia="Times New Roman"/>
          <w:lang w:eastAsia="sv-SE"/>
        </w:rPr>
        <w:t>valt att sätta sig på läktaren och lugnt se på när många hushåll går under ekonomiskt.</w:t>
      </w:r>
      <w:r w:rsidRPr="0074520F" w:rsidR="00E12A37">
        <w:rPr>
          <w:rFonts w:eastAsia="Times New Roman"/>
          <w:lang w:eastAsia="sv-SE"/>
        </w:rPr>
        <w:t xml:space="preserve"> För att gynna utvalda grupper av väljare har man i</w:t>
      </w:r>
      <w:r w:rsidRPr="0074520F" w:rsidR="002B3E97">
        <w:rPr>
          <w:rFonts w:eastAsia="Times New Roman"/>
          <w:lang w:eastAsia="sv-SE"/>
        </w:rPr>
        <w:t xml:space="preserve"> </w:t>
      </w:r>
      <w:r w:rsidRPr="0074520F" w:rsidR="00E12A37">
        <w:rPr>
          <w:rFonts w:eastAsia="Times New Roman"/>
          <w:lang w:eastAsia="sv-SE"/>
        </w:rPr>
        <w:t>stället satsat på att sänka bensin- och dieselskatten</w:t>
      </w:r>
      <w:r w:rsidRPr="0074520F" w:rsidR="00DD736B">
        <w:rPr>
          <w:rFonts w:eastAsia="Times New Roman"/>
          <w:lang w:eastAsia="sv-SE"/>
        </w:rPr>
        <w:t xml:space="preserve"> och att införa ett nytt jobbskatteavdrag för 11 miljarder kronor.</w:t>
      </w:r>
    </w:p>
    <w:p w:rsidRPr="00D950ED" w:rsidR="00C05A0D" w:rsidP="00D950ED" w:rsidRDefault="00C05A0D" w14:paraId="5E7B09F8" w14:textId="54B411B2">
      <w:pPr>
        <w:pStyle w:val="Rubrik2numrerat"/>
      </w:pPr>
      <w:bookmarkStart w:name="_Toc166056442" w:id="41"/>
      <w:r w:rsidRPr="00D950ED">
        <w:t xml:space="preserve">Regeringens jobbskatteavdrag går till de </w:t>
      </w:r>
      <w:r w:rsidRPr="00D950ED" w:rsidR="007423F7">
        <w:t>väl</w:t>
      </w:r>
      <w:r w:rsidRPr="00D950ED">
        <w:t>beställda</w:t>
      </w:r>
      <w:bookmarkEnd w:id="41"/>
    </w:p>
    <w:p w:rsidRPr="0074520F" w:rsidR="00766F33" w:rsidP="00766F33" w:rsidRDefault="00511000" w14:paraId="1E6F2DE9" w14:textId="054F6E44">
      <w:pPr>
        <w:pStyle w:val="Normalutanindragellerluft"/>
        <w:rPr>
          <w:lang w:eastAsia="sv-SE"/>
        </w:rPr>
      </w:pPr>
      <w:r w:rsidRPr="0074520F">
        <w:rPr>
          <w:lang w:eastAsia="sv-SE"/>
        </w:rPr>
        <w:t xml:space="preserve">Att säga att regeringen inte gör något för hushållen i år är inte helt sant. Vissa hushåll får del av ytterligare ett jobbskatteavdrag. Det är som en trasig speldosa som alltjämt går igång med sin sorgliga melodi – borgerliga regeringars jobbskatteavdrag. </w:t>
      </w:r>
      <w:r w:rsidRPr="0074520F" w:rsidR="007F3ACA">
        <w:rPr>
          <w:lang w:eastAsia="sv-SE"/>
        </w:rPr>
        <w:t xml:space="preserve">I år får vi så det </w:t>
      </w:r>
      <w:r w:rsidRPr="0074520F" w:rsidR="003C7F9E">
        <w:rPr>
          <w:lang w:eastAsia="sv-SE"/>
        </w:rPr>
        <w:t>åttonde</w:t>
      </w:r>
      <w:r w:rsidRPr="0074520F" w:rsidR="007F3ACA">
        <w:rPr>
          <w:lang w:eastAsia="sv-SE"/>
        </w:rPr>
        <w:t xml:space="preserve"> i ordningen. Detta kostar statskassan 13 miljarder</w:t>
      </w:r>
      <w:r w:rsidRPr="0074520F" w:rsidR="00CA04F0">
        <w:rPr>
          <w:lang w:eastAsia="sv-SE"/>
        </w:rPr>
        <w:t xml:space="preserve"> kronor</w:t>
      </w:r>
      <w:r w:rsidRPr="0074520F" w:rsidR="007F3ACA">
        <w:rPr>
          <w:lang w:eastAsia="sv-SE"/>
        </w:rPr>
        <w:t xml:space="preserve"> (11</w:t>
      </w:r>
      <w:r w:rsidRPr="0074520F" w:rsidR="00CA04F0">
        <w:rPr>
          <w:lang w:eastAsia="sv-SE"/>
        </w:rPr>
        <w:t xml:space="preserve"> miljarder</w:t>
      </w:r>
      <w:r w:rsidRPr="0074520F" w:rsidR="007F3ACA">
        <w:rPr>
          <w:lang w:eastAsia="sv-SE"/>
        </w:rPr>
        <w:t xml:space="preserve"> </w:t>
      </w:r>
      <w:r w:rsidRPr="0074520F" w:rsidR="003C7F9E">
        <w:rPr>
          <w:lang w:eastAsia="sv-SE"/>
        </w:rPr>
        <w:t>i nytt jobbskatteavdrag</w:t>
      </w:r>
      <w:r w:rsidRPr="0074520F" w:rsidR="007F3ACA">
        <w:rPr>
          <w:lang w:eastAsia="sv-SE"/>
        </w:rPr>
        <w:t xml:space="preserve"> och 2 m</w:t>
      </w:r>
      <w:r w:rsidRPr="0074520F" w:rsidR="00CA04F0">
        <w:rPr>
          <w:lang w:eastAsia="sv-SE"/>
        </w:rPr>
        <w:t>iljar</w:t>
      </w:r>
      <w:r w:rsidRPr="0074520F" w:rsidR="007F3ACA">
        <w:rPr>
          <w:lang w:eastAsia="sv-SE"/>
        </w:rPr>
        <w:t>d</w:t>
      </w:r>
      <w:r w:rsidRPr="0074520F" w:rsidR="00CA04F0">
        <w:rPr>
          <w:lang w:eastAsia="sv-SE"/>
        </w:rPr>
        <w:t>e</w:t>
      </w:r>
      <w:r w:rsidRPr="0074520F" w:rsidR="007F3ACA">
        <w:rPr>
          <w:lang w:eastAsia="sv-SE"/>
        </w:rPr>
        <w:t>r</w:t>
      </w:r>
      <w:r w:rsidRPr="0074520F" w:rsidR="00CA04F0">
        <w:rPr>
          <w:lang w:eastAsia="sv-SE"/>
        </w:rPr>
        <w:t xml:space="preserve"> i</w:t>
      </w:r>
      <w:r w:rsidRPr="0074520F" w:rsidR="007F3ACA">
        <w:rPr>
          <w:lang w:eastAsia="sv-SE"/>
        </w:rPr>
        <w:t xml:space="preserve"> grundavdrag till pensionärer)</w:t>
      </w:r>
      <w:r w:rsidR="00995D52">
        <w:rPr>
          <w:lang w:eastAsia="sv-SE"/>
        </w:rPr>
        <w:t>,</w:t>
      </w:r>
      <w:r w:rsidRPr="0074520F" w:rsidR="00F0050E">
        <w:rPr>
          <w:lang w:eastAsia="sv-SE"/>
        </w:rPr>
        <w:t xml:space="preserve"> och totalt lägger vi 180 miljarder kronor per år på denna reduktion av statliga inkomster</w:t>
      </w:r>
      <w:r w:rsidRPr="0074520F" w:rsidR="007F3ACA">
        <w:rPr>
          <w:lang w:eastAsia="sv-SE"/>
        </w:rPr>
        <w:t>.</w:t>
      </w:r>
      <w:r w:rsidRPr="0074520F" w:rsidR="0056291F">
        <w:rPr>
          <w:lang w:eastAsia="sv-SE"/>
        </w:rPr>
        <w:t xml:space="preserve"> </w:t>
      </w:r>
    </w:p>
    <w:p w:rsidRPr="0074520F" w:rsidR="00511000" w:rsidP="00766F33" w:rsidRDefault="0056291F" w14:paraId="2E292BE7" w14:textId="21C81F3B">
      <w:pPr>
        <w:rPr>
          <w:lang w:eastAsia="sv-SE"/>
        </w:rPr>
      </w:pPr>
      <w:r w:rsidRPr="0074520F">
        <w:rPr>
          <w:lang w:eastAsia="sv-SE"/>
        </w:rPr>
        <w:t xml:space="preserve">Det är en dyr reform som inte ger normalinkomsttagare speciellt mycket mer i </w:t>
      </w:r>
      <w:r w:rsidRPr="00010725">
        <w:rPr>
          <w:spacing w:val="-3"/>
          <w:lang w:eastAsia="sv-SE"/>
        </w:rPr>
        <w:t>plån</w:t>
      </w:r>
      <w:r w:rsidR="00010725">
        <w:rPr>
          <w:spacing w:val="-3"/>
          <w:lang w:eastAsia="sv-SE"/>
        </w:rPr>
        <w:softHyphen/>
      </w:r>
      <w:r w:rsidRPr="00010725">
        <w:rPr>
          <w:spacing w:val="-3"/>
          <w:lang w:eastAsia="sv-SE"/>
        </w:rPr>
        <w:t xml:space="preserve">boken. En </w:t>
      </w:r>
      <w:r w:rsidRPr="00010725" w:rsidR="00766F33">
        <w:rPr>
          <w:spacing w:val="-3"/>
          <w:lang w:eastAsia="sv-SE"/>
        </w:rPr>
        <w:t>barnskötare</w:t>
      </w:r>
      <w:r w:rsidRPr="00010725">
        <w:rPr>
          <w:spacing w:val="-3"/>
          <w:lang w:eastAsia="sv-SE"/>
        </w:rPr>
        <w:t xml:space="preserve"> med en lön på 25 000 kronor i månaden får en skattesänkning</w:t>
      </w:r>
      <w:r w:rsidRPr="0074520F">
        <w:rPr>
          <w:lang w:eastAsia="sv-SE"/>
        </w:rPr>
        <w:t xml:space="preserve"> på 113 kronor</w:t>
      </w:r>
      <w:r w:rsidRPr="0074520F" w:rsidR="00766F33">
        <w:rPr>
          <w:lang w:eastAsia="sv-SE"/>
        </w:rPr>
        <w:t xml:space="preserve">, en byggnadsarbetare får 211 kronor och en sjuksköterska </w:t>
      </w:r>
      <w:r w:rsidR="00995D52">
        <w:rPr>
          <w:lang w:eastAsia="sv-SE"/>
        </w:rPr>
        <w:t xml:space="preserve">får </w:t>
      </w:r>
      <w:r w:rsidRPr="0074520F" w:rsidR="00766F33">
        <w:rPr>
          <w:lang w:eastAsia="sv-SE"/>
        </w:rPr>
        <w:t xml:space="preserve">271 kronor i månaden. Men personer som är föräldralediga, sjuka eller arbetslösa får inte del av denna skattesänkning. </w:t>
      </w:r>
      <w:r w:rsidRPr="0074520F" w:rsidR="000478DC">
        <w:rPr>
          <w:lang w:eastAsia="sv-SE"/>
        </w:rPr>
        <w:t>Det blir därför en mycket ojämn fördelning av de miljarder som nu betalas ut.</w:t>
      </w:r>
    </w:p>
    <w:p w:rsidRPr="0074520F" w:rsidR="003C2350" w:rsidP="003C2350" w:rsidRDefault="003C2350" w14:paraId="0D290A33" w14:textId="502A4189">
      <w:pPr>
        <w:pStyle w:val="Tabellrubrik"/>
      </w:pPr>
      <w:r w:rsidRPr="0074520F">
        <w:rPr>
          <w:lang w:eastAsia="sv-SE"/>
        </w:rPr>
        <w:lastRenderedPageBreak/>
        <w:t xml:space="preserve">Figur </w:t>
      </w:r>
      <w:r w:rsidRPr="0074520F" w:rsidR="002F2013">
        <w:rPr>
          <w:lang w:eastAsia="sv-SE"/>
        </w:rPr>
        <w:t>19</w:t>
      </w:r>
      <w:r w:rsidRPr="0074520F">
        <w:rPr>
          <w:lang w:eastAsia="sv-SE"/>
        </w:rPr>
        <w:t xml:space="preserve"> Fördelning av 11 mdr i jobbskatteavdrag 2024</w:t>
      </w:r>
    </w:p>
    <w:p w:rsidRPr="0074520F" w:rsidR="003C2350" w:rsidP="00D950ED" w:rsidRDefault="003C2350" w14:paraId="4CD273A2" w14:textId="29948D5C">
      <w:pPr>
        <w:pStyle w:val="Tabellunderrubrik"/>
      </w:pPr>
      <w:r w:rsidRPr="0074520F">
        <w:t>E</w:t>
      </w:r>
      <w:r w:rsidRPr="0074520F">
        <w:rPr>
          <w:lang w:eastAsia="sv-SE"/>
        </w:rPr>
        <w:t xml:space="preserve">ffekt i miljarder kronor per </w:t>
      </w:r>
      <w:proofErr w:type="spellStart"/>
      <w:r w:rsidRPr="0074520F">
        <w:rPr>
          <w:lang w:eastAsia="sv-SE"/>
        </w:rPr>
        <w:t>inkomstdecil</w:t>
      </w:r>
      <w:proofErr w:type="spellEnd"/>
    </w:p>
    <w:p w:rsidRPr="0074520F" w:rsidR="00014D32" w:rsidP="00014D32" w:rsidRDefault="003C2350" w14:paraId="563FB747" w14:textId="4B8A6EF6">
      <w:pPr>
        <w:ind w:firstLine="0"/>
        <w:rPr>
          <w:lang w:eastAsia="sv-SE"/>
        </w:rPr>
      </w:pPr>
      <w:r w:rsidRPr="0074520F">
        <w:rPr>
          <w:noProof/>
          <w14:numSpacing w14:val="default"/>
        </w:rPr>
        <w:drawing>
          <wp:inline distT="0" distB="0" distL="0" distR="0" wp14:anchorId="18CFA245" wp14:editId="65D00900">
            <wp:extent cx="5400000" cy="2811240"/>
            <wp:effectExtent l="0" t="0" r="10795" b="8255"/>
            <wp:docPr id="31" name="Diagram 31" descr="">
              <a:extLst xmlns:a="http://schemas.openxmlformats.org/drawingml/2006/main">
                <a:ext uri="{FF2B5EF4-FFF2-40B4-BE49-F238E27FC236}">
                  <a16:creationId xmlns:a16="http://schemas.microsoft.com/office/drawing/2014/main" id="{85F4B595-701B-42B9-93F8-B794855245E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Pr="0074520F" w:rsidR="00862D1B" w:rsidP="00C831D7" w:rsidRDefault="00862D1B" w14:paraId="579328B4" w14:textId="31DD3783">
      <w:pPr>
        <w:pStyle w:val="Klla"/>
      </w:pPr>
      <w:r w:rsidRPr="0074520F">
        <w:t xml:space="preserve">Källa: RUT </w:t>
      </w:r>
      <w:r w:rsidRPr="0074520F" w:rsidR="00C831D7">
        <w:t>2024:482</w:t>
      </w:r>
      <w:r w:rsidRPr="0074520F" w:rsidR="008C368A">
        <w:t>.</w:t>
      </w:r>
      <w:r w:rsidRPr="0074520F" w:rsidR="00593BBB">
        <w:t xml:space="preserve"> Fördelningen är gjord efter individuell disponibel</w:t>
      </w:r>
      <w:r w:rsidR="00575990">
        <w:t xml:space="preserve"> </w:t>
      </w:r>
      <w:r w:rsidRPr="0074520F" w:rsidR="00593BBB">
        <w:t>inkomst.</w:t>
      </w:r>
    </w:p>
    <w:p w:rsidRPr="0074520F" w:rsidR="00421405" w:rsidP="00421405" w:rsidRDefault="004F7B39" w14:paraId="084517EE" w14:textId="2B3BDC85">
      <w:pPr>
        <w:pStyle w:val="Normalutanindragellerluft"/>
        <w:rPr>
          <w:lang w:eastAsia="sv-SE"/>
        </w:rPr>
      </w:pPr>
      <w:r w:rsidRPr="0074520F">
        <w:rPr>
          <w:lang w:eastAsia="sv-SE"/>
        </w:rPr>
        <w:t xml:space="preserve">När hela årets jobbskatteavdrag på 11 miljarder kronor fördelas på alla inkomsttagare ser vi tydligt vilka inkomstintervall som får ta del av skatteavdraget. </w:t>
      </w:r>
      <w:r w:rsidRPr="0074520F" w:rsidR="00593BBB">
        <w:rPr>
          <w:lang w:eastAsia="sv-SE"/>
        </w:rPr>
        <w:t xml:space="preserve">Det blir tydligt att den absoluta majoriteten av skattesänkningen – så mycket som 90 procent – tillfaller den halva av befolkningen </w:t>
      </w:r>
      <w:r w:rsidR="00575990">
        <w:rPr>
          <w:lang w:eastAsia="sv-SE"/>
        </w:rPr>
        <w:t xml:space="preserve">som har </w:t>
      </w:r>
      <w:r w:rsidRPr="0074520F" w:rsidR="00593BBB">
        <w:rPr>
          <w:lang w:eastAsia="sv-SE"/>
        </w:rPr>
        <w:t>högst inkomster.</w:t>
      </w:r>
      <w:r w:rsidRPr="0074520F" w:rsidR="00560B38">
        <w:rPr>
          <w:rStyle w:val="Fotnotsreferens"/>
          <w:lang w:eastAsia="sv-SE"/>
        </w:rPr>
        <w:footnoteReference w:id="52"/>
      </w:r>
    </w:p>
    <w:p w:rsidRPr="00D950ED" w:rsidR="00F33CDD" w:rsidP="00D950ED" w:rsidRDefault="00E12647" w14:paraId="781A27E9" w14:textId="70F7A362">
      <w:pPr>
        <w:pStyle w:val="Rubrik2numrerat"/>
      </w:pPr>
      <w:bookmarkStart w:name="_Toc166056443" w:id="42"/>
      <w:r w:rsidRPr="00D950ED">
        <w:t>Förslag på a</w:t>
      </w:r>
      <w:r w:rsidRPr="00D950ED" w:rsidR="00F33CDD">
        <w:t>vgiftsfri kollektivtrafik för unga på kvällar, helger och lov</w:t>
      </w:r>
      <w:bookmarkEnd w:id="42"/>
    </w:p>
    <w:p w:rsidRPr="0074520F" w:rsidR="00BC0862" w:rsidP="0090652C" w:rsidRDefault="0090652C" w14:paraId="728679D3" w14:textId="1562D3AF">
      <w:pPr>
        <w:pStyle w:val="Normalutanindragellerluft"/>
        <w:rPr>
          <w:lang w:eastAsia="sv-SE"/>
        </w:rPr>
      </w:pPr>
      <w:r w:rsidRPr="0074520F">
        <w:rPr>
          <w:lang w:eastAsia="sv-SE"/>
        </w:rPr>
        <w:t xml:space="preserve">Ingen ska behöva avstå </w:t>
      </w:r>
      <w:r w:rsidR="00E87517">
        <w:rPr>
          <w:lang w:eastAsia="sv-SE"/>
        </w:rPr>
        <w:t xml:space="preserve">från </w:t>
      </w:r>
      <w:r w:rsidRPr="0074520F">
        <w:rPr>
          <w:lang w:eastAsia="sv-SE"/>
        </w:rPr>
        <w:t>en aktiv fritid eller ett sommarjobb för att hushålle</w:t>
      </w:r>
      <w:r w:rsidRPr="0074520F" w:rsidR="006862C6">
        <w:rPr>
          <w:lang w:eastAsia="sv-SE"/>
        </w:rPr>
        <w:t>t</w:t>
      </w:r>
      <w:r w:rsidRPr="0074520F">
        <w:rPr>
          <w:lang w:eastAsia="sv-SE"/>
        </w:rPr>
        <w:t xml:space="preserve"> har det ekonomiskt tufft. </w:t>
      </w:r>
      <w:r w:rsidRPr="0074520F" w:rsidR="006862C6">
        <w:rPr>
          <w:lang w:eastAsia="sv-SE"/>
        </w:rPr>
        <w:t>Just nu höjs priserna för kollektivtrafik</w:t>
      </w:r>
      <w:r w:rsidR="00151776">
        <w:rPr>
          <w:lang w:eastAsia="sv-SE"/>
        </w:rPr>
        <w:t>s</w:t>
      </w:r>
      <w:r w:rsidRPr="0074520F" w:rsidR="006862C6">
        <w:rPr>
          <w:lang w:eastAsia="sv-SE"/>
        </w:rPr>
        <w:t xml:space="preserve">resenärer på många platser i Sverige. Priset för kollektivtrafiken har ökat nästan dubbelt så mycket </w:t>
      </w:r>
      <w:r w:rsidR="00151776">
        <w:rPr>
          <w:lang w:eastAsia="sv-SE"/>
        </w:rPr>
        <w:t xml:space="preserve">som </w:t>
      </w:r>
      <w:r w:rsidRPr="0074520F" w:rsidR="006862C6">
        <w:rPr>
          <w:lang w:eastAsia="sv-SE"/>
        </w:rPr>
        <w:t xml:space="preserve">priset för </w:t>
      </w:r>
      <w:r w:rsidRPr="00010725" w:rsidR="006862C6">
        <w:rPr>
          <w:spacing w:val="-3"/>
          <w:lang w:eastAsia="sv-SE"/>
        </w:rPr>
        <w:t xml:space="preserve">drivmedel sedan 2000. </w:t>
      </w:r>
      <w:r w:rsidRPr="00010725" w:rsidR="009F4299">
        <w:rPr>
          <w:spacing w:val="-3"/>
          <w:lang w:eastAsia="sv-SE"/>
        </w:rPr>
        <w:t>I genomsnitt har konsumentpriserna (KPI) ökat med ca 60 procent</w:t>
      </w:r>
      <w:r w:rsidRPr="0074520F" w:rsidR="009F4299">
        <w:rPr>
          <w:lang w:eastAsia="sv-SE"/>
        </w:rPr>
        <w:t xml:space="preserve">, samtidigt som priserna i lokaltrafiken har ökat med 160 procent – mer än dubbelt så mycket. </w:t>
      </w:r>
      <w:r w:rsidRPr="0074520F" w:rsidR="006862C6">
        <w:rPr>
          <w:lang w:eastAsia="sv-SE"/>
        </w:rPr>
        <w:t xml:space="preserve">För att vända utvecklingen krävs det en politik som ger förutsättningar för en utbyggd, tillgänglig kollektivtrafik som alla har råd med, och som gör att folk ställer bilen hemma. Att åka kollektivt möjliggör för många unga att </w:t>
      </w:r>
      <w:r w:rsidRPr="0074520F" w:rsidR="00B25F9D">
        <w:rPr>
          <w:lang w:eastAsia="sv-SE"/>
        </w:rPr>
        <w:t>t.ex.</w:t>
      </w:r>
      <w:r w:rsidRPr="0074520F" w:rsidR="006862C6">
        <w:rPr>
          <w:lang w:eastAsia="sv-SE"/>
        </w:rPr>
        <w:t xml:space="preserve"> vara med på fotbolls</w:t>
      </w:r>
      <w:r w:rsidR="00010725">
        <w:rPr>
          <w:lang w:eastAsia="sv-SE"/>
        </w:rPr>
        <w:softHyphen/>
      </w:r>
      <w:r w:rsidRPr="0074520F" w:rsidR="006862C6">
        <w:rPr>
          <w:lang w:eastAsia="sv-SE"/>
        </w:rPr>
        <w:t>träningen eller träffa kompisar efter skolan. När priserna höjs i kollektivtrafiken kan det vara sista droppen för en ensamstående mamma som gör att månaderna inte kan och inte kommer att gå ihop.</w:t>
      </w:r>
    </w:p>
    <w:p w:rsidRPr="0074520F" w:rsidR="006A0EDA" w:rsidP="00314E57" w:rsidRDefault="006862C6" w14:paraId="59DDEAD7" w14:textId="0B5F8B5D">
      <w:r w:rsidRPr="0074520F">
        <w:t xml:space="preserve">Vänsterpartiet föreslår </w:t>
      </w:r>
      <w:r w:rsidRPr="0074520F" w:rsidR="00DA7E5D">
        <w:t>att</w:t>
      </w:r>
      <w:r w:rsidRPr="0074520F">
        <w:t xml:space="preserve"> kollektivtrafik för unga mellan 12</w:t>
      </w:r>
      <w:r w:rsidRPr="0074520F" w:rsidR="007F2F41">
        <w:t xml:space="preserve"> och </w:t>
      </w:r>
      <w:r w:rsidRPr="0074520F">
        <w:t>18 år</w:t>
      </w:r>
      <w:r w:rsidRPr="0074520F" w:rsidR="00DA7E5D">
        <w:t xml:space="preserve"> görs avgiftsfri</w:t>
      </w:r>
      <w:r w:rsidRPr="0074520F">
        <w:t xml:space="preserve"> på kvällar, helger och lov, för att ungdomar ska kunna ta bussen till fotbollsträningen, ridhuset och sommarjobbet. </w:t>
      </w:r>
      <w:r w:rsidRPr="0074520F" w:rsidR="0090652C">
        <w:t>Satsningen skulle kosta ca 1 miljard kronor</w:t>
      </w:r>
      <w:r w:rsidRPr="0074520F" w:rsidR="004C1341">
        <w:t xml:space="preserve"> per år</w:t>
      </w:r>
      <w:r w:rsidRPr="0074520F" w:rsidR="0090652C">
        <w:t xml:space="preserve">, pengar som Vänsterpartiet omfördelar i vårbudgeten från </w:t>
      </w:r>
      <w:r w:rsidRPr="0074520F" w:rsidR="00940F3A">
        <w:t>regeringen</w:t>
      </w:r>
      <w:r w:rsidRPr="0074520F" w:rsidR="004C1341">
        <w:t>s missriktade</w:t>
      </w:r>
      <w:r w:rsidRPr="0074520F" w:rsidR="00940F3A">
        <w:t xml:space="preserve"> satsning på </w:t>
      </w:r>
      <w:r w:rsidRPr="0074520F" w:rsidR="0090652C">
        <w:t>flygbolagen. I ekonomiskt tuffa tider måste investeringar gå till ungdomar och klimat</w:t>
      </w:r>
      <w:r w:rsidR="00010725">
        <w:softHyphen/>
      </w:r>
      <w:r w:rsidRPr="0074520F" w:rsidR="0090652C">
        <w:lastRenderedPageBreak/>
        <w:t xml:space="preserve">omställningen, inte till en flygbransch som </w:t>
      </w:r>
      <w:r w:rsidRPr="0074520F" w:rsidR="00F2421B">
        <w:rPr>
          <w:lang w:eastAsia="sv-SE"/>
        </w:rPr>
        <w:t xml:space="preserve">är på god väg att öka sina utsläpp till samma nivåer som </w:t>
      </w:r>
      <w:r w:rsidR="00DB413F">
        <w:rPr>
          <w:lang w:eastAsia="sv-SE"/>
        </w:rPr>
        <w:t xml:space="preserve">före </w:t>
      </w:r>
      <w:r w:rsidRPr="0074520F" w:rsidR="00F2421B">
        <w:rPr>
          <w:lang w:eastAsia="sv-SE"/>
        </w:rPr>
        <w:t>pandemin.</w:t>
      </w:r>
      <w:r w:rsidRPr="0074520F" w:rsidR="00F2421B">
        <w:rPr>
          <w:rStyle w:val="Fotnotsreferens"/>
          <w:lang w:eastAsia="sv-SE"/>
        </w:rPr>
        <w:footnoteReference w:id="53"/>
      </w:r>
    </w:p>
    <w:p w:rsidRPr="00D950ED" w:rsidR="00480FA4" w:rsidP="00D950ED" w:rsidRDefault="00B12A87" w14:paraId="730CC4DA" w14:textId="55C58C20">
      <w:pPr>
        <w:pStyle w:val="Rubrik2numrerat"/>
      </w:pPr>
      <w:bookmarkStart w:name="_Toc166056444" w:id="43"/>
      <w:r w:rsidRPr="00D950ED">
        <w:t>Förslag på s</w:t>
      </w:r>
      <w:r w:rsidRPr="00D950ED" w:rsidR="00480FA4">
        <w:t>katt på övervinster i elnätsbolagen</w:t>
      </w:r>
      <w:bookmarkEnd w:id="43"/>
    </w:p>
    <w:p w:rsidRPr="0074520F" w:rsidR="00480FA4" w:rsidP="00480FA4" w:rsidRDefault="00480FA4" w14:paraId="7F10CDED" w14:textId="11D5BA7B">
      <w:pPr>
        <w:pStyle w:val="Normalutanindragellerluft"/>
        <w:rPr>
          <w:rFonts w:eastAsia="Times New Roman"/>
          <w:lang w:eastAsia="sv-SE"/>
        </w:rPr>
      </w:pPr>
      <w:r w:rsidRPr="0074520F">
        <w:rPr>
          <w:rFonts w:eastAsia="Times New Roman"/>
          <w:lang w:eastAsia="sv-SE"/>
        </w:rPr>
        <w:t>Den 3 april meddelade Energimarknadsinspektionen (E</w:t>
      </w:r>
      <w:r w:rsidR="001A772D">
        <w:rPr>
          <w:rFonts w:eastAsia="Times New Roman"/>
          <w:lang w:eastAsia="sv-SE"/>
        </w:rPr>
        <w:t>I</w:t>
      </w:r>
      <w:r w:rsidRPr="0074520F">
        <w:rPr>
          <w:rFonts w:eastAsia="Times New Roman"/>
          <w:lang w:eastAsia="sv-SE"/>
        </w:rPr>
        <w:t>) att man beslutat om elnäts</w:t>
      </w:r>
      <w:r w:rsidR="00010725">
        <w:rPr>
          <w:rFonts w:eastAsia="Times New Roman"/>
          <w:lang w:eastAsia="sv-SE"/>
        </w:rPr>
        <w:softHyphen/>
      </w:r>
      <w:r w:rsidRPr="0074520F">
        <w:rPr>
          <w:rFonts w:eastAsia="Times New Roman"/>
          <w:lang w:eastAsia="sv-SE"/>
        </w:rPr>
        <w:t>företagens intäktsramar för perioden 2024–2027, dvs. de totala avgifter som elnätsföre</w:t>
      </w:r>
      <w:r w:rsidR="00010725">
        <w:rPr>
          <w:rFonts w:eastAsia="Times New Roman"/>
          <w:lang w:eastAsia="sv-SE"/>
        </w:rPr>
        <w:softHyphen/>
      </w:r>
      <w:r w:rsidRPr="00010725">
        <w:rPr>
          <w:rFonts w:eastAsia="Times New Roman"/>
          <w:spacing w:val="-3"/>
          <w:lang w:eastAsia="sv-SE"/>
        </w:rPr>
        <w:t>tagen får ta ut av sina kunder under en fyraårsperiod.</w:t>
      </w:r>
      <w:r w:rsidRPr="00010725">
        <w:rPr>
          <w:rFonts w:eastAsia="Times New Roman"/>
          <w:spacing w:val="-3"/>
          <w:vertAlign w:val="superscript"/>
          <w:lang w:eastAsia="sv-SE"/>
        </w:rPr>
        <w:footnoteReference w:id="54"/>
      </w:r>
      <w:r w:rsidRPr="00010725">
        <w:rPr>
          <w:rFonts w:eastAsia="Times New Roman"/>
          <w:spacing w:val="-3"/>
          <w:lang w:eastAsia="sv-SE"/>
        </w:rPr>
        <w:t xml:space="preserve"> Intäktsramarna innebär en ökning</w:t>
      </w:r>
      <w:r w:rsidRPr="0074520F">
        <w:rPr>
          <w:rFonts w:eastAsia="Times New Roman"/>
          <w:lang w:eastAsia="sv-SE"/>
        </w:rPr>
        <w:t xml:space="preserve"> </w:t>
      </w:r>
      <w:r w:rsidRPr="001205B6">
        <w:rPr>
          <w:rFonts w:eastAsia="Times New Roman"/>
          <w:spacing w:val="-3"/>
          <w:lang w:eastAsia="sv-SE"/>
        </w:rPr>
        <w:t>med ungefär 100 miljarder kronor och bedöms leda till högre elnätsavgifter för elnätskun</w:t>
      </w:r>
      <w:r w:rsidRPr="001205B6" w:rsidR="00010725">
        <w:rPr>
          <w:rFonts w:eastAsia="Times New Roman"/>
          <w:spacing w:val="-3"/>
          <w:lang w:eastAsia="sv-SE"/>
        </w:rPr>
        <w:softHyphen/>
      </w:r>
      <w:r w:rsidRPr="001205B6">
        <w:rPr>
          <w:rFonts w:eastAsia="Times New Roman"/>
          <w:spacing w:val="-3"/>
          <w:lang w:eastAsia="sv-SE"/>
        </w:rPr>
        <w:t>derna</w:t>
      </w:r>
      <w:r w:rsidRPr="0074520F">
        <w:rPr>
          <w:rFonts w:eastAsia="Times New Roman"/>
          <w:lang w:eastAsia="sv-SE"/>
        </w:rPr>
        <w:t xml:space="preserve"> de kommande åren. </w:t>
      </w:r>
    </w:p>
    <w:p w:rsidRPr="0074520F" w:rsidR="00480FA4" w:rsidP="00480FA4" w:rsidRDefault="003C2136" w14:paraId="3BBE7654" w14:textId="34033646">
      <w:pPr>
        <w:rPr>
          <w:rFonts w:eastAsia="Times New Roman"/>
          <w:lang w:eastAsia="sv-SE"/>
        </w:rPr>
      </w:pPr>
      <w:r w:rsidRPr="001205B6">
        <w:rPr>
          <w:rFonts w:eastAsia="Times New Roman"/>
          <w:spacing w:val="-3"/>
          <w:lang w:eastAsia="sv-SE"/>
        </w:rPr>
        <w:t>Bakgrunden är</w:t>
      </w:r>
      <w:r w:rsidRPr="001205B6" w:rsidR="003E6DCF">
        <w:rPr>
          <w:rFonts w:eastAsia="Times New Roman"/>
          <w:spacing w:val="-3"/>
          <w:lang w:eastAsia="sv-SE"/>
        </w:rPr>
        <w:t xml:space="preserve"> </w:t>
      </w:r>
      <w:r w:rsidRPr="001205B6">
        <w:rPr>
          <w:rFonts w:eastAsia="Times New Roman"/>
          <w:spacing w:val="-3"/>
          <w:lang w:eastAsia="sv-SE"/>
        </w:rPr>
        <w:t xml:space="preserve">att </w:t>
      </w:r>
      <w:r w:rsidRPr="001205B6" w:rsidR="00480FA4">
        <w:rPr>
          <w:rFonts w:eastAsia="Times New Roman"/>
          <w:spacing w:val="-3"/>
          <w:lang w:eastAsia="sv-SE"/>
        </w:rPr>
        <w:t>riksdagen</w:t>
      </w:r>
      <w:r w:rsidRPr="001205B6" w:rsidR="00547722">
        <w:rPr>
          <w:rFonts w:eastAsia="Times New Roman"/>
          <w:spacing w:val="-3"/>
          <w:lang w:eastAsia="sv-SE"/>
        </w:rPr>
        <w:t xml:space="preserve"> i maj 1994 beslöt</w:t>
      </w:r>
      <w:r w:rsidRPr="001205B6" w:rsidR="00480FA4">
        <w:rPr>
          <w:rFonts w:eastAsia="Times New Roman"/>
          <w:spacing w:val="-3"/>
          <w:lang w:eastAsia="sv-SE"/>
        </w:rPr>
        <w:t xml:space="preserve"> att genomföra en avreglering av elmark</w:t>
      </w:r>
      <w:r w:rsidRPr="001205B6" w:rsidR="001205B6">
        <w:rPr>
          <w:rFonts w:eastAsia="Times New Roman"/>
          <w:spacing w:val="-3"/>
          <w:lang w:eastAsia="sv-SE"/>
        </w:rPr>
        <w:softHyphen/>
      </w:r>
      <w:r w:rsidRPr="001205B6" w:rsidR="00480FA4">
        <w:rPr>
          <w:rFonts w:eastAsia="Times New Roman"/>
          <w:spacing w:val="-3"/>
          <w:lang w:eastAsia="sv-SE"/>
        </w:rPr>
        <w:t>naden</w:t>
      </w:r>
      <w:r w:rsidRPr="0074520F" w:rsidR="00480FA4">
        <w:rPr>
          <w:rFonts w:eastAsia="Times New Roman"/>
          <w:lang w:eastAsia="sv-SE"/>
        </w:rPr>
        <w:t xml:space="preserve">. </w:t>
      </w:r>
      <w:r w:rsidRPr="001205B6" w:rsidR="00480FA4">
        <w:rPr>
          <w:rFonts w:eastAsia="Times New Roman"/>
          <w:spacing w:val="-3"/>
          <w:lang w:eastAsia="sv-SE"/>
        </w:rPr>
        <w:t>Ett beslut som efter visst dröjsmål trädde i kraft</w:t>
      </w:r>
      <w:r w:rsidRPr="001205B6" w:rsidR="00547722">
        <w:rPr>
          <w:rFonts w:eastAsia="Times New Roman"/>
          <w:spacing w:val="-3"/>
          <w:lang w:eastAsia="sv-SE"/>
        </w:rPr>
        <w:t xml:space="preserve"> den</w:t>
      </w:r>
      <w:r w:rsidRPr="001205B6" w:rsidR="00480FA4">
        <w:rPr>
          <w:rFonts w:eastAsia="Times New Roman"/>
          <w:spacing w:val="-3"/>
          <w:lang w:eastAsia="sv-SE"/>
        </w:rPr>
        <w:t xml:space="preserve"> 1 januari 1996. Avregleringen</w:t>
      </w:r>
      <w:r w:rsidRPr="0074520F" w:rsidR="00480FA4">
        <w:rPr>
          <w:rFonts w:eastAsia="Times New Roman"/>
          <w:lang w:eastAsia="sv-SE"/>
        </w:rPr>
        <w:t xml:space="preserve"> innebar att handel med el konkurrensutsattes och att elnäten numera drivs som reglerade monopol.</w:t>
      </w:r>
      <w:r w:rsidRPr="0074520F" w:rsidR="00480FA4">
        <w:rPr>
          <w:rFonts w:eastAsia="Times New Roman"/>
          <w:vertAlign w:val="superscript"/>
          <w:lang w:eastAsia="sv-SE"/>
        </w:rPr>
        <w:footnoteReference w:id="55"/>
      </w:r>
    </w:p>
    <w:p w:rsidRPr="0074520F" w:rsidR="00480FA4" w:rsidP="00CC4310" w:rsidRDefault="00480FA4" w14:paraId="7DCBEFE8" w14:textId="03E94B2B">
      <w:pPr>
        <w:rPr>
          <w:rFonts w:ascii="Times New Roman" w:hAnsi="Times New Roman" w:eastAsia="Times New Roman" w:cs="Times New Roman"/>
          <w:kern w:val="0"/>
          <w:sz w:val="22"/>
          <w:szCs w:val="36"/>
          <w:lang w:eastAsia="sv-SE"/>
          <w14:numSpacing w14:val="default"/>
        </w:rPr>
      </w:pPr>
      <w:r w:rsidRPr="00773AAA">
        <w:rPr>
          <w:rFonts w:eastAsia="Times New Roman"/>
          <w:lang w:eastAsia="sv-SE"/>
        </w:rPr>
        <w:t xml:space="preserve">De senaste tio åren har de tre största bolagen Eon, </w:t>
      </w:r>
      <w:proofErr w:type="spellStart"/>
      <w:r w:rsidRPr="00773AAA">
        <w:rPr>
          <w:rFonts w:eastAsia="Times New Roman"/>
          <w:lang w:eastAsia="sv-SE"/>
        </w:rPr>
        <w:t>Ellevio</w:t>
      </w:r>
      <w:proofErr w:type="spellEnd"/>
      <w:r w:rsidRPr="00773AAA">
        <w:rPr>
          <w:rFonts w:eastAsia="Times New Roman"/>
          <w:lang w:eastAsia="sv-SE"/>
        </w:rPr>
        <w:t xml:space="preserve"> och Vattenfall höjt avgift</w:t>
      </w:r>
      <w:r w:rsidRPr="00773AAA" w:rsidR="001205B6">
        <w:rPr>
          <w:rFonts w:eastAsia="Times New Roman"/>
          <w:lang w:eastAsia="sv-SE"/>
        </w:rPr>
        <w:softHyphen/>
      </w:r>
      <w:r w:rsidRPr="00773AAA">
        <w:rPr>
          <w:rFonts w:eastAsia="Times New Roman"/>
          <w:lang w:eastAsia="sv-SE"/>
        </w:rPr>
        <w:t>erna</w:t>
      </w:r>
      <w:r w:rsidRPr="00773AAA">
        <w:rPr>
          <w:rFonts w:eastAsia="Times New Roman"/>
          <w:spacing w:val="-3"/>
          <w:lang w:eastAsia="sv-SE"/>
        </w:rPr>
        <w:t xml:space="preserve"> på elnäten dubbelt så mycket som den genomsnittliga prisökningen i samhället.</w:t>
      </w:r>
      <w:r w:rsidRPr="00773AAA">
        <w:rPr>
          <w:rFonts w:eastAsia="Times New Roman"/>
          <w:spacing w:val="-3"/>
          <w:vertAlign w:val="superscript"/>
          <w:lang w:eastAsia="sv-SE"/>
        </w:rPr>
        <w:footnoteReference w:id="56"/>
      </w:r>
      <w:r w:rsidRPr="00773AAA" w:rsidR="00773AAA">
        <w:rPr>
          <w:rFonts w:eastAsia="Times New Roman"/>
          <w:spacing w:val="-3"/>
          <w:lang w:eastAsia="sv-SE"/>
        </w:rPr>
        <w:t xml:space="preserve">, </w:t>
      </w:r>
      <w:r w:rsidRPr="00773AAA">
        <w:rPr>
          <w:rFonts w:eastAsia="Times New Roman"/>
          <w:spacing w:val="-3"/>
          <w:vertAlign w:val="superscript"/>
          <w:lang w:eastAsia="sv-SE"/>
        </w:rPr>
        <w:footnoteReference w:id="57"/>
      </w:r>
      <w:r w:rsidRPr="0074520F">
        <w:rPr>
          <w:rFonts w:eastAsia="Times New Roman"/>
          <w:lang w:eastAsia="sv-SE"/>
        </w:rPr>
        <w:t xml:space="preserve"> De stora elnätsbolagens vinstmarginaler har legat på upp</w:t>
      </w:r>
      <w:r w:rsidR="007C1C4C">
        <w:rPr>
          <w:rFonts w:eastAsia="Times New Roman"/>
          <w:lang w:eastAsia="sv-SE"/>
        </w:rPr>
        <w:t>e</w:t>
      </w:r>
      <w:r w:rsidRPr="0074520F">
        <w:rPr>
          <w:rFonts w:eastAsia="Times New Roman"/>
          <w:lang w:eastAsia="sv-SE"/>
        </w:rPr>
        <w:t>mot 40 procent</w:t>
      </w:r>
      <w:r w:rsidR="007C1C4C">
        <w:rPr>
          <w:rFonts w:eastAsia="Times New Roman"/>
          <w:lang w:eastAsia="sv-SE"/>
        </w:rPr>
        <w:t>,</w:t>
      </w:r>
      <w:r w:rsidRPr="0074520F">
        <w:rPr>
          <w:rFonts w:eastAsia="Times New Roman"/>
          <w:lang w:eastAsia="sv-SE"/>
        </w:rPr>
        <w:t xml:space="preserve"> </w:t>
      </w:r>
      <w:r w:rsidRPr="0074520F" w:rsidR="000332B1">
        <w:rPr>
          <w:rFonts w:eastAsia="Times New Roman"/>
          <w:lang w:eastAsia="sv-SE"/>
        </w:rPr>
        <w:t>och</w:t>
      </w:r>
      <w:r w:rsidRPr="0074520F">
        <w:rPr>
          <w:rFonts w:eastAsia="Times New Roman"/>
          <w:lang w:eastAsia="sv-SE"/>
        </w:rPr>
        <w:t xml:space="preserve"> så mycket som 75 procent </w:t>
      </w:r>
      <w:r w:rsidRPr="0074520F" w:rsidR="00CC4310">
        <w:rPr>
          <w:rFonts w:eastAsia="Times New Roman"/>
          <w:lang w:eastAsia="sv-SE"/>
        </w:rPr>
        <w:t xml:space="preserve">har </w:t>
      </w:r>
      <w:r w:rsidRPr="0074520F">
        <w:rPr>
          <w:rFonts w:eastAsia="Times New Roman"/>
          <w:lang w:eastAsia="sv-SE"/>
        </w:rPr>
        <w:t>kunnat skickas vidare till ägarbolag enligt en tidigare granskning av DN.</w:t>
      </w:r>
      <w:r w:rsidRPr="0074520F">
        <w:rPr>
          <w:rFonts w:eastAsia="Times New Roman"/>
          <w:vertAlign w:val="superscript"/>
          <w:lang w:eastAsia="sv-SE"/>
        </w:rPr>
        <w:footnoteReference w:id="58"/>
      </w:r>
      <w:r w:rsidRPr="0074520F">
        <w:rPr>
          <w:rFonts w:eastAsia="Times New Roman"/>
          <w:lang w:eastAsia="sv-SE"/>
        </w:rPr>
        <w:t xml:space="preserve"> Enligt tidningen </w:t>
      </w:r>
      <w:r w:rsidRPr="0074520F" w:rsidR="007C1C4C">
        <w:rPr>
          <w:rFonts w:eastAsia="Times New Roman"/>
          <w:lang w:eastAsia="sv-SE"/>
        </w:rPr>
        <w:t>överst</w:t>
      </w:r>
      <w:r w:rsidR="007C1C4C">
        <w:rPr>
          <w:rFonts w:eastAsia="Times New Roman"/>
          <w:lang w:eastAsia="sv-SE"/>
        </w:rPr>
        <w:t>e</w:t>
      </w:r>
      <w:r w:rsidRPr="0074520F" w:rsidR="007C1C4C">
        <w:rPr>
          <w:rFonts w:eastAsia="Times New Roman"/>
          <w:lang w:eastAsia="sv-SE"/>
        </w:rPr>
        <w:t xml:space="preserve">g </w:t>
      </w:r>
      <w:r w:rsidRPr="0074520F">
        <w:rPr>
          <w:rFonts w:eastAsia="Times New Roman"/>
          <w:lang w:eastAsia="sv-SE"/>
        </w:rPr>
        <w:t>elnätsbolagens intäkter kostnaderna med i genomsnitt 30 procent, eller 10 miljarder</w:t>
      </w:r>
      <w:r w:rsidRPr="0074520F" w:rsidR="007F2F41">
        <w:rPr>
          <w:rFonts w:eastAsia="Times New Roman"/>
          <w:lang w:eastAsia="sv-SE"/>
        </w:rPr>
        <w:t xml:space="preserve"> kronor</w:t>
      </w:r>
      <w:r w:rsidRPr="0074520F">
        <w:rPr>
          <w:rFonts w:eastAsia="Times New Roman"/>
          <w:lang w:eastAsia="sv-SE"/>
        </w:rPr>
        <w:t>, per år mellan 2012 och 2020.</w:t>
      </w:r>
    </w:p>
    <w:p w:rsidRPr="0074520F" w:rsidR="00480FA4" w:rsidP="003C2136" w:rsidRDefault="003C2136" w14:paraId="13BF98E9" w14:textId="518A122A">
      <w:pPr>
        <w:pStyle w:val="Tabellrubrik"/>
        <w:rPr>
          <w:lang w:eastAsia="sv-SE"/>
        </w:rPr>
      </w:pPr>
      <w:r w:rsidRPr="0074520F">
        <w:lastRenderedPageBreak/>
        <w:t xml:space="preserve">Figur </w:t>
      </w:r>
      <w:r w:rsidRPr="0074520F" w:rsidR="002F2013">
        <w:t>20</w:t>
      </w:r>
      <w:r w:rsidRPr="0074520F">
        <w:t xml:space="preserve"> </w:t>
      </w:r>
      <w:r w:rsidRPr="0074520F" w:rsidR="00480FA4">
        <w:rPr>
          <w:lang w:eastAsia="sv-SE"/>
        </w:rPr>
        <w:t>Elnätspriser över tid</w:t>
      </w:r>
    </w:p>
    <w:p w:rsidRPr="0074520F" w:rsidR="00480FA4" w:rsidP="003C2136" w:rsidRDefault="00480FA4" w14:paraId="3859DF6A" w14:textId="32AC0594">
      <w:pPr>
        <w:pStyle w:val="Tabellunderrubrik"/>
        <w:rPr>
          <w:lang w:eastAsia="sv-SE"/>
        </w:rPr>
      </w:pPr>
      <w:r w:rsidRPr="0074520F">
        <w:rPr>
          <w:lang w:eastAsia="sv-SE"/>
        </w:rPr>
        <w:t>Procentuell utveckling jämfört med KPI (konsumentprisindex) för en genomsnittsvilla med 20</w:t>
      </w:r>
      <w:r w:rsidR="004A6AA1">
        <w:rPr>
          <w:lang w:eastAsia="sv-SE"/>
        </w:rPr>
        <w:t> </w:t>
      </w:r>
      <w:r w:rsidRPr="0074520F">
        <w:rPr>
          <w:lang w:eastAsia="sv-SE"/>
        </w:rPr>
        <w:t>A huvudsäkring och en årsförbrukning på 20</w:t>
      </w:r>
      <w:r w:rsidR="004A6AA1">
        <w:rPr>
          <w:lang w:eastAsia="sv-SE"/>
        </w:rPr>
        <w:t> </w:t>
      </w:r>
      <w:r w:rsidRPr="0074520F">
        <w:rPr>
          <w:lang w:eastAsia="sv-SE"/>
        </w:rPr>
        <w:t>000</w:t>
      </w:r>
      <w:r w:rsidR="004A6AA1">
        <w:rPr>
          <w:lang w:eastAsia="sv-SE"/>
        </w:rPr>
        <w:t> </w:t>
      </w:r>
      <w:r w:rsidRPr="0074520F">
        <w:rPr>
          <w:lang w:eastAsia="sv-SE"/>
        </w:rPr>
        <w:t>kWh</w:t>
      </w:r>
    </w:p>
    <w:p w:rsidRPr="0074520F" w:rsidR="00480FA4" w:rsidP="00480FA4" w:rsidRDefault="00480FA4" w14:paraId="6ADCA4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74520F">
        <w:rPr>
          <w:rFonts w:ascii="Times New Roman" w:hAnsi="Times New Roman" w:eastAsia="Times New Roman" w:cs="Times New Roman"/>
          <w:noProof/>
          <w:kern w:val="0"/>
          <w:sz w:val="22"/>
          <w:szCs w:val="36"/>
          <w:lang w:eastAsia="sv-SE"/>
          <w14:numSpacing w14:val="default"/>
        </w:rPr>
        <w:drawing>
          <wp:inline distT="0" distB="0" distL="0" distR="0" wp14:anchorId="2C9EF47E" wp14:editId="6627DB0E">
            <wp:extent cx="3488267" cy="2669540"/>
            <wp:effectExtent l="0" t="0" r="0" b="0"/>
            <wp:docPr id="5" name="Bildobjekt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20183" cy="2693965"/>
                    </a:xfrm>
                    <a:prstGeom prst="rect">
                      <a:avLst/>
                    </a:prstGeom>
                    <a:noFill/>
                    <a:ln>
                      <a:noFill/>
                    </a:ln>
                  </pic:spPr>
                </pic:pic>
              </a:graphicData>
            </a:graphic>
          </wp:inline>
        </w:drawing>
      </w:r>
    </w:p>
    <w:p w:rsidRPr="0074520F" w:rsidR="00480FA4" w:rsidP="00006868" w:rsidRDefault="00480FA4" w14:paraId="27BA7B6D" w14:textId="77777777">
      <w:pPr>
        <w:pStyle w:val="Klla"/>
        <w:rPr>
          <w:lang w:eastAsia="sv-SE"/>
        </w:rPr>
      </w:pPr>
      <w:r w:rsidRPr="0074520F">
        <w:rPr>
          <w:lang w:eastAsia="sv-SE"/>
        </w:rPr>
        <w:t>Källa: DN/Energimarknadsinspektionen.</w:t>
      </w:r>
    </w:p>
    <w:p w:rsidRPr="0074520F" w:rsidR="00480FA4" w:rsidP="00DA5E8E" w:rsidRDefault="00480FA4" w14:paraId="69A6C5FE" w14:textId="5EE312B6">
      <w:pPr>
        <w:pStyle w:val="Normalutanindragellerluft"/>
        <w:rPr>
          <w:rFonts w:eastAsia="Times New Roman"/>
          <w:lang w:eastAsia="sv-SE"/>
        </w:rPr>
      </w:pPr>
      <w:r w:rsidRPr="0074520F">
        <w:rPr>
          <w:rFonts w:eastAsia="Times New Roman"/>
          <w:lang w:eastAsia="sv-SE"/>
        </w:rPr>
        <w:t xml:space="preserve">Eftersom nätverksamhet är naturliga monopol </w:t>
      </w:r>
      <w:r w:rsidRPr="0074520F" w:rsidR="00E9446E">
        <w:rPr>
          <w:rFonts w:eastAsia="Times New Roman"/>
          <w:lang w:eastAsia="sv-SE"/>
        </w:rPr>
        <w:t>ansvarar E</w:t>
      </w:r>
      <w:r w:rsidR="001A772D">
        <w:rPr>
          <w:rFonts w:eastAsia="Times New Roman"/>
          <w:lang w:eastAsia="sv-SE"/>
        </w:rPr>
        <w:t>I</w:t>
      </w:r>
      <w:r w:rsidRPr="0074520F" w:rsidR="00E9446E">
        <w:rPr>
          <w:rFonts w:eastAsia="Times New Roman"/>
          <w:lang w:eastAsia="sv-SE"/>
        </w:rPr>
        <w:t xml:space="preserve"> för att </w:t>
      </w:r>
      <w:r w:rsidRPr="0074520F">
        <w:rPr>
          <w:rFonts w:eastAsia="Times New Roman"/>
          <w:lang w:eastAsia="sv-SE"/>
        </w:rPr>
        <w:t xml:space="preserve">reglera företagens intäktsramar. Regleringen </w:t>
      </w:r>
      <w:r w:rsidRPr="0074520F" w:rsidR="00E9446E">
        <w:rPr>
          <w:rFonts w:eastAsia="Times New Roman"/>
          <w:lang w:eastAsia="sv-SE"/>
        </w:rPr>
        <w:t xml:space="preserve">sker i perioder om fyra år och </w:t>
      </w:r>
      <w:r w:rsidRPr="0074520F">
        <w:rPr>
          <w:rFonts w:eastAsia="Times New Roman"/>
          <w:lang w:eastAsia="sv-SE"/>
        </w:rPr>
        <w:t>ska säkerställa att elnätsföre</w:t>
      </w:r>
      <w:r w:rsidR="001205B6">
        <w:rPr>
          <w:rFonts w:eastAsia="Times New Roman"/>
          <w:lang w:eastAsia="sv-SE"/>
        </w:rPr>
        <w:softHyphen/>
      </w:r>
      <w:r w:rsidRPr="0074520F">
        <w:rPr>
          <w:rFonts w:eastAsia="Times New Roman"/>
          <w:lang w:eastAsia="sv-SE"/>
        </w:rPr>
        <w:t>tagen inte ges möjlighet att utnyttja sin monopolsituation på ett otillbörligt sätt. Elnäts</w:t>
      </w:r>
      <w:r w:rsidR="001205B6">
        <w:rPr>
          <w:rFonts w:eastAsia="Times New Roman"/>
          <w:lang w:eastAsia="sv-SE"/>
        </w:rPr>
        <w:softHyphen/>
      </w:r>
      <w:r w:rsidRPr="0074520F">
        <w:rPr>
          <w:rFonts w:eastAsia="Times New Roman"/>
          <w:lang w:eastAsia="sv-SE"/>
        </w:rPr>
        <w:t>bolagen är dock sällan nöjda med de satta ramarna</w:t>
      </w:r>
      <w:r w:rsidR="00206533">
        <w:rPr>
          <w:rFonts w:eastAsia="Times New Roman"/>
          <w:lang w:eastAsia="sv-SE"/>
        </w:rPr>
        <w:t>,</w:t>
      </w:r>
      <w:r w:rsidRPr="0074520F">
        <w:rPr>
          <w:rFonts w:eastAsia="Times New Roman"/>
          <w:lang w:eastAsia="sv-SE"/>
        </w:rPr>
        <w:t xml:space="preserve"> och de har prövats av domstol vid ett antal tillfällen. Elnätsbolagen har vunnit över E</w:t>
      </w:r>
      <w:r w:rsidR="001A772D">
        <w:rPr>
          <w:rFonts w:eastAsia="Times New Roman"/>
          <w:lang w:eastAsia="sv-SE"/>
        </w:rPr>
        <w:t>I</w:t>
      </w:r>
      <w:r w:rsidRPr="0074520F">
        <w:rPr>
          <w:rFonts w:eastAsia="Times New Roman"/>
          <w:lang w:eastAsia="sv-SE"/>
        </w:rPr>
        <w:t xml:space="preserve"> i nästan alla rättsprocesser och därmed fått kraftigt utökade intäktsramar över tid. Mellan åren 2012 och 2019 har de därmed kunnat ta ut 24 miljarder kronor mer av elkunder än vad E</w:t>
      </w:r>
      <w:r w:rsidR="001A772D">
        <w:rPr>
          <w:rFonts w:eastAsia="Times New Roman"/>
          <w:lang w:eastAsia="sv-SE"/>
        </w:rPr>
        <w:t>I</w:t>
      </w:r>
      <w:r w:rsidRPr="0074520F">
        <w:rPr>
          <w:rFonts w:eastAsia="Times New Roman"/>
          <w:lang w:eastAsia="sv-SE"/>
        </w:rPr>
        <w:t xml:space="preserve"> funnit skäligt.</w:t>
      </w:r>
    </w:p>
    <w:p w:rsidRPr="0074520F" w:rsidR="00480FA4" w:rsidP="00DA5E8E" w:rsidRDefault="00DA5E8E" w14:paraId="1B1AE8C9" w14:textId="77775F06">
      <w:pPr>
        <w:pStyle w:val="Tabellrubrik"/>
        <w:rPr>
          <w:rFonts w:ascii="Times New Roman" w:hAnsi="Times New Roman" w:eastAsia="Times New Roman" w:cs="Times New Roman"/>
          <w:b w:val="0"/>
          <w:sz w:val="22"/>
          <w:szCs w:val="28"/>
          <w:lang w:eastAsia="sv-SE"/>
          <w14:numSpacing w14:val="default"/>
        </w:rPr>
      </w:pPr>
      <w:r w:rsidRPr="0074520F">
        <w:t xml:space="preserve">Figur </w:t>
      </w:r>
      <w:r w:rsidRPr="0074520F" w:rsidR="00C35558">
        <w:t>21</w:t>
      </w:r>
      <w:r w:rsidRPr="0074520F">
        <w:t xml:space="preserve"> </w:t>
      </w:r>
      <w:r w:rsidRPr="0074520F" w:rsidR="00480FA4">
        <w:rPr>
          <w:lang w:eastAsia="sv-SE"/>
        </w:rPr>
        <w:t>Redovisade intäkter jämfört med E</w:t>
      </w:r>
      <w:r w:rsidR="001A772D">
        <w:rPr>
          <w:lang w:eastAsia="sv-SE"/>
        </w:rPr>
        <w:t>I</w:t>
      </w:r>
      <w:r w:rsidRPr="0074520F" w:rsidR="00480FA4">
        <w:rPr>
          <w:lang w:eastAsia="sv-SE"/>
        </w:rPr>
        <w:t>:s intäktsramar</w:t>
      </w:r>
    </w:p>
    <w:p w:rsidRPr="0074520F" w:rsidR="00480FA4" w:rsidP="00480FA4" w:rsidRDefault="00480FA4" w14:paraId="531254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74520F">
        <w:rPr>
          <w:rFonts w:ascii="Times New Roman" w:hAnsi="Times New Roman" w:eastAsia="Times New Roman" w:cs="Times New Roman"/>
          <w:noProof/>
          <w:kern w:val="0"/>
          <w:sz w:val="22"/>
          <w:szCs w:val="36"/>
          <w:lang w:eastAsia="sv-SE"/>
          <w14:numSpacing w14:val="default"/>
        </w:rPr>
        <w:drawing>
          <wp:inline distT="0" distB="0" distL="0" distR="0" wp14:anchorId="195C2759" wp14:editId="419A0230">
            <wp:extent cx="3256280" cy="2809875"/>
            <wp:effectExtent l="0" t="0" r="1270" b="9525"/>
            <wp:docPr id="7" name="Bildobjekt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273225" cy="2824497"/>
                    </a:xfrm>
                    <a:prstGeom prst="rect">
                      <a:avLst/>
                    </a:prstGeom>
                    <a:noFill/>
                    <a:ln>
                      <a:noFill/>
                    </a:ln>
                  </pic:spPr>
                </pic:pic>
              </a:graphicData>
            </a:graphic>
          </wp:inline>
        </w:drawing>
      </w:r>
    </w:p>
    <w:p w:rsidRPr="00C90F30" w:rsidR="00DA5E8E" w:rsidP="00C90F30" w:rsidRDefault="00DA5E8E" w14:paraId="2CE8D82D" w14:textId="4E22E69B">
      <w:pPr>
        <w:pStyle w:val="Klla"/>
      </w:pPr>
      <w:r w:rsidRPr="00C90F30">
        <w:t>Not: På grund av nyligen avslutade domstolsprocesser ska E</w:t>
      </w:r>
      <w:r w:rsidRPr="00C90F30" w:rsidR="001A772D">
        <w:t>I</w:t>
      </w:r>
      <w:r w:rsidRPr="00C90F30">
        <w:t xml:space="preserve"> fatta nya beslut rörande elnätsbolagens intäktsramar för 2020–2023. Därför berör intäktsramarna i diagrammet endast perioden 2012–2019.</w:t>
      </w:r>
    </w:p>
    <w:p w:rsidRPr="0074520F" w:rsidR="00480FA4" w:rsidP="00DA5E8E" w:rsidRDefault="00480FA4" w14:paraId="0E1F5B96" w14:textId="77777777">
      <w:pPr>
        <w:pStyle w:val="Klla"/>
      </w:pPr>
      <w:r w:rsidRPr="0074520F">
        <w:rPr>
          <w:lang w:eastAsia="sv-SE"/>
        </w:rPr>
        <w:t>Källa: DN/Energimarknadsinspektionen.</w:t>
      </w:r>
    </w:p>
    <w:p w:rsidR="00C90F30" w:rsidRDefault="00C90F30" w14:paraId="0267EB6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eastAsia="Times New Roman"/>
          <w:lang w:eastAsia="sv-SE"/>
        </w:rPr>
      </w:pPr>
      <w:r>
        <w:rPr>
          <w:rFonts w:eastAsia="Times New Roman"/>
          <w:lang w:eastAsia="sv-SE"/>
        </w:rPr>
        <w:br w:type="page"/>
      </w:r>
    </w:p>
    <w:p w:rsidRPr="0074520F" w:rsidR="00480FA4" w:rsidP="000B79A4" w:rsidRDefault="00480FA4" w14:paraId="798A994D" w14:textId="1D7D68B7">
      <w:pPr>
        <w:pStyle w:val="Normalutanindragellerluft"/>
        <w:rPr>
          <w:rFonts w:eastAsia="Times New Roman"/>
          <w:lang w:eastAsia="sv-SE"/>
        </w:rPr>
      </w:pPr>
      <w:r w:rsidRPr="0074520F">
        <w:rPr>
          <w:rFonts w:eastAsia="Times New Roman"/>
          <w:lang w:eastAsia="sv-SE"/>
        </w:rPr>
        <w:lastRenderedPageBreak/>
        <w:t>Bakgrunden till att E</w:t>
      </w:r>
      <w:r w:rsidR="001A772D">
        <w:rPr>
          <w:rFonts w:eastAsia="Times New Roman"/>
          <w:lang w:eastAsia="sv-SE"/>
        </w:rPr>
        <w:t>I</w:t>
      </w:r>
      <w:r w:rsidRPr="0074520F">
        <w:rPr>
          <w:rFonts w:eastAsia="Times New Roman"/>
          <w:lang w:eastAsia="sv-SE"/>
        </w:rPr>
        <w:t xml:space="preserve"> förlorat i domstol är en oförenlighet mellan EU-rätten och svensk lagstiftning, som är den som E</w:t>
      </w:r>
      <w:r w:rsidR="001A772D">
        <w:rPr>
          <w:rFonts w:eastAsia="Times New Roman"/>
          <w:lang w:eastAsia="sv-SE"/>
        </w:rPr>
        <w:t>I</w:t>
      </w:r>
      <w:r w:rsidRPr="0074520F">
        <w:rPr>
          <w:rFonts w:eastAsia="Times New Roman"/>
          <w:lang w:eastAsia="sv-SE"/>
        </w:rPr>
        <w:t xml:space="preserve"> utgått ifrån. Denna oförenlighet avses justeras med för</w:t>
      </w:r>
      <w:r w:rsidR="001205B6">
        <w:rPr>
          <w:rFonts w:eastAsia="Times New Roman"/>
          <w:lang w:eastAsia="sv-SE"/>
        </w:rPr>
        <w:softHyphen/>
      </w:r>
      <w:r w:rsidRPr="0074520F">
        <w:rPr>
          <w:rFonts w:eastAsia="Times New Roman"/>
          <w:lang w:eastAsia="sv-SE"/>
        </w:rPr>
        <w:t xml:space="preserve">slagen i </w:t>
      </w:r>
      <w:bookmarkStart w:name="_Hlk163570873" w:id="44"/>
      <w:r w:rsidRPr="0074520F">
        <w:rPr>
          <w:rFonts w:eastAsia="Times New Roman"/>
          <w:lang w:eastAsia="sv-SE"/>
        </w:rPr>
        <w:t>SOU 2023:64</w:t>
      </w:r>
      <w:bookmarkEnd w:id="44"/>
      <w:r w:rsidR="007B6EB7">
        <w:rPr>
          <w:rFonts w:eastAsia="Times New Roman"/>
          <w:lang w:eastAsia="sv-SE"/>
        </w:rPr>
        <w:t>,</w:t>
      </w:r>
      <w:r w:rsidRPr="0074520F">
        <w:rPr>
          <w:rFonts w:eastAsia="Times New Roman"/>
          <w:lang w:eastAsia="sv-SE"/>
        </w:rPr>
        <w:t xml:space="preserve"> där man bl.a. föreslår att lagstiftningen som rör intäktsramar ska </w:t>
      </w:r>
      <w:r w:rsidRPr="001205B6">
        <w:rPr>
          <w:rFonts w:eastAsia="Times New Roman"/>
          <w:spacing w:val="-3"/>
          <w:lang w:eastAsia="sv-SE"/>
        </w:rPr>
        <w:t>ändras så att E</w:t>
      </w:r>
      <w:r w:rsidRPr="001205B6" w:rsidR="001A772D">
        <w:rPr>
          <w:rFonts w:eastAsia="Times New Roman"/>
          <w:spacing w:val="-3"/>
          <w:lang w:eastAsia="sv-SE"/>
        </w:rPr>
        <w:t>I</w:t>
      </w:r>
      <w:r w:rsidRPr="001205B6">
        <w:rPr>
          <w:rFonts w:eastAsia="Times New Roman"/>
          <w:spacing w:val="-3"/>
          <w:lang w:eastAsia="sv-SE"/>
        </w:rPr>
        <w:t xml:space="preserve"> självständigt ska kunna utforma regleringen.</w:t>
      </w:r>
      <w:r w:rsidRPr="001205B6">
        <w:rPr>
          <w:rFonts w:eastAsia="Times New Roman"/>
          <w:spacing w:val="-3"/>
          <w:vertAlign w:val="superscript"/>
          <w:lang w:eastAsia="sv-SE"/>
        </w:rPr>
        <w:footnoteReference w:id="59"/>
      </w:r>
      <w:r w:rsidRPr="001205B6">
        <w:rPr>
          <w:rFonts w:eastAsia="Times New Roman"/>
          <w:spacing w:val="-3"/>
          <w:lang w:eastAsia="sv-SE"/>
        </w:rPr>
        <w:t xml:space="preserve"> Det innebär förhoppnings</w:t>
      </w:r>
      <w:r w:rsidRPr="001205B6" w:rsidR="001205B6">
        <w:rPr>
          <w:rFonts w:eastAsia="Times New Roman"/>
          <w:spacing w:val="-3"/>
          <w:lang w:eastAsia="sv-SE"/>
        </w:rPr>
        <w:softHyphen/>
      </w:r>
      <w:r w:rsidRPr="001205B6">
        <w:rPr>
          <w:rFonts w:eastAsia="Times New Roman"/>
          <w:spacing w:val="-3"/>
          <w:lang w:eastAsia="sv-SE"/>
        </w:rPr>
        <w:t>vis</w:t>
      </w:r>
      <w:r w:rsidRPr="0074520F">
        <w:rPr>
          <w:rFonts w:eastAsia="Times New Roman"/>
          <w:lang w:eastAsia="sv-SE"/>
        </w:rPr>
        <w:t xml:space="preserve"> att E</w:t>
      </w:r>
      <w:r w:rsidR="001A772D">
        <w:rPr>
          <w:rFonts w:eastAsia="Times New Roman"/>
          <w:lang w:eastAsia="sv-SE"/>
        </w:rPr>
        <w:t>I</w:t>
      </w:r>
      <w:r w:rsidRPr="0074520F">
        <w:rPr>
          <w:rFonts w:eastAsia="Times New Roman"/>
          <w:lang w:eastAsia="sv-SE"/>
        </w:rPr>
        <w:t xml:space="preserve"> i framtiden kommer att kunna sätta intäktramar för kommande perioder som är skäliga och inte innebär kraftiga övervinster.</w:t>
      </w:r>
    </w:p>
    <w:p w:rsidRPr="0074520F" w:rsidR="00480FA4" w:rsidP="000B79A4" w:rsidRDefault="00480FA4" w14:paraId="006605E8" w14:textId="6F26EEEC">
      <w:pPr>
        <w:rPr>
          <w:rFonts w:eastAsia="Times New Roman"/>
          <w:lang w:eastAsia="sv-SE"/>
        </w:rPr>
      </w:pPr>
      <w:r w:rsidRPr="0074520F">
        <w:rPr>
          <w:rFonts w:eastAsia="Times New Roman"/>
          <w:lang w:eastAsia="sv-SE"/>
        </w:rPr>
        <w:t>Lagstiftningen kommer dock för sent för att påverka den nyligen beslutade fyraårs</w:t>
      </w:r>
      <w:r w:rsidR="001205B6">
        <w:rPr>
          <w:rFonts w:eastAsia="Times New Roman"/>
          <w:lang w:eastAsia="sv-SE"/>
        </w:rPr>
        <w:softHyphen/>
      </w:r>
      <w:r w:rsidRPr="0074520F">
        <w:rPr>
          <w:rFonts w:eastAsia="Times New Roman"/>
          <w:lang w:eastAsia="sv-SE"/>
        </w:rPr>
        <w:t xml:space="preserve">perioden 2024–2027. Under de kommande fyra åren kommer elnätsbolagen </w:t>
      </w:r>
      <w:r w:rsidR="007B6EB7">
        <w:rPr>
          <w:rFonts w:eastAsia="Times New Roman"/>
          <w:lang w:eastAsia="sv-SE"/>
        </w:rPr>
        <w:t xml:space="preserve">att </w:t>
      </w:r>
      <w:r w:rsidRPr="0074520F">
        <w:rPr>
          <w:rFonts w:eastAsia="Times New Roman"/>
          <w:lang w:eastAsia="sv-SE"/>
        </w:rPr>
        <w:t xml:space="preserve">kunna </w:t>
      </w:r>
      <w:r w:rsidRPr="001205B6">
        <w:rPr>
          <w:rFonts w:eastAsia="Times New Roman"/>
          <w:spacing w:val="-3"/>
          <w:lang w:eastAsia="sv-SE"/>
        </w:rPr>
        <w:t>höja priserna med ytterligare 40 procent och tillskansa sig ytterligare 100 miljarder</w:t>
      </w:r>
      <w:r w:rsidRPr="001205B6" w:rsidR="00911D85">
        <w:rPr>
          <w:rFonts w:eastAsia="Times New Roman"/>
          <w:spacing w:val="-3"/>
          <w:lang w:eastAsia="sv-SE"/>
        </w:rPr>
        <w:t xml:space="preserve"> kronor</w:t>
      </w:r>
      <w:r w:rsidRPr="0074520F">
        <w:rPr>
          <w:rFonts w:eastAsia="Times New Roman"/>
          <w:lang w:eastAsia="sv-SE"/>
        </w:rPr>
        <w:t xml:space="preserve"> av hushållens pengar.</w:t>
      </w:r>
    </w:p>
    <w:p w:rsidRPr="0074520F" w:rsidR="00A15C1C" w:rsidP="000B79A4" w:rsidRDefault="007B6EB7" w14:paraId="2CE73FCE" w14:textId="677F8603">
      <w:pPr>
        <w:rPr>
          <w:rFonts w:eastAsia="Times New Roman"/>
          <w:lang w:eastAsia="sv-SE"/>
        </w:rPr>
      </w:pPr>
      <w:r>
        <w:rPr>
          <w:rFonts w:eastAsia="Times New Roman"/>
          <w:lang w:eastAsia="sv-SE"/>
        </w:rPr>
        <w:t>A</w:t>
      </w:r>
      <w:r w:rsidRPr="0074520F" w:rsidR="00480FA4">
        <w:rPr>
          <w:rFonts w:eastAsia="Times New Roman"/>
          <w:lang w:eastAsia="sv-SE"/>
        </w:rPr>
        <w:t>v lagtekniska skäl går det inte att förhindra de oskäliga elnätspriserna och de fast</w:t>
      </w:r>
      <w:r w:rsidR="001205B6">
        <w:rPr>
          <w:rFonts w:eastAsia="Times New Roman"/>
          <w:lang w:eastAsia="sv-SE"/>
        </w:rPr>
        <w:softHyphen/>
      </w:r>
      <w:r w:rsidRPr="0074520F" w:rsidR="00480FA4">
        <w:rPr>
          <w:rFonts w:eastAsia="Times New Roman"/>
          <w:lang w:eastAsia="sv-SE"/>
        </w:rPr>
        <w:t>ställda intäktsramarna för perioden 2024</w:t>
      </w:r>
      <w:r w:rsidRPr="0074520F" w:rsidR="00721AF0">
        <w:rPr>
          <w:rFonts w:eastAsia="Times New Roman"/>
          <w:lang w:eastAsia="sv-SE"/>
        </w:rPr>
        <w:t>–</w:t>
      </w:r>
      <w:r w:rsidRPr="0074520F" w:rsidR="00480FA4">
        <w:rPr>
          <w:rFonts w:eastAsia="Times New Roman"/>
          <w:lang w:eastAsia="sv-SE"/>
        </w:rPr>
        <w:t>2027. Det är däremot möjligt för staten att begränsa prisökningen genom att beskatta företagen på motsvarande belopp som över</w:t>
      </w:r>
      <w:r w:rsidR="001205B6">
        <w:rPr>
          <w:rFonts w:eastAsia="Times New Roman"/>
          <w:lang w:eastAsia="sv-SE"/>
        </w:rPr>
        <w:softHyphen/>
      </w:r>
      <w:r w:rsidRPr="0074520F" w:rsidR="00480FA4">
        <w:rPr>
          <w:rFonts w:eastAsia="Times New Roman"/>
          <w:lang w:eastAsia="sv-SE"/>
        </w:rPr>
        <w:t xml:space="preserve">vinsterna utgör. </w:t>
      </w:r>
    </w:p>
    <w:p w:rsidRPr="0074520F" w:rsidR="00480FA4" w:rsidP="000B79A4" w:rsidRDefault="00A15C1C" w14:paraId="26230BAA" w14:textId="356A63E1">
      <w:pPr>
        <w:rPr>
          <w:rFonts w:eastAsia="Times New Roman"/>
          <w:lang w:eastAsia="sv-SE"/>
        </w:rPr>
      </w:pPr>
      <w:r w:rsidRPr="0074520F">
        <w:rPr>
          <w:rFonts w:eastAsia="Times New Roman"/>
          <w:lang w:eastAsia="sv-SE"/>
        </w:rPr>
        <w:t>Vänsterpartiet föresl</w:t>
      </w:r>
      <w:r w:rsidRPr="0074520F" w:rsidR="005013AF">
        <w:rPr>
          <w:rFonts w:eastAsia="Times New Roman"/>
          <w:lang w:eastAsia="sv-SE"/>
        </w:rPr>
        <w:t>år därför</w:t>
      </w:r>
      <w:r w:rsidRPr="0074520F">
        <w:rPr>
          <w:rFonts w:eastAsia="Times New Roman"/>
          <w:lang w:eastAsia="sv-SE"/>
        </w:rPr>
        <w:t xml:space="preserve"> en tillfällig skatt på elnätsföretagens övervinster </w:t>
      </w:r>
      <w:r w:rsidR="00BF7C06">
        <w:rPr>
          <w:rFonts w:eastAsia="Times New Roman"/>
          <w:lang w:eastAsia="sv-SE"/>
        </w:rPr>
        <w:t>för</w:t>
      </w:r>
      <w:r w:rsidRPr="0074520F">
        <w:rPr>
          <w:rFonts w:eastAsia="Times New Roman"/>
          <w:lang w:eastAsia="sv-SE"/>
        </w:rPr>
        <w:t xml:space="preserve"> att elnätsavgifterna för hushållen inte ska höjas ytterligare. </w:t>
      </w:r>
      <w:r w:rsidRPr="0074520F" w:rsidR="00480FA4">
        <w:rPr>
          <w:rFonts w:eastAsia="Times New Roman"/>
          <w:lang w:eastAsia="sv-SE"/>
        </w:rPr>
        <w:t xml:space="preserve">De fastställda intäktsramarna berör över 170 bolag som ofta ingår i stora koncerner. Möjligheten att förändra vinsten i bokslutet för de enskilda bolagen är betydande via </w:t>
      </w:r>
      <w:r w:rsidRPr="0074520F" w:rsidR="00755461">
        <w:rPr>
          <w:rFonts w:eastAsia="Times New Roman"/>
          <w:lang w:eastAsia="sv-SE"/>
        </w:rPr>
        <w:t>s.k.</w:t>
      </w:r>
      <w:r w:rsidRPr="0074520F" w:rsidR="00480FA4">
        <w:rPr>
          <w:rFonts w:eastAsia="Times New Roman"/>
          <w:lang w:eastAsia="sv-SE"/>
        </w:rPr>
        <w:t xml:space="preserve"> finansiella bokslutsdispositioner </w:t>
      </w:r>
      <w:r w:rsidRPr="001205B6" w:rsidR="00480FA4">
        <w:rPr>
          <w:rFonts w:eastAsia="Times New Roman"/>
          <w:spacing w:val="-3"/>
          <w:lang w:eastAsia="sv-SE"/>
        </w:rPr>
        <w:t>och koncernbidrag. Det gör att en vanlig bolagsskatt på elnätsbolagen inte skulle bli effek</w:t>
      </w:r>
      <w:r w:rsidRPr="001205B6" w:rsidR="001205B6">
        <w:rPr>
          <w:rFonts w:eastAsia="Times New Roman"/>
          <w:spacing w:val="-3"/>
          <w:lang w:eastAsia="sv-SE"/>
        </w:rPr>
        <w:softHyphen/>
      </w:r>
      <w:r w:rsidRPr="001205B6" w:rsidR="00480FA4">
        <w:rPr>
          <w:rFonts w:eastAsia="Times New Roman"/>
          <w:spacing w:val="-3"/>
          <w:lang w:eastAsia="sv-SE"/>
        </w:rPr>
        <w:t>tiv</w:t>
      </w:r>
      <w:r w:rsidRPr="0074520F" w:rsidR="00480FA4">
        <w:rPr>
          <w:rFonts w:eastAsia="Times New Roman"/>
          <w:lang w:eastAsia="sv-SE"/>
        </w:rPr>
        <w:t xml:space="preserve">. Vänsterpartiet föreslår därför en tillfällig skatt på rörelseresultatet under de fyra år som dessa övervinster kommer </w:t>
      </w:r>
      <w:r w:rsidR="00BC095D">
        <w:rPr>
          <w:rFonts w:eastAsia="Times New Roman"/>
          <w:lang w:eastAsia="sv-SE"/>
        </w:rPr>
        <w:t xml:space="preserve">att </w:t>
      </w:r>
      <w:r w:rsidRPr="0074520F" w:rsidR="00480FA4">
        <w:rPr>
          <w:rFonts w:eastAsia="Times New Roman"/>
          <w:lang w:eastAsia="sv-SE"/>
        </w:rPr>
        <w:t xml:space="preserve">uppstå. </w:t>
      </w:r>
      <w:r w:rsidRPr="0074520F" w:rsidR="00DE6623">
        <w:rPr>
          <w:rFonts w:eastAsia="Times New Roman"/>
          <w:lang w:eastAsia="sv-SE"/>
        </w:rPr>
        <w:t>En försiktig och preliminär bedömning är att skatten under perioden kan dra in över 100 miljarder kronor om elnätsbolagen skulle genomföra planerade prishöjningar. De kraftig</w:t>
      </w:r>
      <w:r w:rsidR="00DF630B">
        <w:rPr>
          <w:rFonts w:eastAsia="Times New Roman"/>
          <w:lang w:eastAsia="sv-SE"/>
        </w:rPr>
        <w:t>a</w:t>
      </w:r>
      <w:r w:rsidRPr="0074520F" w:rsidR="00DE6623">
        <w:rPr>
          <w:rFonts w:eastAsia="Times New Roman"/>
          <w:lang w:eastAsia="sv-SE"/>
        </w:rPr>
        <w:t xml:space="preserve"> höj</w:t>
      </w:r>
      <w:r w:rsidR="00DF630B">
        <w:rPr>
          <w:rFonts w:eastAsia="Times New Roman"/>
          <w:lang w:eastAsia="sv-SE"/>
        </w:rPr>
        <w:t>ningar av</w:t>
      </w:r>
      <w:r w:rsidRPr="0074520F" w:rsidR="00DE6623">
        <w:rPr>
          <w:rFonts w:eastAsia="Times New Roman"/>
          <w:lang w:eastAsia="sv-SE"/>
        </w:rPr>
        <w:t xml:space="preserve"> elnätspriserna som skett sedan 2012 motiverar att elnätsavgifterna ligger still för företagen den kommande </w:t>
      </w:r>
      <w:r w:rsidRPr="001205B6" w:rsidR="00DE6623">
        <w:rPr>
          <w:rFonts w:eastAsia="Times New Roman"/>
          <w:spacing w:val="-3"/>
          <w:lang w:eastAsia="sv-SE"/>
        </w:rPr>
        <w:t>fyra</w:t>
      </w:r>
      <w:r w:rsidRPr="001205B6" w:rsidR="001205B6">
        <w:rPr>
          <w:rFonts w:eastAsia="Times New Roman"/>
          <w:spacing w:val="-3"/>
          <w:lang w:eastAsia="sv-SE"/>
        </w:rPr>
        <w:softHyphen/>
      </w:r>
      <w:r w:rsidRPr="001205B6" w:rsidR="00DE6623">
        <w:rPr>
          <w:rFonts w:eastAsia="Times New Roman"/>
          <w:spacing w:val="-3"/>
          <w:lang w:eastAsia="sv-SE"/>
        </w:rPr>
        <w:t>årsperioden och att tillskottet på 100 miljarder</w:t>
      </w:r>
      <w:r w:rsidRPr="001205B6" w:rsidR="00DA3CE0">
        <w:rPr>
          <w:rFonts w:eastAsia="Times New Roman"/>
          <w:spacing w:val="-3"/>
          <w:lang w:eastAsia="sv-SE"/>
        </w:rPr>
        <w:t xml:space="preserve"> kronor</w:t>
      </w:r>
      <w:r w:rsidRPr="001205B6" w:rsidR="00DE6623">
        <w:rPr>
          <w:rFonts w:eastAsia="Times New Roman"/>
          <w:spacing w:val="-3"/>
          <w:lang w:eastAsia="sv-SE"/>
        </w:rPr>
        <w:t xml:space="preserve"> därmed dras tillbaka den kommande</w:t>
      </w:r>
      <w:r w:rsidRPr="0074520F" w:rsidR="00DE6623">
        <w:rPr>
          <w:rFonts w:eastAsia="Times New Roman"/>
          <w:lang w:eastAsia="sv-SE"/>
        </w:rPr>
        <w:t xml:space="preserve"> </w:t>
      </w:r>
      <w:r w:rsidRPr="001205B6" w:rsidR="00DE6623">
        <w:rPr>
          <w:rFonts w:eastAsia="Times New Roman"/>
          <w:spacing w:val="-3"/>
          <w:lang w:eastAsia="sv-SE"/>
        </w:rPr>
        <w:t xml:space="preserve">fyraårsperioden. </w:t>
      </w:r>
      <w:r w:rsidRPr="001205B6" w:rsidR="00480FA4">
        <w:rPr>
          <w:rFonts w:eastAsia="Times New Roman"/>
          <w:spacing w:val="-3"/>
          <w:lang w:eastAsia="sv-SE"/>
        </w:rPr>
        <w:t xml:space="preserve">Skatten kan </w:t>
      </w:r>
      <w:r w:rsidRPr="001205B6" w:rsidR="00DE6623">
        <w:rPr>
          <w:rFonts w:eastAsia="Times New Roman"/>
          <w:spacing w:val="-3"/>
          <w:lang w:eastAsia="sv-SE"/>
        </w:rPr>
        <w:t xml:space="preserve">dock </w:t>
      </w:r>
      <w:r w:rsidRPr="001205B6" w:rsidR="00480FA4">
        <w:rPr>
          <w:rFonts w:eastAsia="Times New Roman"/>
          <w:spacing w:val="-3"/>
          <w:lang w:eastAsia="sv-SE"/>
        </w:rPr>
        <w:t>antas innebära att elnätsföretagen inte ser någon anled</w:t>
      </w:r>
      <w:r w:rsidRPr="001205B6" w:rsidR="001205B6">
        <w:rPr>
          <w:rFonts w:eastAsia="Times New Roman"/>
          <w:spacing w:val="-3"/>
          <w:lang w:eastAsia="sv-SE"/>
        </w:rPr>
        <w:softHyphen/>
      </w:r>
      <w:r w:rsidRPr="001205B6" w:rsidR="00480FA4">
        <w:rPr>
          <w:rFonts w:eastAsia="Times New Roman"/>
          <w:spacing w:val="-3"/>
          <w:lang w:eastAsia="sv-SE"/>
        </w:rPr>
        <w:t>ning</w:t>
      </w:r>
      <w:r w:rsidRPr="0074520F" w:rsidR="00480FA4">
        <w:rPr>
          <w:rFonts w:eastAsia="Times New Roman"/>
          <w:lang w:eastAsia="sv-SE"/>
        </w:rPr>
        <w:t xml:space="preserve"> att nyttja hela intäktsramen och därmed inte höj</w:t>
      </w:r>
      <w:r w:rsidRPr="0074520F" w:rsidR="00DE6623">
        <w:rPr>
          <w:rFonts w:eastAsia="Times New Roman"/>
          <w:lang w:eastAsia="sv-SE"/>
        </w:rPr>
        <w:t>er</w:t>
      </w:r>
      <w:r w:rsidRPr="0074520F" w:rsidR="00480FA4">
        <w:rPr>
          <w:rFonts w:eastAsia="Times New Roman"/>
          <w:lang w:eastAsia="sv-SE"/>
        </w:rPr>
        <w:t xml:space="preserve"> elnätsavgifterna. </w:t>
      </w:r>
      <w:r w:rsidRPr="0074520F" w:rsidR="00DE6623">
        <w:rPr>
          <w:rFonts w:eastAsia="Times New Roman"/>
          <w:lang w:eastAsia="sv-SE"/>
        </w:rPr>
        <w:t>Det skulle inne</w:t>
      </w:r>
      <w:r w:rsidR="001205B6">
        <w:rPr>
          <w:rFonts w:eastAsia="Times New Roman"/>
          <w:lang w:eastAsia="sv-SE"/>
        </w:rPr>
        <w:softHyphen/>
      </w:r>
      <w:r w:rsidRPr="001205B6" w:rsidR="00DE6623">
        <w:rPr>
          <w:rFonts w:eastAsia="Times New Roman"/>
          <w:spacing w:val="-3"/>
          <w:lang w:eastAsia="sv-SE"/>
        </w:rPr>
        <w:t>bära att förslaget genererade betydligt lägre skatteintäkter. För Vänsterpartiet är förslagets</w:t>
      </w:r>
      <w:r w:rsidRPr="0074520F" w:rsidR="00DE6623">
        <w:rPr>
          <w:rFonts w:eastAsia="Times New Roman"/>
          <w:lang w:eastAsia="sv-SE"/>
        </w:rPr>
        <w:t xml:space="preserve"> huvudsakliga syfte inte att öka statens skatteinkomster, utan att skydda hushållen mot oskäliga prishöjningar på elnätet. </w:t>
      </w:r>
      <w:r w:rsidRPr="0074520F" w:rsidR="00480FA4">
        <w:rPr>
          <w:rFonts w:eastAsia="Times New Roman"/>
          <w:lang w:eastAsia="sv-SE"/>
        </w:rPr>
        <w:t>De eventuella skatteintäkter som ändå görs ska oav</w:t>
      </w:r>
      <w:r w:rsidR="001205B6">
        <w:rPr>
          <w:rFonts w:eastAsia="Times New Roman"/>
          <w:lang w:eastAsia="sv-SE"/>
        </w:rPr>
        <w:softHyphen/>
      </w:r>
      <w:r w:rsidRPr="0074520F" w:rsidR="00480FA4">
        <w:rPr>
          <w:rFonts w:eastAsia="Times New Roman"/>
          <w:lang w:eastAsia="sv-SE"/>
        </w:rPr>
        <w:t xml:space="preserve">kortat återföras till hushållen. </w:t>
      </w:r>
    </w:p>
    <w:p w:rsidRPr="0074520F" w:rsidR="00480FA4" w:rsidP="000B79A4" w:rsidRDefault="00480FA4" w14:paraId="552BCC75" w14:textId="5F44D37D">
      <w:pPr>
        <w:rPr>
          <w:rFonts w:eastAsia="Times New Roman"/>
          <w:lang w:eastAsia="sv-SE"/>
        </w:rPr>
      </w:pPr>
      <w:r w:rsidRPr="0074520F">
        <w:rPr>
          <w:rFonts w:eastAsia="Times New Roman"/>
          <w:lang w:eastAsia="sv-SE"/>
        </w:rPr>
        <w:t>Under lång tid har investeringar i elnätet varit eftersatta. Det är uppenbart att mark</w:t>
      </w:r>
      <w:r w:rsidR="001205B6">
        <w:rPr>
          <w:rFonts w:eastAsia="Times New Roman"/>
          <w:lang w:eastAsia="sv-SE"/>
        </w:rPr>
        <w:softHyphen/>
      </w:r>
      <w:r w:rsidRPr="0074520F">
        <w:rPr>
          <w:rFonts w:eastAsia="Times New Roman"/>
          <w:lang w:eastAsia="sv-SE"/>
        </w:rPr>
        <w:t xml:space="preserve">naden inte har lyckats lösa detta efter avregleringen på 1990-talet. Elnätsbolagens ursäkt </w:t>
      </w:r>
      <w:r w:rsidRPr="001205B6">
        <w:rPr>
          <w:rFonts w:eastAsia="Times New Roman"/>
          <w:spacing w:val="-3"/>
          <w:lang w:eastAsia="sv-SE"/>
        </w:rPr>
        <w:t>för de höjda avgifterna är behovet av stora investeringar. Men de ökade priserna kan bara</w:t>
      </w:r>
      <w:r w:rsidRPr="0074520F">
        <w:rPr>
          <w:rFonts w:eastAsia="Times New Roman"/>
          <w:lang w:eastAsia="sv-SE"/>
        </w:rPr>
        <w:t xml:space="preserve"> till viss del motiveras av elnätsbolagens ökade kostnader.</w:t>
      </w:r>
      <w:r w:rsidRPr="0074520F">
        <w:rPr>
          <w:rFonts w:eastAsia="Times New Roman"/>
          <w:vertAlign w:val="superscript"/>
          <w:lang w:eastAsia="sv-SE"/>
        </w:rPr>
        <w:footnoteReference w:id="60"/>
      </w:r>
      <w:r w:rsidRPr="0074520F">
        <w:rPr>
          <w:rFonts w:eastAsia="Times New Roman"/>
          <w:lang w:eastAsia="sv-SE"/>
        </w:rPr>
        <w:t xml:space="preserve"> I samband med att intäkts</w:t>
      </w:r>
      <w:r w:rsidR="001205B6">
        <w:rPr>
          <w:rFonts w:eastAsia="Times New Roman"/>
          <w:lang w:eastAsia="sv-SE"/>
        </w:rPr>
        <w:softHyphen/>
      </w:r>
      <w:r w:rsidRPr="0074520F">
        <w:rPr>
          <w:rFonts w:eastAsia="Times New Roman"/>
          <w:lang w:eastAsia="sv-SE"/>
        </w:rPr>
        <w:t>ramarna för perioden 2024</w:t>
      </w:r>
      <w:r w:rsidRPr="0074520F" w:rsidR="000B79A4">
        <w:rPr>
          <w:rFonts w:eastAsia="Times New Roman"/>
          <w:lang w:eastAsia="sv-SE"/>
        </w:rPr>
        <w:t>–</w:t>
      </w:r>
      <w:r w:rsidRPr="0074520F">
        <w:rPr>
          <w:rFonts w:eastAsia="Times New Roman"/>
          <w:lang w:eastAsia="sv-SE"/>
        </w:rPr>
        <w:t>2027 fastställdes meddelade också E</w:t>
      </w:r>
      <w:r w:rsidR="001A772D">
        <w:rPr>
          <w:rFonts w:eastAsia="Times New Roman"/>
          <w:lang w:eastAsia="sv-SE"/>
        </w:rPr>
        <w:t>I</w:t>
      </w:r>
      <w:r w:rsidRPr="0074520F">
        <w:rPr>
          <w:rFonts w:eastAsia="Times New Roman"/>
          <w:lang w:eastAsia="sv-SE"/>
        </w:rPr>
        <w:t xml:space="preserve"> att det endast är en mindre del av ökningen av kapitalkostnader som beror på planerade investeringar i elnäten.</w:t>
      </w:r>
      <w:r w:rsidRPr="0074520F">
        <w:rPr>
          <w:rFonts w:eastAsia="Times New Roman"/>
          <w:vertAlign w:val="superscript"/>
          <w:lang w:eastAsia="sv-SE"/>
        </w:rPr>
        <w:footnoteReference w:id="61"/>
      </w:r>
      <w:r w:rsidRPr="0074520F">
        <w:rPr>
          <w:rFonts w:eastAsia="Times New Roman"/>
          <w:lang w:eastAsia="sv-SE"/>
        </w:rPr>
        <w:t xml:space="preserve"> </w:t>
      </w:r>
    </w:p>
    <w:p w:rsidRPr="0074520F" w:rsidR="00480FA4" w:rsidP="000B79A4" w:rsidRDefault="00480FA4" w14:paraId="63BE145C" w14:textId="059DD940">
      <w:pPr>
        <w:rPr>
          <w:rFonts w:eastAsia="Times New Roman"/>
          <w:lang w:eastAsia="sv-SE"/>
        </w:rPr>
      </w:pPr>
      <w:r w:rsidRPr="0074520F">
        <w:rPr>
          <w:rFonts w:eastAsia="Times New Roman"/>
          <w:lang w:eastAsia="sv-SE"/>
        </w:rPr>
        <w:lastRenderedPageBreak/>
        <w:t>Intäktsramarna för perioden 2024</w:t>
      </w:r>
      <w:r w:rsidRPr="0074520F" w:rsidR="000B79A4">
        <w:rPr>
          <w:rFonts w:eastAsia="Times New Roman"/>
          <w:lang w:eastAsia="sv-SE"/>
        </w:rPr>
        <w:t>–</w:t>
      </w:r>
      <w:r w:rsidRPr="0074520F">
        <w:rPr>
          <w:rFonts w:eastAsia="Times New Roman"/>
          <w:lang w:eastAsia="sv-SE"/>
        </w:rPr>
        <w:t xml:space="preserve">2027 uppgår till totalt ca 326 miljarder kronor. Elnätsföretagen planerar under samma period att göra investeringar för ca 30 miljarder kronor. </w:t>
      </w:r>
    </w:p>
    <w:p w:rsidRPr="0074520F" w:rsidR="00480FA4" w:rsidP="00636A72" w:rsidRDefault="00480FA4" w14:paraId="29BDF4E8" w14:textId="7846723A">
      <w:pPr>
        <w:rPr>
          <w:rFonts w:eastAsia="Times New Roman"/>
          <w:lang w:eastAsia="sv-SE"/>
        </w:rPr>
      </w:pPr>
      <w:r w:rsidRPr="0074520F">
        <w:rPr>
          <w:rFonts w:eastAsia="Times New Roman"/>
          <w:lang w:eastAsia="sv-SE"/>
        </w:rPr>
        <w:t>För att ändå utesluta risken</w:t>
      </w:r>
      <w:r w:rsidR="007D2D7E">
        <w:rPr>
          <w:rFonts w:eastAsia="Times New Roman"/>
          <w:lang w:eastAsia="sv-SE"/>
        </w:rPr>
        <w:t xml:space="preserve"> för</w:t>
      </w:r>
      <w:r w:rsidRPr="0074520F">
        <w:rPr>
          <w:rFonts w:eastAsia="Times New Roman"/>
          <w:lang w:eastAsia="sv-SE"/>
        </w:rPr>
        <w:t xml:space="preserve"> att planerade investeringar i elnäten uteblir medger Vänsterpartiets förslag en möjlighet att begära undantag för de bolag som kan visa att man de facto gör betydande investeringar som motiverar ökade intäktsramar. </w:t>
      </w:r>
    </w:p>
    <w:p w:rsidRPr="0010424F" w:rsidR="003C32FA" w:rsidP="0010424F" w:rsidRDefault="008C20E8" w14:paraId="6C54AF2F" w14:textId="7B59B54F">
      <w:pPr>
        <w:pStyle w:val="Rubrik1numrerat"/>
      </w:pPr>
      <w:bookmarkStart w:name="_Toc166056445" w:id="45"/>
      <w:bookmarkEnd w:id="40"/>
      <w:r w:rsidRPr="0010424F">
        <w:t>Klimatomställningen och behovet av ett reformerat ramverk</w:t>
      </w:r>
      <w:bookmarkEnd w:id="45"/>
    </w:p>
    <w:p w:rsidRPr="0074520F" w:rsidR="002C5593" w:rsidP="00754CA5" w:rsidRDefault="008C20E8" w14:paraId="1F8C7B89" w14:textId="25F84D6B">
      <w:pPr>
        <w:pStyle w:val="Normalutanindragellerluft"/>
      </w:pPr>
      <w:r w:rsidRPr="0074520F">
        <w:t xml:space="preserve">År 2016 slöts en överenskommelse om det finanspolitiska ramverket mellan samtliga </w:t>
      </w:r>
      <w:r w:rsidRPr="00426510">
        <w:rPr>
          <w:spacing w:val="-3"/>
        </w:rPr>
        <w:t>riksdagspartier, förutom Sverigedemokraterna. De viktigaste delarna i överenskommelsen</w:t>
      </w:r>
      <w:r w:rsidRPr="0074520F">
        <w:t xml:space="preserve"> var att nivån på överskottsmålet för de offentliga finanserna sänktes från 1 procent till 0,33 procent över en konjunkturcykel och att ett skuldankare för den offentliga skulden infördes. Dessa regler trädde i kraft 2019. </w:t>
      </w:r>
    </w:p>
    <w:p w:rsidRPr="0074520F" w:rsidR="004D0B6B" w:rsidP="00754CA5" w:rsidRDefault="008C20E8" w14:paraId="58041A7F" w14:textId="3C9EB0EB">
      <w:r w:rsidRPr="0074520F">
        <w:t>En annan central komponent i överenskommelsen var att man skrev in att det finans</w:t>
      </w:r>
      <w:r w:rsidR="00426510">
        <w:softHyphen/>
      </w:r>
      <w:r w:rsidRPr="001455C8">
        <w:rPr>
          <w:spacing w:val="-3"/>
        </w:rPr>
        <w:t>politiska ramverket skulle ses över i slutet av varannan mandatperiod så att eventuella revi</w:t>
      </w:r>
      <w:r w:rsidRPr="001455C8" w:rsidR="001455C8">
        <w:rPr>
          <w:spacing w:val="-3"/>
        </w:rPr>
        <w:softHyphen/>
      </w:r>
      <w:r w:rsidRPr="001455C8">
        <w:rPr>
          <w:spacing w:val="-3"/>
        </w:rPr>
        <w:t>derade</w:t>
      </w:r>
      <w:r w:rsidRPr="00426510">
        <w:rPr>
          <w:spacing w:val="-3"/>
        </w:rPr>
        <w:t xml:space="preserve"> mål skulle kunna träda i kraft första året efter ett ordinarie val. </w:t>
      </w:r>
      <w:r w:rsidRPr="00426510" w:rsidR="007972D9">
        <w:rPr>
          <w:spacing w:val="-3"/>
        </w:rPr>
        <w:t>För närvarande</w:t>
      </w:r>
      <w:r w:rsidRPr="0074520F" w:rsidR="007972D9">
        <w:t xml:space="preserve"> på</w:t>
      </w:r>
      <w:r w:rsidR="001455C8">
        <w:softHyphen/>
      </w:r>
      <w:r w:rsidRPr="001455C8" w:rsidR="007972D9">
        <w:rPr>
          <w:spacing w:val="-3"/>
        </w:rPr>
        <w:t xml:space="preserve">går en sådan </w:t>
      </w:r>
      <w:r w:rsidRPr="001455C8" w:rsidR="004D0B6B">
        <w:rPr>
          <w:spacing w:val="-3"/>
        </w:rPr>
        <w:t>utredning, Kommittén för översyn av nivån på målet för den offentliga sek</w:t>
      </w:r>
      <w:r w:rsidRPr="001455C8" w:rsidR="001455C8">
        <w:rPr>
          <w:spacing w:val="-3"/>
        </w:rPr>
        <w:softHyphen/>
      </w:r>
      <w:r w:rsidRPr="001455C8" w:rsidR="004D0B6B">
        <w:rPr>
          <w:spacing w:val="-3"/>
        </w:rPr>
        <w:t>torns</w:t>
      </w:r>
      <w:r w:rsidRPr="0074520F" w:rsidR="004D0B6B">
        <w:t xml:space="preserve"> </w:t>
      </w:r>
      <w:r w:rsidRPr="001455C8" w:rsidR="004D0B6B">
        <w:rPr>
          <w:spacing w:val="-3"/>
        </w:rPr>
        <w:t>finansiella sparande. Enligt tidtabellen ska utredningen bli klar i november i år. Men</w:t>
      </w:r>
      <w:r w:rsidRPr="0074520F" w:rsidR="004D0B6B">
        <w:t xml:space="preserve"> den eventuellt nya nivån på det finansiella sparandet är tänkt att börja gälla först 2027.</w:t>
      </w:r>
    </w:p>
    <w:p w:rsidRPr="0074520F" w:rsidR="008C20E8" w:rsidP="00754CA5" w:rsidRDefault="008C20E8" w14:paraId="130F1E5C" w14:textId="75F32A7F">
      <w:r w:rsidRPr="0074520F">
        <w:t xml:space="preserve">Vänsterpartiet har länge drivit frågan om att tidigarelägga denna översyn. Det som vi </w:t>
      </w:r>
      <w:r w:rsidRPr="007300AF">
        <w:rPr>
          <w:spacing w:val="-3"/>
        </w:rPr>
        <w:t>framför allt lyft fram är att nivån på överskottsmålet och det nya skuldankaret inte är kon</w:t>
      </w:r>
      <w:r w:rsidRPr="007300AF" w:rsidR="007300AF">
        <w:rPr>
          <w:spacing w:val="-3"/>
        </w:rPr>
        <w:softHyphen/>
      </w:r>
      <w:r w:rsidRPr="007300AF">
        <w:rPr>
          <w:spacing w:val="-3"/>
        </w:rPr>
        <w:t>sistenta</w:t>
      </w:r>
      <w:r w:rsidRPr="0074520F">
        <w:t xml:space="preserve"> </w:t>
      </w:r>
      <w:r w:rsidRPr="007300AF">
        <w:rPr>
          <w:spacing w:val="-3"/>
        </w:rPr>
        <w:t xml:space="preserve">med varandra och att överskottsmålet står i vägen för de stora statliga investeringar </w:t>
      </w:r>
      <w:r w:rsidRPr="007300AF">
        <w:rPr>
          <w:spacing w:val="-2"/>
        </w:rPr>
        <w:t>som måste till för att möjliggöra och snabba på klimatomställningen. Den gröna omställ</w:t>
      </w:r>
      <w:r w:rsidRPr="007300AF" w:rsidR="007300AF">
        <w:rPr>
          <w:spacing w:val="-2"/>
        </w:rPr>
        <w:softHyphen/>
      </w:r>
      <w:r w:rsidRPr="007300AF">
        <w:rPr>
          <w:spacing w:val="-3"/>
        </w:rPr>
        <w:t>ningen</w:t>
      </w:r>
      <w:r w:rsidRPr="0074520F">
        <w:t xml:space="preserve"> kan inte vänta till 2027, den måste ske omedelbart. </w:t>
      </w:r>
    </w:p>
    <w:p w:rsidRPr="0074520F" w:rsidR="008C20E8" w:rsidP="00754CA5" w:rsidRDefault="008C20E8" w14:paraId="460C7794" w14:textId="0F2CA9AE">
      <w:r w:rsidRPr="007300AF">
        <w:rPr>
          <w:spacing w:val="-3"/>
        </w:rPr>
        <w:t>Klimatomställningen kommer att innebära att omfattande investeringar behöver göras</w:t>
      </w:r>
      <w:r w:rsidRPr="0074520F">
        <w:t xml:space="preserve"> i </w:t>
      </w:r>
      <w:r w:rsidRPr="007300AF">
        <w:rPr>
          <w:spacing w:val="-3"/>
        </w:rPr>
        <w:t>en rad samhällsviktiga verksamheter. Det rör sig om investeringar i transportinfrastruktur</w:t>
      </w:r>
      <w:r w:rsidR="001975EB">
        <w:t xml:space="preserve"> och</w:t>
      </w:r>
      <w:r w:rsidRPr="0074520F">
        <w:t xml:space="preserve"> </w:t>
      </w:r>
      <w:proofErr w:type="spellStart"/>
      <w:r w:rsidRPr="0074520F">
        <w:t>elöverföring</w:t>
      </w:r>
      <w:proofErr w:type="spellEnd"/>
      <w:r w:rsidRPr="0074520F">
        <w:t xml:space="preserve"> och -produktion </w:t>
      </w:r>
      <w:r w:rsidR="001975EB">
        <w:t>samt</w:t>
      </w:r>
      <w:r w:rsidRPr="0074520F">
        <w:t xml:space="preserve"> en upprustning </w:t>
      </w:r>
      <w:r w:rsidR="001975EB">
        <w:t>och</w:t>
      </w:r>
      <w:r w:rsidRPr="0074520F">
        <w:t xml:space="preserve"> klimatanpassning av bostads</w:t>
      </w:r>
      <w:r w:rsidR="007300AF">
        <w:softHyphen/>
      </w:r>
      <w:r w:rsidRPr="0074520F">
        <w:t>beståndet. Investeringarnas storlek är beroende av en rad faktorer</w:t>
      </w:r>
      <w:r w:rsidR="001975EB">
        <w:t>,</w:t>
      </w:r>
      <w:r w:rsidRPr="0074520F">
        <w:t xml:space="preserve"> och tidsaspekten är en viktigt sådan. Ju längre världens stater avstår från att vidta åtgärder och genomföra </w:t>
      </w:r>
      <w:r w:rsidRPr="007300AF">
        <w:rPr>
          <w:spacing w:val="-3"/>
        </w:rPr>
        <w:t>omfattande investeringar</w:t>
      </w:r>
      <w:r w:rsidRPr="007300AF" w:rsidR="001975EB">
        <w:rPr>
          <w:spacing w:val="-3"/>
        </w:rPr>
        <w:t>,</w:t>
      </w:r>
      <w:r w:rsidRPr="007300AF">
        <w:rPr>
          <w:spacing w:val="-3"/>
        </w:rPr>
        <w:t xml:space="preserve"> desto högre kommer kostnaden att bli för att hantera effekterna </w:t>
      </w:r>
      <w:r w:rsidRPr="0074520F">
        <w:t xml:space="preserve">av klimatförändringarna. Att återställa, förhindra och reparera skador i efterhand är en </w:t>
      </w:r>
      <w:r w:rsidRPr="007300AF">
        <w:rPr>
          <w:spacing w:val="-3"/>
        </w:rPr>
        <w:t>betydligt dyrare väg att gå än att i möjligaste mån förebygga klimatförändringarnas nega</w:t>
      </w:r>
      <w:r w:rsidRPr="007300AF" w:rsidR="007300AF">
        <w:rPr>
          <w:spacing w:val="-3"/>
        </w:rPr>
        <w:softHyphen/>
      </w:r>
      <w:r w:rsidRPr="007300AF">
        <w:rPr>
          <w:spacing w:val="-3"/>
        </w:rPr>
        <w:t>tiva inverkan på samhället. Dessutom förutsätter en offensiv klimatomställningspolitik</w:t>
      </w:r>
      <w:r w:rsidRPr="0074520F">
        <w:t xml:space="preserve"> som är lika eller mer ambitiös än de konventionsbundna åtaganden som Sverige för</w:t>
      </w:r>
      <w:r w:rsidR="007300AF">
        <w:softHyphen/>
      </w:r>
      <w:r w:rsidRPr="0074520F">
        <w:t xml:space="preserve">bundit sig att följa att investeringarna behöver genomföras i relativ närtid och </w:t>
      </w:r>
      <w:r w:rsidR="001975EB">
        <w:t>med</w:t>
      </w:r>
      <w:r w:rsidRPr="0074520F">
        <w:t xml:space="preserve"> betydande summor.</w:t>
      </w:r>
    </w:p>
    <w:p w:rsidRPr="0010424F" w:rsidR="002F4BAB" w:rsidP="0010424F" w:rsidRDefault="002F4BAB" w14:paraId="77EE437C" w14:textId="033B9774">
      <w:pPr>
        <w:pStyle w:val="Rubrik2numrerat"/>
      </w:pPr>
      <w:bookmarkStart w:name="_Toc166056446" w:id="46"/>
      <w:r w:rsidRPr="0010424F">
        <w:t>Ett ramverk för ett rikare Sverige</w:t>
      </w:r>
      <w:bookmarkEnd w:id="46"/>
    </w:p>
    <w:p w:rsidRPr="0074520F" w:rsidR="002C5593" w:rsidP="003C623C" w:rsidRDefault="002F4BAB" w14:paraId="1F7D9E49" w14:textId="31C7A402">
      <w:pPr>
        <w:pStyle w:val="Normalutanindragellerluft"/>
      </w:pPr>
      <w:bookmarkStart w:name="_Hlk147175551" w:id="47"/>
      <w:r w:rsidRPr="0074520F">
        <w:t>De ursprungliga skälen bakom överskottsmålet är sedan länge uppfyllda och/eller över</w:t>
      </w:r>
      <w:r w:rsidR="007300AF">
        <w:softHyphen/>
      </w:r>
      <w:r w:rsidRPr="0074520F">
        <w:t xml:space="preserve">spelade. Sverige har bland de starkaste offentliga finanserna i västvärlden och löpande och stora överskott i bytesbalansen. Den offentliga sektorns </w:t>
      </w:r>
      <w:r w:rsidRPr="0074520F" w:rsidR="004D0B6B">
        <w:t xml:space="preserve">finansiella </w:t>
      </w:r>
      <w:r w:rsidRPr="0074520F">
        <w:t xml:space="preserve">bruttoskuld </w:t>
      </w:r>
      <w:r w:rsidRPr="0074520F" w:rsidR="004D0B6B">
        <w:t xml:space="preserve">(Maastrichtskulden) </w:t>
      </w:r>
      <w:r w:rsidRPr="0074520F">
        <w:t xml:space="preserve">beräknas till </w:t>
      </w:r>
      <w:r w:rsidRPr="0074520F" w:rsidR="00796DFB">
        <w:t>31,8</w:t>
      </w:r>
      <w:r w:rsidRPr="0074520F">
        <w:t xml:space="preserve"> procent av BNP 202</w:t>
      </w:r>
      <w:r w:rsidRPr="0074520F" w:rsidR="004D0B6B">
        <w:t>4</w:t>
      </w:r>
      <w:r w:rsidRPr="0074520F">
        <w:t xml:space="preserve">, vilket är mycket lågt i ett </w:t>
      </w:r>
      <w:r w:rsidRPr="0074520F">
        <w:lastRenderedPageBreak/>
        <w:t xml:space="preserve">internationellt perspektiv (se figur </w:t>
      </w:r>
      <w:r w:rsidRPr="0074520F" w:rsidR="00E51C44">
        <w:t>22</w:t>
      </w:r>
      <w:r w:rsidRPr="0074520F">
        <w:t xml:space="preserve"> nedan).</w:t>
      </w:r>
      <w:r w:rsidRPr="0074520F">
        <w:rPr>
          <w:rStyle w:val="Fotnotsreferens"/>
        </w:rPr>
        <w:footnoteReference w:id="62"/>
      </w:r>
      <w:r w:rsidRPr="0074520F">
        <w:t xml:space="preserve"> Samtidigt står världen inför ett klimat</w:t>
      </w:r>
      <w:r w:rsidR="007300AF">
        <w:softHyphen/>
      </w:r>
      <w:r w:rsidRPr="0074520F">
        <w:t>nödläge</w:t>
      </w:r>
      <w:r w:rsidR="006D2DC6">
        <w:t>,</w:t>
      </w:r>
      <w:r w:rsidRPr="0074520F">
        <w:t xml:space="preserve"> och de globala utsläppen fortsätter att öka. En global temperaturökning på 1,5 grader ligger ytterst nära i tid. Nuvarande beslut och åtgärder är otillräckliga för att vända utvecklingen. Vilka åtgärder som vidtas de närmaste åren är avgörande för hur utvecklingen blir även på lång sikt. Det krävs att alla länder gör sitt yttersta för att uppsatta klimatmål ska nås. Det gäller även Sverige.</w:t>
      </w:r>
      <w:r w:rsidRPr="0074520F" w:rsidR="002C5593">
        <w:t xml:space="preserve"> </w:t>
      </w:r>
    </w:p>
    <w:p w:rsidRPr="0074520F" w:rsidR="002F4BAB" w:rsidP="003C623C" w:rsidRDefault="002F4BAB" w14:paraId="2772B40E" w14:textId="72B144AE">
      <w:r w:rsidRPr="0074520F">
        <w:t>Klimatkrisen innebär att staten måste ta ansvar för ett stort investeringsprogram. Rätt hanterat kan detta investeringsprogram bli en katalysator för ökad produktivitet, minskad arbetslöshet och en modernisering av det svenska samhället.</w:t>
      </w:r>
    </w:p>
    <w:p w:rsidRPr="001E0503" w:rsidR="002C5593" w:rsidP="001E0503" w:rsidRDefault="002C5593" w14:paraId="2B31AC8C" w14:textId="65B0625E">
      <w:pPr>
        <w:pStyle w:val="Rubrik2numrerat"/>
      </w:pPr>
      <w:bookmarkStart w:name="_Toc166056447" w:id="48"/>
      <w:r w:rsidRPr="001E0503">
        <w:t>Nytt mål för de offentliga finanserna</w:t>
      </w:r>
      <w:bookmarkEnd w:id="48"/>
    </w:p>
    <w:p w:rsidRPr="0074520F" w:rsidR="002F4BAB" w:rsidP="00794BCF" w:rsidRDefault="002F4BAB" w14:paraId="76723D5F" w14:textId="05FE2470">
      <w:pPr>
        <w:pStyle w:val="Normalutanindragellerluft"/>
      </w:pPr>
      <w:r w:rsidRPr="0074520F">
        <w:t>För att finansiera de</w:t>
      </w:r>
      <w:r w:rsidRPr="0074520F" w:rsidR="002C5593">
        <w:t>n gröna omställningen</w:t>
      </w:r>
      <w:r w:rsidRPr="0074520F">
        <w:t xml:space="preserve"> föreslår Vänsterpartiet att </w:t>
      </w:r>
      <w:r w:rsidRPr="0074520F" w:rsidR="00755DDC">
        <w:t xml:space="preserve">dagens överskottsmål ersätts med ett mål för de offentliga finanserna som möjliggör den gröna omställningen. Vänsterpartiet föreslår </w:t>
      </w:r>
      <w:bookmarkStart w:name="_Hlk164776163" w:id="49"/>
      <w:r w:rsidRPr="0074520F" w:rsidR="00755DDC">
        <w:t xml:space="preserve">att målet för den offentliga sektorns finansiella sparande sätts till </w:t>
      </w:r>
      <w:r w:rsidR="006D2DC6">
        <w:t>–</w:t>
      </w:r>
      <w:r w:rsidRPr="0074520F" w:rsidR="00755DDC">
        <w:t>1 procent av BNP över en konjunkturcykel för den närmaste 8</w:t>
      </w:r>
      <w:r w:rsidR="006D2DC6">
        <w:noBreakHyphen/>
      </w:r>
      <w:r w:rsidRPr="0074520F" w:rsidR="00755DDC">
        <w:t>årsperioden</w:t>
      </w:r>
      <w:r w:rsidRPr="0074520F" w:rsidR="00611F17">
        <w:t>, med start 2025.</w:t>
      </w:r>
      <w:r w:rsidRPr="0074520F" w:rsidR="00755DDC">
        <w:t xml:space="preserve"> </w:t>
      </w:r>
      <w:bookmarkEnd w:id="47"/>
      <w:bookmarkEnd w:id="49"/>
      <w:r w:rsidRPr="0074520F">
        <w:t xml:space="preserve">Vänsterpartiet har bett riksdagens utredningstjänst att räkna på hur den offentliga skulden skulle utvecklas med ett sådant </w:t>
      </w:r>
      <w:r w:rsidRPr="0074520F" w:rsidR="00755DDC">
        <w:t>mål för de offentliga finanserna</w:t>
      </w:r>
      <w:r w:rsidRPr="0074520F">
        <w:t xml:space="preserve">. Analysen visar att den offentliga bruttoskulden beräknas landa på </w:t>
      </w:r>
      <w:r w:rsidRPr="0074520F" w:rsidR="008A010B">
        <w:t>41,4</w:t>
      </w:r>
      <w:r w:rsidRPr="0074520F">
        <w:t xml:space="preserve"> procent av BNP år 203</w:t>
      </w:r>
      <w:r w:rsidRPr="0074520F" w:rsidR="00755DDC">
        <w:t>2</w:t>
      </w:r>
      <w:r w:rsidRPr="0074520F">
        <w:t>. Om Sverige skulle</w:t>
      </w:r>
      <w:r w:rsidR="00E55D13">
        <w:t xml:space="preserve"> ha</w:t>
      </w:r>
      <w:r w:rsidRPr="0074520F">
        <w:t xml:space="preserve"> haft en bruttoskuld på den nivån i dag, skulle vi fortfarande ha bland de starkaste offentliga finanserna inom EU och bland andra jämförbara länder</w:t>
      </w:r>
      <w:r w:rsidR="00E55D13">
        <w:t>;</w:t>
      </w:r>
      <w:r w:rsidRPr="0074520F">
        <w:t xml:space="preserve"> se figur </w:t>
      </w:r>
      <w:r w:rsidRPr="0074520F" w:rsidR="00EE0E38">
        <w:t>22</w:t>
      </w:r>
      <w:r w:rsidRPr="0074520F">
        <w:t xml:space="preserve"> nedan.</w:t>
      </w:r>
    </w:p>
    <w:p w:rsidRPr="0074520F" w:rsidR="002F4BAB" w:rsidP="007E65B4" w:rsidRDefault="002F4BAB" w14:paraId="01DDD684" w14:textId="7343C89B">
      <w:pPr>
        <w:pStyle w:val="Tabellrubrik"/>
      </w:pPr>
      <w:bookmarkStart w:name="_Hlk164776122" w:id="50"/>
      <w:r w:rsidRPr="0074520F">
        <w:t xml:space="preserve">Figur </w:t>
      </w:r>
      <w:r w:rsidRPr="0074520F" w:rsidR="00EE0E38">
        <w:t>22</w:t>
      </w:r>
      <w:r w:rsidRPr="0074520F">
        <w:t xml:space="preserve"> Den offentliga sektorns bruttoskuld i utvalda länder, 202</w:t>
      </w:r>
      <w:r w:rsidRPr="0074520F" w:rsidR="00CE4FE8">
        <w:t>4</w:t>
      </w:r>
    </w:p>
    <w:p w:rsidRPr="0074520F" w:rsidR="00684BD6" w:rsidP="00684BD6" w:rsidRDefault="002F4BAB" w14:paraId="7923FDE9" w14:textId="6469F973">
      <w:pPr>
        <w:pStyle w:val="Tabellunderrubrik"/>
      </w:pPr>
      <w:r w:rsidRPr="0074520F">
        <w:t>Procent av BNP</w:t>
      </w:r>
    </w:p>
    <w:bookmarkEnd w:id="50"/>
    <w:p w:rsidRPr="0074520F" w:rsidR="00CE4FE8" w:rsidP="002F4BAB" w:rsidRDefault="00684BD6" w14:paraId="09A9C59A" w14:textId="6C71DB6E">
      <w:pPr>
        <w:pStyle w:val="Normalutanindragellerluft"/>
      </w:pPr>
      <w:r w:rsidRPr="0074520F">
        <w:rPr>
          <w:noProof/>
          <w14:numSpacing w14:val="default"/>
        </w:rPr>
        <w:drawing>
          <wp:inline distT="0" distB="0" distL="0" distR="0" wp14:anchorId="26A7404E" wp14:editId="19EF3765">
            <wp:extent cx="5400000" cy="2743560"/>
            <wp:effectExtent l="0" t="0" r="10795" b="0"/>
            <wp:docPr id="8" name="Diagram 8" descr="">
              <a:extLst xmlns:a="http://schemas.openxmlformats.org/drawingml/2006/main">
                <a:ext uri="{FF2B5EF4-FFF2-40B4-BE49-F238E27FC236}">
                  <a16:creationId xmlns:a16="http://schemas.microsoft.com/office/drawing/2014/main" id="{4C53FF29-6563-49E6-AA5E-AB467E5D8C6B}"/>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Pr="0074520F" w:rsidR="002F4BAB" w:rsidP="00ED13D0" w:rsidRDefault="002F4BAB" w14:paraId="202DE215" w14:textId="34E7929B">
      <w:pPr>
        <w:pStyle w:val="Klla"/>
      </w:pPr>
      <w:r w:rsidRPr="0074520F">
        <w:t xml:space="preserve">Källa: IMF och RUT </w:t>
      </w:r>
      <w:r w:rsidRPr="0074520F" w:rsidR="008A010B">
        <w:t>2024:542</w:t>
      </w:r>
      <w:r w:rsidRPr="0074520F">
        <w:t>.</w:t>
      </w:r>
    </w:p>
    <w:p w:rsidRPr="0074520F" w:rsidR="002F4BAB" w:rsidP="00AD7571" w:rsidRDefault="003A09AE" w14:paraId="30E811F3" w14:textId="4F84C9E9">
      <w:pPr>
        <w:pStyle w:val="Normalutanindragellerluft"/>
      </w:pPr>
      <w:r w:rsidRPr="007300AF">
        <w:rPr>
          <w:spacing w:val="-3"/>
        </w:rPr>
        <w:t>Det nya målet för de offentliga finanserna</w:t>
      </w:r>
      <w:r w:rsidRPr="007300AF" w:rsidR="002F4BAB">
        <w:rPr>
          <w:spacing w:val="-3"/>
        </w:rPr>
        <w:t xml:space="preserve"> på </w:t>
      </w:r>
      <w:r w:rsidRPr="007300AF" w:rsidR="00E55D13">
        <w:rPr>
          <w:spacing w:val="-3"/>
        </w:rPr>
        <w:t>–</w:t>
      </w:r>
      <w:r w:rsidRPr="007300AF" w:rsidR="002F4BAB">
        <w:rPr>
          <w:spacing w:val="-3"/>
        </w:rPr>
        <w:t xml:space="preserve">1 procent frigör ett budgetpolitiskt utrymme </w:t>
      </w:r>
      <w:r w:rsidRPr="0074520F" w:rsidR="002F4BAB">
        <w:t>på c</w:t>
      </w:r>
      <w:r w:rsidRPr="0074520F">
        <w:t>a 685</w:t>
      </w:r>
      <w:r w:rsidRPr="0074520F" w:rsidR="002F4BAB">
        <w:t xml:space="preserve"> miljarder kronor under en </w:t>
      </w:r>
      <w:r w:rsidRPr="0074520F">
        <w:t>8</w:t>
      </w:r>
      <w:r w:rsidRPr="0074520F" w:rsidR="002F4BAB">
        <w:t xml:space="preserve">-årsperiod jämfört med dagens överskottsmål. I relation till ett balansmål för de offentliga finanserna skapar </w:t>
      </w:r>
      <w:r w:rsidRPr="0074520F">
        <w:t>det nya saldomålet</w:t>
      </w:r>
      <w:r w:rsidRPr="0074520F" w:rsidR="002F4BAB">
        <w:t xml:space="preserve"> ett eko</w:t>
      </w:r>
      <w:r w:rsidR="007300AF">
        <w:softHyphen/>
      </w:r>
      <w:r w:rsidRPr="007300AF" w:rsidR="002F4BAB">
        <w:rPr>
          <w:spacing w:val="-3"/>
        </w:rPr>
        <w:t>nomiskt utrymme på c</w:t>
      </w:r>
      <w:r w:rsidRPr="007300AF">
        <w:rPr>
          <w:spacing w:val="-3"/>
        </w:rPr>
        <w:t>a 515</w:t>
      </w:r>
      <w:r w:rsidRPr="007300AF" w:rsidR="002F4BAB">
        <w:rPr>
          <w:spacing w:val="-3"/>
        </w:rPr>
        <w:t xml:space="preserve"> miljarder kronor. Vänsterpartiet föreslår att </w:t>
      </w:r>
      <w:r w:rsidRPr="007300AF">
        <w:rPr>
          <w:spacing w:val="-3"/>
        </w:rPr>
        <w:t>det nya målet för de offentliga finanserna</w:t>
      </w:r>
      <w:r w:rsidRPr="007300AF" w:rsidR="002F4BAB">
        <w:rPr>
          <w:spacing w:val="-3"/>
        </w:rPr>
        <w:t xml:space="preserve"> används för att finansiera ett stort statligt investeringsprogram</w:t>
      </w:r>
      <w:r w:rsidRPr="0074520F" w:rsidR="002F4BAB">
        <w:t xml:space="preserve"> för </w:t>
      </w:r>
      <w:r w:rsidRPr="0074520F" w:rsidR="002F4BAB">
        <w:lastRenderedPageBreak/>
        <w:t>att snabba på och möjliggöra klimatomställningen. Det utrymme som skapas ska inte användas för löpande statliga utgifter utan ska öronmärkas till investeringar som behövs för att ställa om ekonomin i en för miljön hållbar utveckling.</w:t>
      </w:r>
    </w:p>
    <w:p w:rsidRPr="005735E9" w:rsidR="002C5593" w:rsidP="005735E9" w:rsidRDefault="002C5593" w14:paraId="79A55EE4" w14:textId="2C54C725">
      <w:pPr>
        <w:pStyle w:val="Rubrik2numrerat"/>
      </w:pPr>
      <w:bookmarkStart w:name="_Toc166056448" w:id="51"/>
      <w:r w:rsidRPr="005735E9">
        <w:t>Höj nivån på skuldankaret</w:t>
      </w:r>
      <w:bookmarkEnd w:id="51"/>
    </w:p>
    <w:p w:rsidRPr="0074520F" w:rsidR="00A96DDC" w:rsidP="007341A4" w:rsidRDefault="00A96DDC" w14:paraId="7C5D0F18" w14:textId="3C3B4735">
      <w:pPr>
        <w:pStyle w:val="Normalutanindragellerluft"/>
      </w:pPr>
      <w:r w:rsidRPr="0074520F">
        <w:t xml:space="preserve">Som nämndes ovan var införandet av det s.k. skuldankaret en del av den finanspolitiska </w:t>
      </w:r>
      <w:r w:rsidRPr="00814FDF">
        <w:rPr>
          <w:spacing w:val="-3"/>
        </w:rPr>
        <w:t>uppgörelsen från 2016. Skuldankaret ska fungera som ett riktmärke för den offentliga sek</w:t>
      </w:r>
      <w:r w:rsidRPr="00814FDF" w:rsidR="00814FDF">
        <w:rPr>
          <w:spacing w:val="-3"/>
        </w:rPr>
        <w:softHyphen/>
      </w:r>
      <w:r w:rsidRPr="00814FDF">
        <w:rPr>
          <w:spacing w:val="-3"/>
        </w:rPr>
        <w:t>torns</w:t>
      </w:r>
      <w:r w:rsidRPr="0074520F">
        <w:t xml:space="preserve"> </w:t>
      </w:r>
      <w:r w:rsidRPr="00814FDF">
        <w:rPr>
          <w:spacing w:val="-3"/>
        </w:rPr>
        <w:t>finansiella bruttoskuld på medellång sikt. Nivån på skuldankaret är satt till 35 procent</w:t>
      </w:r>
      <w:r w:rsidRPr="0074520F">
        <w:t xml:space="preserve"> av BNP. Skuldankaret är inte tänkt att fungera som en operationell styråra i budgetpoli</w:t>
      </w:r>
      <w:r w:rsidR="00814FDF">
        <w:softHyphen/>
      </w:r>
      <w:r w:rsidRPr="00814FDF">
        <w:rPr>
          <w:spacing w:val="-3"/>
        </w:rPr>
        <w:t>tiken på samma sätt som överskottsmålet och utgiftstaken. I den ekonomiska vårproposi</w:t>
      </w:r>
      <w:r w:rsidRPr="00814FDF" w:rsidR="00814FDF">
        <w:rPr>
          <w:spacing w:val="-3"/>
        </w:rPr>
        <w:softHyphen/>
      </w:r>
      <w:r w:rsidRPr="00814FDF">
        <w:rPr>
          <w:spacing w:val="-3"/>
        </w:rPr>
        <w:t>tionen ska regeringen årligen redogöra för bruttoskuldens utveckling. Om skulden avviker</w:t>
      </w:r>
      <w:r w:rsidRPr="0074520F">
        <w:t>, eller beräknas avvika, med mer än 5 procentenheter från skuldankarets riktmärke ska regeringen lämna en skrivelse till riksdagen i samband med den ekonomiska vårproposi</w:t>
      </w:r>
      <w:r w:rsidR="00814FDF">
        <w:softHyphen/>
      </w:r>
      <w:r w:rsidRPr="00814FDF">
        <w:rPr>
          <w:spacing w:val="-2"/>
        </w:rPr>
        <w:t>tionen. I denna skrivelse ska regeringen förklara orsakerna till avvikelsen samt hur reger</w:t>
      </w:r>
      <w:r w:rsidRPr="00814FDF" w:rsidR="00814FDF">
        <w:rPr>
          <w:spacing w:val="-2"/>
        </w:rPr>
        <w:softHyphen/>
      </w:r>
      <w:r w:rsidRPr="00814FDF">
        <w:rPr>
          <w:spacing w:val="-2"/>
        </w:rPr>
        <w:t>ingen</w:t>
      </w:r>
      <w:r w:rsidRPr="0074520F">
        <w:t xml:space="preserve"> avser att hantera den.</w:t>
      </w:r>
    </w:p>
    <w:p w:rsidRPr="0074520F" w:rsidR="002C5593" w:rsidP="00F808C9" w:rsidRDefault="00A96DDC" w14:paraId="37E51A2D" w14:textId="0D17FB04">
      <w:r w:rsidRPr="00814FDF">
        <w:rPr>
          <w:spacing w:val="-3"/>
        </w:rPr>
        <w:t xml:space="preserve">Vänsterpartiet har länge krävt att </w:t>
      </w:r>
      <w:r w:rsidRPr="00814FDF" w:rsidR="003749BE">
        <w:rPr>
          <w:spacing w:val="-3"/>
        </w:rPr>
        <w:t xml:space="preserve">skuldankaret ses över. </w:t>
      </w:r>
      <w:r w:rsidRPr="00814FDF">
        <w:rPr>
          <w:spacing w:val="-3"/>
        </w:rPr>
        <w:t>För det första</w:t>
      </w:r>
      <w:r w:rsidRPr="00814FDF" w:rsidR="003749BE">
        <w:rPr>
          <w:spacing w:val="-3"/>
        </w:rPr>
        <w:t xml:space="preserve"> </w:t>
      </w:r>
      <w:r w:rsidRPr="00814FDF" w:rsidR="00220C7A">
        <w:rPr>
          <w:spacing w:val="-3"/>
        </w:rPr>
        <w:t>är det tveksamt</w:t>
      </w:r>
      <w:r w:rsidRPr="0074520F" w:rsidR="00220C7A">
        <w:t xml:space="preserve"> om </w:t>
      </w:r>
      <w:r w:rsidRPr="0074520F" w:rsidR="00BB318D">
        <w:t xml:space="preserve">skuldankaret </w:t>
      </w:r>
      <w:r w:rsidRPr="0074520F" w:rsidR="00220C7A">
        <w:t xml:space="preserve">är </w:t>
      </w:r>
      <w:r w:rsidRPr="0074520F" w:rsidR="00BB318D">
        <w:t>konsistent med överskottsmålet</w:t>
      </w:r>
      <w:r w:rsidRPr="0074520F" w:rsidR="00220C7A">
        <w:t>.</w:t>
      </w:r>
      <w:r w:rsidRPr="0074520F" w:rsidR="001D18E9">
        <w:t xml:space="preserve"> Huruvida överskottsmålet och skuldankaret är förenliga med varandra beror främst på hur </w:t>
      </w:r>
      <w:r w:rsidRPr="0074520F" w:rsidR="00BB318D">
        <w:t>den s.k. räntetillväxtdiffe</w:t>
      </w:r>
      <w:r w:rsidR="00814FDF">
        <w:softHyphen/>
      </w:r>
      <w:r w:rsidRPr="0074520F" w:rsidR="00BB318D">
        <w:t>rensen</w:t>
      </w:r>
      <w:r w:rsidRPr="0074520F" w:rsidR="002C1D75">
        <w:t xml:space="preserve"> utvecklas.</w:t>
      </w:r>
      <w:r w:rsidRPr="0074520F" w:rsidR="001D18E9">
        <w:rPr>
          <w:rStyle w:val="Fotnotsreferens"/>
        </w:rPr>
        <w:footnoteReference w:id="63"/>
      </w:r>
      <w:r w:rsidRPr="0074520F" w:rsidR="00BB318D">
        <w:t xml:space="preserve"> För det andra är nivån omotiverat låg. </w:t>
      </w:r>
      <w:r w:rsidRPr="0074520F" w:rsidR="002C5593">
        <w:t xml:space="preserve">Det finns relativt omfattande forskning </w:t>
      </w:r>
      <w:r w:rsidR="00C5227B">
        <w:t>om</w:t>
      </w:r>
      <w:r w:rsidRPr="0074520F" w:rsidR="002C5593">
        <w:t xml:space="preserve"> sambandet mellan offentlig skuldsättning och ekonomisk tillväxt. Den samlade bilden av dessa studier är att sambandet är osäkert</w:t>
      </w:r>
      <w:r w:rsidR="00C5227B">
        <w:t>;</w:t>
      </w:r>
      <w:r w:rsidRPr="0074520F" w:rsidR="002C5593">
        <w:t xml:space="preserve"> det finns inte ens någon konsensus om åt vilket håll sambandet går. Det finns dock en viss tyngdpunkt i forsk</w:t>
      </w:r>
      <w:r w:rsidR="00814FDF">
        <w:softHyphen/>
      </w:r>
      <w:r w:rsidRPr="0074520F" w:rsidR="002C5593">
        <w:t xml:space="preserve">ningen </w:t>
      </w:r>
      <w:r w:rsidR="00BC0276">
        <w:t xml:space="preserve">på </w:t>
      </w:r>
      <w:r w:rsidRPr="0074520F" w:rsidR="002C5593">
        <w:t>att det kan finnas ett tröskelvärde för den offentliga skulden när denna blir negativ för den ekonomiska tillväxten. Detta tröskelvärde tycks ligga mellan 80–100 procent av BNP.</w:t>
      </w:r>
      <w:r w:rsidRPr="0074520F" w:rsidR="002C5593">
        <w:rPr>
          <w:vertAlign w:val="superscript"/>
        </w:rPr>
        <w:footnoteReference w:id="64"/>
      </w:r>
      <w:r w:rsidRPr="0074520F" w:rsidR="002C5593">
        <w:rPr>
          <w:vertAlign w:val="superscript"/>
        </w:rPr>
        <w:t xml:space="preserve"> </w:t>
      </w:r>
    </w:p>
    <w:p w:rsidRPr="0074520F" w:rsidR="00DD3D62" w:rsidP="007341A4" w:rsidRDefault="002C5593" w14:paraId="1741C2C2" w14:textId="6C058D76">
      <w:r w:rsidRPr="0074520F">
        <w:t xml:space="preserve">Vänsterpartiets förslag </w:t>
      </w:r>
      <w:r w:rsidR="00BC0276">
        <w:t>om</w:t>
      </w:r>
      <w:r w:rsidRPr="0074520F">
        <w:t xml:space="preserve"> ett medelfristigt saldomål på </w:t>
      </w:r>
      <w:r w:rsidR="00BC0276">
        <w:t>–</w:t>
      </w:r>
      <w:r w:rsidRPr="0074520F">
        <w:t xml:space="preserve">1 procent av BNP beräknas </w:t>
      </w:r>
      <w:r w:rsidRPr="00814FDF">
        <w:rPr>
          <w:spacing w:val="-3"/>
        </w:rPr>
        <w:t xml:space="preserve">leda till en skuldnivå på </w:t>
      </w:r>
      <w:r w:rsidRPr="00814FDF" w:rsidR="00C84152">
        <w:rPr>
          <w:spacing w:val="-3"/>
        </w:rPr>
        <w:t>41,4</w:t>
      </w:r>
      <w:r w:rsidRPr="00814FDF">
        <w:rPr>
          <w:spacing w:val="-3"/>
        </w:rPr>
        <w:t xml:space="preserve"> procent vid </w:t>
      </w:r>
      <w:r w:rsidRPr="00814FDF" w:rsidR="0063694A">
        <w:rPr>
          <w:spacing w:val="-3"/>
        </w:rPr>
        <w:t>målperiodens</w:t>
      </w:r>
      <w:r w:rsidRPr="00814FDF">
        <w:rPr>
          <w:spacing w:val="-3"/>
        </w:rPr>
        <w:t xml:space="preserve"> slutår 2032.</w:t>
      </w:r>
      <w:r w:rsidRPr="00814FDF">
        <w:rPr>
          <w:spacing w:val="-3"/>
          <w:vertAlign w:val="superscript"/>
        </w:rPr>
        <w:footnoteReference w:id="65"/>
      </w:r>
      <w:r w:rsidRPr="00814FDF">
        <w:rPr>
          <w:spacing w:val="-3"/>
        </w:rPr>
        <w:t xml:space="preserve"> Vänsterpartiet före</w:t>
      </w:r>
      <w:r w:rsidRPr="00814FDF" w:rsidR="00814FDF">
        <w:rPr>
          <w:spacing w:val="-3"/>
        </w:rPr>
        <w:softHyphen/>
      </w:r>
      <w:r w:rsidRPr="00814FDF">
        <w:rPr>
          <w:spacing w:val="-3"/>
        </w:rPr>
        <w:t>slår</w:t>
      </w:r>
      <w:r w:rsidRPr="0074520F">
        <w:t xml:space="preserve"> att ett långsiktigt mål för den offentliga</w:t>
      </w:r>
      <w:r w:rsidRPr="0074520F" w:rsidR="00E75AD9">
        <w:t xml:space="preserve"> </w:t>
      </w:r>
      <w:r w:rsidRPr="0074520F">
        <w:t xml:space="preserve">skulden sätts till 50 procent av BNP. Målet </w:t>
      </w:r>
      <w:r w:rsidRPr="00814FDF">
        <w:rPr>
          <w:spacing w:val="-3"/>
        </w:rPr>
        <w:t>ska ses som ett tak, som den offentliga skulden inte bör överstiga. En skuld på den nivån</w:t>
      </w:r>
      <w:r w:rsidRPr="0074520F">
        <w:t xml:space="preserve"> skapar långsiktigt hållbara offentliga finanser och god marginal till EU:s gränsvärde på 60 procent. Det är också en låg skuldkvot i ett internationellt perspekti</w:t>
      </w:r>
      <w:r w:rsidRPr="0074520F" w:rsidR="0063694A">
        <w:t>v.</w:t>
      </w:r>
    </w:p>
    <w:p w:rsidRPr="0074520F" w:rsidR="003D39B3" w:rsidP="007341A4" w:rsidRDefault="003D39B3" w14:paraId="65DA8EC6" w14:textId="36BDF3E4">
      <w:r w:rsidRPr="0074520F">
        <w:t xml:space="preserve">Skuldankaret har dock en slagsida i så motto att det endast tar fasta på den offentliga </w:t>
      </w:r>
      <w:r w:rsidRPr="00814FDF">
        <w:rPr>
          <w:spacing w:val="-3"/>
        </w:rPr>
        <w:t>nettoförmögenhetens skuldsida. Vänsterpartiet anser att det finanspolitiska ramverket där</w:t>
      </w:r>
      <w:r w:rsidRPr="00814FDF" w:rsidR="00814FDF">
        <w:rPr>
          <w:spacing w:val="-3"/>
        </w:rPr>
        <w:softHyphen/>
      </w:r>
      <w:r w:rsidRPr="00814FDF">
        <w:rPr>
          <w:spacing w:val="-3"/>
        </w:rPr>
        <w:t>för behöver kompletteras med ett mått som också beaktar den offentliga sektorns finansi</w:t>
      </w:r>
      <w:r w:rsidRPr="00814FDF" w:rsidR="00814FDF">
        <w:rPr>
          <w:spacing w:val="-3"/>
        </w:rPr>
        <w:softHyphen/>
      </w:r>
      <w:r w:rsidRPr="00814FDF">
        <w:rPr>
          <w:spacing w:val="-3"/>
        </w:rPr>
        <w:t>ella</w:t>
      </w:r>
      <w:r w:rsidRPr="0074520F">
        <w:t xml:space="preserve"> tillgångssida. </w:t>
      </w:r>
      <w:r w:rsidRPr="00814FDF">
        <w:rPr>
          <w:spacing w:val="-3"/>
        </w:rPr>
        <w:t>Detta mått brukar kallas för den finansiella nettoställning</w:t>
      </w:r>
      <w:r w:rsidRPr="00814FDF" w:rsidR="005E3990">
        <w:rPr>
          <w:spacing w:val="-3"/>
        </w:rPr>
        <w:t>en</w:t>
      </w:r>
      <w:r w:rsidRPr="00814FDF">
        <w:rPr>
          <w:spacing w:val="-3"/>
        </w:rPr>
        <w:t xml:space="preserve"> eller netto</w:t>
      </w:r>
      <w:r w:rsidRPr="00814FDF" w:rsidR="00814FDF">
        <w:rPr>
          <w:spacing w:val="-3"/>
        </w:rPr>
        <w:softHyphen/>
      </w:r>
      <w:r w:rsidRPr="00814FDF">
        <w:rPr>
          <w:spacing w:val="-3"/>
        </w:rPr>
        <w:t>förmögenheten</w:t>
      </w:r>
      <w:r w:rsidRPr="0074520F">
        <w:t xml:space="preserve">. De svenska offentliga finansernas styrka blir än mer iögonfallande när detta mått </w:t>
      </w:r>
      <w:r w:rsidRPr="0074520F" w:rsidR="00E746D1">
        <w:t>beaktas.</w:t>
      </w:r>
      <w:r w:rsidRPr="0074520F" w:rsidR="00EE13D1">
        <w:t xml:space="preserve"> I de flesta länder överstiger de finansiella skulderna de finansiella tillgångarna, dvs</w:t>
      </w:r>
      <w:r w:rsidRPr="0074520F" w:rsidR="005E3990">
        <w:t>.</w:t>
      </w:r>
      <w:r w:rsidRPr="0074520F" w:rsidR="00EE13D1">
        <w:t xml:space="preserve"> de har en nettoskuld. Det hade Sverige också på 1990-talet. Därefter </w:t>
      </w:r>
      <w:r w:rsidRPr="00814FDF" w:rsidR="00EE13D1">
        <w:rPr>
          <w:spacing w:val="-3"/>
        </w:rPr>
        <w:t>har Sverige gått från en nettoskuld på 29 procent år 1997 till en finansiell nettoförmögenhet</w:t>
      </w:r>
      <w:r w:rsidRPr="0074520F" w:rsidR="00EE13D1">
        <w:t xml:space="preserve"> på 32 procent av BNP i år, se figur </w:t>
      </w:r>
      <w:r w:rsidRPr="0074520F" w:rsidR="00B763F2">
        <w:t>23</w:t>
      </w:r>
      <w:r w:rsidRPr="0074520F" w:rsidR="00EE13D1">
        <w:t xml:space="preserve"> nedan. Vad som är ett lämpligt mål för den finan</w:t>
      </w:r>
      <w:r w:rsidR="00814FDF">
        <w:softHyphen/>
      </w:r>
      <w:r w:rsidRPr="00814FDF" w:rsidR="00EE13D1">
        <w:rPr>
          <w:spacing w:val="-3"/>
        </w:rPr>
        <w:t>siella nettoställningen behöver utredas, men det framstår som orimligt att ha en finansiell</w:t>
      </w:r>
      <w:r w:rsidRPr="0074520F" w:rsidR="00EE13D1">
        <w:t xml:space="preserve"> nettoförmögenhet på över 2 000 miljarder</w:t>
      </w:r>
      <w:r w:rsidRPr="0074520F" w:rsidR="005E3990">
        <w:t xml:space="preserve"> kronor</w:t>
      </w:r>
      <w:r w:rsidRPr="0074520F" w:rsidR="00EE13D1">
        <w:t xml:space="preserve"> samtidigt </w:t>
      </w:r>
      <w:r w:rsidRPr="0074520F" w:rsidR="00FE315D">
        <w:t>som Sveriges transportinfra</w:t>
      </w:r>
      <w:r w:rsidR="00814FDF">
        <w:softHyphen/>
      </w:r>
      <w:r w:rsidRPr="0074520F" w:rsidR="00FE315D">
        <w:lastRenderedPageBreak/>
        <w:t>struktur behöver byggas ut och underhållas och ekonomin behöver ställas om i en för klimatet hållbar riktning.</w:t>
      </w:r>
    </w:p>
    <w:p w:rsidRPr="0074520F" w:rsidR="00E746D1" w:rsidP="00C27561" w:rsidRDefault="00E746D1" w14:paraId="28E7F918" w14:textId="5DF80415">
      <w:pPr>
        <w:pStyle w:val="Tabellrubrik"/>
      </w:pPr>
      <w:r w:rsidRPr="0074520F">
        <w:t xml:space="preserve">Figur </w:t>
      </w:r>
      <w:r w:rsidRPr="0074520F" w:rsidR="00762B44">
        <w:t>23</w:t>
      </w:r>
      <w:r w:rsidRPr="0074520F">
        <w:t xml:space="preserve"> Den offentliga sektorns finansiella nettoställning 199</w:t>
      </w:r>
      <w:r w:rsidRPr="0074520F" w:rsidR="00E0349C">
        <w:t>6</w:t>
      </w:r>
      <w:r w:rsidRPr="0074520F" w:rsidR="00EE13D1">
        <w:t>–</w:t>
      </w:r>
      <w:r w:rsidRPr="0074520F">
        <w:t>2024</w:t>
      </w:r>
    </w:p>
    <w:p w:rsidRPr="0074520F" w:rsidR="00E746D1" w:rsidP="00DE4B70" w:rsidRDefault="00E746D1" w14:paraId="5B26BE0D" w14:textId="5E0B8D7F">
      <w:pPr>
        <w:pStyle w:val="Tabellunderrubrik"/>
      </w:pPr>
      <w:r w:rsidRPr="0074520F">
        <w:t>Procent av BNP</w:t>
      </w:r>
    </w:p>
    <w:p w:rsidRPr="0074520F" w:rsidR="00E746D1" w:rsidP="00DE4B70" w:rsidRDefault="00501C1D" w14:paraId="3779B7C2" w14:textId="60B397AD">
      <w:pPr>
        <w:pStyle w:val="Tabellunderrubrik"/>
      </w:pPr>
      <w:r w:rsidRPr="0074520F">
        <w:rPr>
          <w:noProof/>
          <w14:numSpacing w14:val="default"/>
        </w:rPr>
        <w:drawing>
          <wp:inline distT="0" distB="0" distL="0" distR="0" wp14:anchorId="0B6C384B" wp14:editId="184725F3">
            <wp:extent cx="5400000" cy="3240000"/>
            <wp:effectExtent l="0" t="0" r="10795" b="17780"/>
            <wp:docPr id="10" name="Diagram 10" descr="">
              <a:extLst xmlns:a="http://schemas.openxmlformats.org/drawingml/2006/main">
                <a:ext uri="{FF2B5EF4-FFF2-40B4-BE49-F238E27FC236}">
                  <a16:creationId xmlns:a16="http://schemas.microsoft.com/office/drawing/2014/main" id="{5EEDFF5D-2ADF-4C95-84D5-874019D28928}"/>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Pr="0074520F" w:rsidR="002F4BAB" w:rsidP="00DE4B70" w:rsidRDefault="00E746D1" w14:paraId="51A176CB" w14:textId="1A496FFD">
      <w:pPr>
        <w:pStyle w:val="Klla"/>
      </w:pPr>
      <w:r w:rsidRPr="0074520F">
        <w:t>Källa: Konjunkturinstitutet</w:t>
      </w:r>
      <w:r w:rsidRPr="0074520F" w:rsidR="00DE4B70">
        <w:t>.</w:t>
      </w:r>
    </w:p>
    <w:p w:rsidRPr="005735E9" w:rsidR="0063694A" w:rsidP="005735E9" w:rsidRDefault="0063694A" w14:paraId="56DF55C5" w14:textId="69482E76">
      <w:pPr>
        <w:pStyle w:val="Rubrik2numrerat"/>
      </w:pPr>
      <w:bookmarkStart w:name="_Toc166056449" w:id="52"/>
      <w:r w:rsidRPr="005735E9">
        <w:t>Inkomstgolv</w:t>
      </w:r>
      <w:bookmarkEnd w:id="52"/>
    </w:p>
    <w:p w:rsidRPr="0074520F" w:rsidR="00FD70D1" w:rsidP="0063694A" w:rsidRDefault="007C67E0" w14:paraId="3920AFC8" w14:textId="56E9F48F">
      <w:pPr>
        <w:spacing w:before="80"/>
        <w:ind w:firstLine="0"/>
      </w:pPr>
      <w:r w:rsidRPr="0074520F">
        <w:t xml:space="preserve">En slagsida i det finanspolitiska ramverket är att det finns ett tak för statsbudgetens </w:t>
      </w:r>
      <w:r w:rsidRPr="00D435EB">
        <w:rPr>
          <w:spacing w:val="-3"/>
        </w:rPr>
        <w:t>ut</w:t>
      </w:r>
      <w:r w:rsidR="00D435EB">
        <w:rPr>
          <w:spacing w:val="-3"/>
        </w:rPr>
        <w:softHyphen/>
      </w:r>
      <w:r w:rsidRPr="00D435EB">
        <w:rPr>
          <w:spacing w:val="-3"/>
        </w:rPr>
        <w:t>gifter, i form av systemet med de 3-åriga utgiftstaken, men det finns inget motsvarande</w:t>
      </w:r>
      <w:r w:rsidRPr="0074520F">
        <w:t xml:space="preserve"> </w:t>
      </w:r>
      <w:r w:rsidRPr="00D435EB">
        <w:rPr>
          <w:spacing w:val="-3"/>
        </w:rPr>
        <w:t>golv för statens inkomster. Denna ”bias” gör det lättare att sänka skatterna än att genom</w:t>
      </w:r>
      <w:r w:rsidRPr="00D435EB" w:rsidR="00D435EB">
        <w:rPr>
          <w:spacing w:val="-3"/>
        </w:rPr>
        <w:softHyphen/>
      </w:r>
      <w:r w:rsidRPr="00D435EB">
        <w:rPr>
          <w:spacing w:val="-3"/>
        </w:rPr>
        <w:t>föra</w:t>
      </w:r>
      <w:r w:rsidRPr="0074520F">
        <w:t xml:space="preserve"> utgiftsreformer. Vänsterpartiet menar att det finanspolitiska ramverket bör komplet</w:t>
      </w:r>
      <w:r w:rsidR="00D435EB">
        <w:softHyphen/>
      </w:r>
      <w:r w:rsidRPr="0074520F">
        <w:t xml:space="preserve">teras med någon form av inkomstgolv. En idé är att knyta ett sådant inkomstgolv till det </w:t>
      </w:r>
      <w:r w:rsidRPr="00D435EB">
        <w:rPr>
          <w:spacing w:val="-3"/>
        </w:rPr>
        <w:t>som brukar kallas för ”konstant offentligt åtagande” som bl</w:t>
      </w:r>
      <w:r w:rsidRPr="00D435EB" w:rsidR="005E3990">
        <w:rPr>
          <w:spacing w:val="-3"/>
        </w:rPr>
        <w:t>.</w:t>
      </w:r>
      <w:r w:rsidRPr="00D435EB">
        <w:rPr>
          <w:spacing w:val="-3"/>
        </w:rPr>
        <w:t>a</w:t>
      </w:r>
      <w:r w:rsidRPr="00D435EB" w:rsidR="005E3990">
        <w:rPr>
          <w:spacing w:val="-3"/>
        </w:rPr>
        <w:t>.</w:t>
      </w:r>
      <w:r w:rsidRPr="00D435EB">
        <w:rPr>
          <w:spacing w:val="-3"/>
        </w:rPr>
        <w:t xml:space="preserve"> Konjunkturinstitutet löpande</w:t>
      </w:r>
      <w:r w:rsidRPr="0074520F">
        <w:t xml:space="preserve"> gör beräkningar av. </w:t>
      </w:r>
      <w:r w:rsidRPr="0074520F" w:rsidR="00F933FB">
        <w:t xml:space="preserve">Det betyder vad den befintliga välfärden kostar de kommande åren. </w:t>
      </w:r>
      <w:r w:rsidRPr="0074520F" w:rsidR="00AC284A">
        <w:t xml:space="preserve">Vänsterpartiet föreslår </w:t>
      </w:r>
      <w:r w:rsidRPr="0074520F" w:rsidR="00F933FB">
        <w:t xml:space="preserve">därför </w:t>
      </w:r>
      <w:r w:rsidRPr="0074520F" w:rsidR="00AC284A">
        <w:t xml:space="preserve">att </w:t>
      </w:r>
      <w:r w:rsidRPr="0074520F">
        <w:t xml:space="preserve">regeringen i sina ekonomiska propositioner </w:t>
      </w:r>
      <w:r w:rsidRPr="0074520F" w:rsidR="00AC284A">
        <w:t>ska</w:t>
      </w:r>
      <w:r w:rsidRPr="0074520F">
        <w:t xml:space="preserve"> redo</w:t>
      </w:r>
      <w:r w:rsidR="00D435EB">
        <w:softHyphen/>
      </w:r>
      <w:r w:rsidRPr="0074520F">
        <w:t>visa offentligfinansiella effekter av ett bibehåll</w:t>
      </w:r>
      <w:r w:rsidRPr="0074520F" w:rsidR="00872BDE">
        <w:t>e</w:t>
      </w:r>
      <w:r w:rsidRPr="0074520F">
        <w:t>t offentligt åtagande.</w:t>
      </w:r>
      <w:r w:rsidRPr="0074520F" w:rsidR="005056D4">
        <w:rPr>
          <w:rStyle w:val="Fotnotsreferens"/>
        </w:rPr>
        <w:footnoteReference w:id="66"/>
      </w:r>
      <w:r w:rsidRPr="0074520F" w:rsidR="00EA0390">
        <w:t xml:space="preserve"> Kopplat till detta </w:t>
      </w:r>
      <w:r w:rsidRPr="00D435EB" w:rsidR="00EA0390">
        <w:rPr>
          <w:spacing w:val="-3"/>
        </w:rPr>
        <w:t xml:space="preserve">föreslår vi att regeringen gör en bedömning av vilken skattenivå </w:t>
      </w:r>
      <w:r w:rsidRPr="00D435EB" w:rsidR="00AF47AE">
        <w:rPr>
          <w:spacing w:val="-3"/>
        </w:rPr>
        <w:t>över en konjunkturcykel</w:t>
      </w:r>
      <w:r w:rsidRPr="0074520F" w:rsidR="00AF47AE">
        <w:t xml:space="preserve"> </w:t>
      </w:r>
      <w:r w:rsidRPr="0074520F" w:rsidR="00EA0390">
        <w:t>som krävs för att upprätthålla ett konstant offentligt åtagande. Om en regering föreslår en skattepolitik som lägger sig under denna nivå, blir det tydligt för väljarna vilka poli</w:t>
      </w:r>
      <w:r w:rsidR="00D435EB">
        <w:softHyphen/>
      </w:r>
      <w:r w:rsidRPr="0074520F" w:rsidR="00EA0390">
        <w:t xml:space="preserve">tiska prioriteringar som har gjorts. Förslagen, om de blir verklighet, kommer därmed </w:t>
      </w:r>
      <w:r w:rsidR="00DD2B00">
        <w:t xml:space="preserve">att </w:t>
      </w:r>
      <w:r w:rsidRPr="00D435EB" w:rsidR="00EA0390">
        <w:rPr>
          <w:spacing w:val="-3"/>
        </w:rPr>
        <w:t>öka transparensen i budgetpolitiken</w:t>
      </w:r>
      <w:r w:rsidRPr="00D435EB" w:rsidR="00CC3D25">
        <w:rPr>
          <w:spacing w:val="-3"/>
        </w:rPr>
        <w:t>,</w:t>
      </w:r>
      <w:r w:rsidRPr="00D435EB" w:rsidR="00EA0390">
        <w:rPr>
          <w:spacing w:val="-3"/>
        </w:rPr>
        <w:t xml:space="preserve"> och det blir lättare för väljarna att väga olika politiska</w:t>
      </w:r>
      <w:r w:rsidRPr="0074520F" w:rsidR="00EA0390">
        <w:t xml:space="preserve"> vägval mot varandra.</w:t>
      </w:r>
    </w:p>
    <w:p w:rsidRPr="005735E9" w:rsidR="0063694A" w:rsidP="005735E9" w:rsidRDefault="0063694A" w14:paraId="08217129" w14:textId="058E3369">
      <w:pPr>
        <w:pStyle w:val="Rubrik2numrerat"/>
      </w:pPr>
      <w:bookmarkStart w:name="_Toc166056450" w:id="53"/>
      <w:r w:rsidRPr="005735E9">
        <w:lastRenderedPageBreak/>
        <w:t>Ökad transparens i budgetpolitiken</w:t>
      </w:r>
      <w:bookmarkEnd w:id="53"/>
    </w:p>
    <w:p w:rsidRPr="0074520F" w:rsidR="001B3B56" w:rsidP="0017477C" w:rsidRDefault="00136B11" w14:paraId="0447F226" w14:textId="592DACC5">
      <w:pPr>
        <w:pStyle w:val="Normalutanindragellerluft"/>
      </w:pPr>
      <w:r w:rsidRPr="00D435EB">
        <w:rPr>
          <w:spacing w:val="-3"/>
        </w:rPr>
        <w:t>Det är av stor vikt för det demokratiska samtalet att regeringens ekonomiska propositioner</w:t>
      </w:r>
      <w:r w:rsidRPr="0074520F">
        <w:t xml:space="preserve"> präglas av öppenhet och tydlighet. Tyvärr brister regeringens propositioner i detta av</w:t>
      </w:r>
      <w:r w:rsidR="00D435EB">
        <w:softHyphen/>
      </w:r>
      <w:r w:rsidRPr="0074520F">
        <w:t>seende. Såväl Riksrevisionen som Finanspolitiska rådet har påtalat bris</w:t>
      </w:r>
      <w:r w:rsidRPr="0074520F" w:rsidR="00F8566C">
        <w:t>t</w:t>
      </w:r>
      <w:r w:rsidRPr="0074520F">
        <w:t>er i de ekono</w:t>
      </w:r>
      <w:r w:rsidR="00D435EB">
        <w:softHyphen/>
      </w:r>
      <w:r w:rsidRPr="0074520F">
        <w:t>miska propositionernas transparens.</w:t>
      </w:r>
      <w:r w:rsidRPr="0074520F">
        <w:rPr>
          <w:rStyle w:val="Fotnotsreferens"/>
        </w:rPr>
        <w:footnoteReference w:id="67"/>
      </w:r>
      <w:r w:rsidRPr="0074520F" w:rsidR="004B7BF3">
        <w:t xml:space="preserve"> Bristen på transparens tar sig i uttryck på flera </w:t>
      </w:r>
      <w:r w:rsidRPr="00D435EB" w:rsidR="004B7BF3">
        <w:rPr>
          <w:spacing w:val="-3"/>
        </w:rPr>
        <w:t xml:space="preserve">olika sätt. En grundläggande otydlighet handlar om </w:t>
      </w:r>
      <w:r w:rsidRPr="00D435EB" w:rsidR="00402C08">
        <w:rPr>
          <w:spacing w:val="-3"/>
        </w:rPr>
        <w:t xml:space="preserve">hur </w:t>
      </w:r>
      <w:r w:rsidRPr="00D435EB" w:rsidR="004B7BF3">
        <w:rPr>
          <w:spacing w:val="-3"/>
        </w:rPr>
        <w:t>delar av det s.k. reformutrymmet</w:t>
      </w:r>
      <w:r w:rsidRPr="0074520F" w:rsidR="004B7BF3">
        <w:t xml:space="preserve"> uppstår. De offentliga finanserna stärks normalt sett över tid om ingen ny finanspolitik beslutas av riksdagen. Det beror på att skatteintäkterna på sikt växer i takt med ekono</w:t>
      </w:r>
      <w:r w:rsidR="00D435EB">
        <w:softHyphen/>
      </w:r>
      <w:r w:rsidRPr="0074520F" w:rsidR="004B7BF3">
        <w:t xml:space="preserve">min medan </w:t>
      </w:r>
      <w:r w:rsidRPr="0074520F" w:rsidR="00000DCA">
        <w:t>regelverken som styr de statliga utgifterna är utformade så att exempelvis vissa utgifter är nominellt oförändrade vid gällande regler</w:t>
      </w:r>
      <w:r w:rsidRPr="0074520F" w:rsidR="003A19BD">
        <w:t xml:space="preserve"> – detta gäller t.ex. för stats</w:t>
      </w:r>
      <w:r w:rsidR="00D435EB">
        <w:softHyphen/>
      </w:r>
      <w:r w:rsidRPr="0074520F" w:rsidR="003A19BD">
        <w:t xml:space="preserve">bidragen till kommunsektorn </w:t>
      </w:r>
      <w:r w:rsidRPr="0074520F" w:rsidR="00402C08">
        <w:t>–</w:t>
      </w:r>
      <w:r w:rsidRPr="0074520F" w:rsidR="003A19BD">
        <w:t xml:space="preserve"> </w:t>
      </w:r>
      <w:r w:rsidRPr="0074520F" w:rsidR="00000DCA">
        <w:t>samt att</w:t>
      </w:r>
      <w:r w:rsidRPr="0074520F" w:rsidR="008B2698">
        <w:t xml:space="preserve"> </w:t>
      </w:r>
      <w:r w:rsidRPr="0074520F" w:rsidR="00000DCA">
        <w:t>transfereringar och bidrag inte följer den all</w:t>
      </w:r>
      <w:r w:rsidR="00D435EB">
        <w:softHyphen/>
      </w:r>
      <w:r w:rsidRPr="0074520F" w:rsidR="00000DCA">
        <w:t xml:space="preserve">männa löneutvecklingen i samhället. </w:t>
      </w:r>
      <w:r w:rsidRPr="0074520F" w:rsidR="003A19BD">
        <w:t xml:space="preserve">Detta innebär att statsbidragen till kommuner och </w:t>
      </w:r>
      <w:r w:rsidRPr="00D435EB" w:rsidR="003A19BD">
        <w:rPr>
          <w:spacing w:val="-3"/>
        </w:rPr>
        <w:t>regioner urholkas i takt med stigande priser och löner och med den demografiska utveck</w:t>
      </w:r>
      <w:r w:rsidRPr="00D435EB" w:rsidR="00D435EB">
        <w:rPr>
          <w:spacing w:val="-3"/>
        </w:rPr>
        <w:softHyphen/>
      </w:r>
      <w:r w:rsidRPr="00D435EB" w:rsidR="003A19BD">
        <w:rPr>
          <w:spacing w:val="-3"/>
        </w:rPr>
        <w:t>lingen (dvs</w:t>
      </w:r>
      <w:r w:rsidRPr="00D435EB" w:rsidR="00402C08">
        <w:rPr>
          <w:spacing w:val="-3"/>
        </w:rPr>
        <w:t>.</w:t>
      </w:r>
      <w:r w:rsidRPr="00D435EB" w:rsidR="003A19BD">
        <w:rPr>
          <w:spacing w:val="-3"/>
        </w:rPr>
        <w:t xml:space="preserve"> att vi blir fler och äldre). </w:t>
      </w:r>
      <w:r w:rsidRPr="00D435EB" w:rsidR="005C3928">
        <w:rPr>
          <w:spacing w:val="-3"/>
        </w:rPr>
        <w:t xml:space="preserve">Om inga aktiva beslut fattas </w:t>
      </w:r>
      <w:r w:rsidRPr="00D435EB" w:rsidR="00081A25">
        <w:rPr>
          <w:spacing w:val="-3"/>
        </w:rPr>
        <w:t>medför</w:t>
      </w:r>
      <w:r w:rsidRPr="00D435EB" w:rsidR="003E28A0">
        <w:rPr>
          <w:spacing w:val="-3"/>
        </w:rPr>
        <w:t xml:space="preserve"> detta att budget</w:t>
      </w:r>
      <w:r w:rsidRPr="00D435EB" w:rsidR="00D435EB">
        <w:rPr>
          <w:spacing w:val="-3"/>
        </w:rPr>
        <w:softHyphen/>
      </w:r>
      <w:r w:rsidRPr="00D435EB" w:rsidR="003E28A0">
        <w:rPr>
          <w:spacing w:val="-3"/>
        </w:rPr>
        <w:t>processen</w:t>
      </w:r>
      <w:r w:rsidRPr="0074520F" w:rsidR="003E28A0">
        <w:t xml:space="preserve"> i regel leder till att det </w:t>
      </w:r>
      <w:r w:rsidRPr="0074520F" w:rsidR="008B2698">
        <w:t>offentliga åtagandet minskar</w:t>
      </w:r>
      <w:r w:rsidRPr="0074520F" w:rsidR="003E28A0">
        <w:t>. Ekonomistyrningsverket (ESV) har i en studie beräknat att den automatiska budgetförstärkningen uppgår till 0,37 procent av BNP.</w:t>
      </w:r>
      <w:r w:rsidRPr="0074520F" w:rsidR="00877C5D">
        <w:rPr>
          <w:rStyle w:val="Fotnotsreferens"/>
        </w:rPr>
        <w:footnoteReference w:id="68"/>
      </w:r>
      <w:r w:rsidRPr="0074520F" w:rsidR="003E28A0">
        <w:t xml:space="preserve"> </w:t>
      </w:r>
      <w:r w:rsidRPr="0074520F" w:rsidR="00877C5D">
        <w:t>Baserat på dagens BNP innebär det att ca 25 miljarder</w:t>
      </w:r>
      <w:r w:rsidRPr="0074520F" w:rsidR="00402C08">
        <w:t xml:space="preserve"> kronor</w:t>
      </w:r>
      <w:r w:rsidRPr="0074520F" w:rsidR="00877C5D">
        <w:t xml:space="preserve"> av reformutrymmet måste användas varje år för att det offentliga åtagandet</w:t>
      </w:r>
      <w:r w:rsidR="002809EA">
        <w:t xml:space="preserve"> ska </w:t>
      </w:r>
      <w:r w:rsidRPr="0074520F" w:rsidR="002809EA">
        <w:t>bibehålla</w:t>
      </w:r>
      <w:r w:rsidR="002809EA">
        <w:t>s</w:t>
      </w:r>
      <w:r w:rsidRPr="0074520F" w:rsidR="00877C5D">
        <w:t>. Detta förhållande har resulterat i att regering</w:t>
      </w:r>
      <w:r w:rsidRPr="0074520F" w:rsidR="001B3B56">
        <w:t>ar</w:t>
      </w:r>
      <w:r w:rsidRPr="0074520F" w:rsidR="00877C5D">
        <w:t xml:space="preserve">, oavsett partifärg, ofta presenterar </w:t>
      </w:r>
      <w:r w:rsidRPr="0074520F" w:rsidR="00536EF0">
        <w:t xml:space="preserve">t.ex. pengar till välfärden som satsningar </w:t>
      </w:r>
      <w:r w:rsidRPr="0074520F" w:rsidR="00877C5D">
        <w:t xml:space="preserve">när det i själva verket </w:t>
      </w:r>
      <w:r w:rsidRPr="0074520F" w:rsidR="00536EF0">
        <w:t>är besparingar eller medel som bara räcker till för att</w:t>
      </w:r>
      <w:r w:rsidRPr="0074520F" w:rsidR="00877C5D">
        <w:t xml:space="preserve"> </w:t>
      </w:r>
      <w:r w:rsidRPr="0074520F" w:rsidR="001B3B56">
        <w:t>värdesäkra</w:t>
      </w:r>
      <w:r w:rsidRPr="0074520F" w:rsidR="00536EF0">
        <w:t xml:space="preserve"> bidragen</w:t>
      </w:r>
      <w:r w:rsidRPr="0074520F" w:rsidR="001B3B56">
        <w:t>.</w:t>
      </w:r>
      <w:r w:rsidRPr="0074520F" w:rsidR="002C1D75">
        <w:rPr>
          <w:rStyle w:val="Fotnotsreferens"/>
        </w:rPr>
        <w:footnoteReference w:id="69"/>
      </w:r>
      <w:r w:rsidRPr="0074520F" w:rsidR="001B3B56">
        <w:t xml:space="preserve"> </w:t>
      </w:r>
    </w:p>
    <w:p w:rsidRPr="0074520F" w:rsidR="009F4AF2" w:rsidP="0059091E" w:rsidRDefault="001B3B56" w14:paraId="398EF45D" w14:textId="4B048784">
      <w:r w:rsidRPr="00D435EB">
        <w:rPr>
          <w:spacing w:val="-3"/>
        </w:rPr>
        <w:t xml:space="preserve">Det är också ofta otydligt om olika satsningar är </w:t>
      </w:r>
      <w:r w:rsidRPr="00D435EB" w:rsidR="002C1D75">
        <w:rPr>
          <w:spacing w:val="-3"/>
        </w:rPr>
        <w:t>nivåhöjningar</w:t>
      </w:r>
      <w:r w:rsidRPr="00D435EB">
        <w:rPr>
          <w:spacing w:val="-3"/>
        </w:rPr>
        <w:t xml:space="preserve"> eller bara förlängningar</w:t>
      </w:r>
      <w:r w:rsidRPr="0074520F">
        <w:t xml:space="preserve"> av existerande ”satsningar”. Detta gäller särskilt i fråga om de riktade statsbidragen till kommuner och regioner. </w:t>
      </w:r>
      <w:r w:rsidRPr="0074520F" w:rsidR="00E271A7">
        <w:t xml:space="preserve">Många anslag innehåller ett mycket stort antal anslagsposter. </w:t>
      </w:r>
      <w:r w:rsidRPr="006F0D02" w:rsidR="00E271A7">
        <w:rPr>
          <w:spacing w:val="-3"/>
        </w:rPr>
        <w:t>Problemet är att de olika anslagsposterna inte särredovisas i budgetpropositionen. Fördel</w:t>
      </w:r>
      <w:r w:rsidRPr="006F0D02" w:rsidR="006F0D02">
        <w:rPr>
          <w:spacing w:val="-3"/>
        </w:rPr>
        <w:softHyphen/>
      </w:r>
      <w:r w:rsidRPr="006F0D02" w:rsidR="00E271A7">
        <w:rPr>
          <w:spacing w:val="-3"/>
        </w:rPr>
        <w:t>ningen</w:t>
      </w:r>
      <w:r w:rsidRPr="0074520F" w:rsidR="00E271A7">
        <w:t xml:space="preserve"> av beloppet på respektive anslag redovisas först vid slutet av året när regeringen beslutar om regleringsbreven. </w:t>
      </w:r>
      <w:r w:rsidRPr="0074520F" w:rsidR="00536EF0">
        <w:t xml:space="preserve">Detta leder till att det blir svårt för en utomstående att </w:t>
      </w:r>
      <w:r w:rsidRPr="0074520F" w:rsidR="003A106C">
        <w:t xml:space="preserve">i budgeten se </w:t>
      </w:r>
      <w:r w:rsidRPr="0074520F" w:rsidR="00536EF0">
        <w:t xml:space="preserve">vilka </w:t>
      </w:r>
      <w:r w:rsidRPr="0074520F" w:rsidR="00A35B67">
        <w:t>verksamheter</w:t>
      </w:r>
      <w:r w:rsidRPr="0074520F" w:rsidR="00536EF0">
        <w:t xml:space="preserve"> anslagen inrymmer</w:t>
      </w:r>
      <w:r w:rsidRPr="0074520F" w:rsidR="00475895">
        <w:t xml:space="preserve"> och när de olika satsningarna löper </w:t>
      </w:r>
      <w:r w:rsidRPr="0074520F" w:rsidR="00E271A7">
        <w:t>ut.</w:t>
      </w:r>
      <w:r w:rsidRPr="0074520F" w:rsidR="009F4AF2">
        <w:t xml:space="preserve"> </w:t>
      </w:r>
      <w:r w:rsidRPr="0074520F" w:rsidR="0059091E">
        <w:t>De ekonomiska propositionerna skulle också tjäna på att tydligare visa på anslags</w:t>
      </w:r>
      <w:r w:rsidR="006F0D02">
        <w:softHyphen/>
      </w:r>
      <w:r w:rsidRPr="0074520F" w:rsidR="0059091E">
        <w:t>utvecklingen bakåt</w:t>
      </w:r>
      <w:r w:rsidR="00A564A0">
        <w:t>;</w:t>
      </w:r>
      <w:r w:rsidRPr="0074520F" w:rsidR="0059091E">
        <w:t xml:space="preserve"> detta gäller särskilt ändringsbudgetarna.</w:t>
      </w:r>
    </w:p>
    <w:p w:rsidRPr="0074520F" w:rsidR="002F4BAB" w:rsidP="0063694A" w:rsidRDefault="003A1531" w14:paraId="6ED6991C" w14:textId="11AE0CD6">
      <w:r w:rsidRPr="006F0D02">
        <w:rPr>
          <w:spacing w:val="-3"/>
        </w:rPr>
        <w:t xml:space="preserve">I avsnitt </w:t>
      </w:r>
      <w:r w:rsidRPr="006F0D02" w:rsidR="00812059">
        <w:rPr>
          <w:spacing w:val="-3"/>
        </w:rPr>
        <w:t xml:space="preserve">5 </w:t>
      </w:r>
      <w:r w:rsidRPr="006F0D02">
        <w:rPr>
          <w:spacing w:val="-3"/>
        </w:rPr>
        <w:t>redovisar Vänsterpartiet ett förslag på hur transparensen avseende anslaget</w:t>
      </w:r>
      <w:r w:rsidRPr="0074520F">
        <w:t xml:space="preserve"> för de generella statsbidragen till kommuner och regioner </w:t>
      </w:r>
      <w:r w:rsidRPr="0074520F" w:rsidR="00DF0CCC">
        <w:t xml:space="preserve">(anslag 1:1 </w:t>
      </w:r>
      <w:r w:rsidR="00166D16">
        <w:t>inom</w:t>
      </w:r>
      <w:r w:rsidRPr="0074520F" w:rsidR="00DF0CCC">
        <w:t xml:space="preserve"> </w:t>
      </w:r>
      <w:proofErr w:type="spellStart"/>
      <w:r w:rsidR="00166D16">
        <w:t>utg.omr</w:t>
      </w:r>
      <w:proofErr w:type="spellEnd"/>
      <w:r w:rsidR="00166D16">
        <w:t xml:space="preserve">. </w:t>
      </w:r>
      <w:r w:rsidRPr="0074520F" w:rsidR="00DF0CCC">
        <w:t>25) kan förbättras.</w:t>
      </w:r>
      <w:r w:rsidRPr="0074520F">
        <w:t xml:space="preserve"> Vänsterpartiet kommer inom ramen för den pågående utredningen av </w:t>
      </w:r>
      <w:r w:rsidRPr="0074520F" w:rsidR="00DF0CCC">
        <w:t>nivån på saldomålet för de offentliga finanserna att lyfta att tydligheten i hela budget</w:t>
      </w:r>
      <w:r w:rsidR="006F0D02">
        <w:softHyphen/>
      </w:r>
      <w:r w:rsidRPr="0074520F" w:rsidR="00DF0CCC">
        <w:t xml:space="preserve">propositionen måste förbättras. </w:t>
      </w:r>
    </w:p>
    <w:p w:rsidRPr="005735E9" w:rsidR="0063694A" w:rsidP="005735E9" w:rsidRDefault="0063694A" w14:paraId="086F48E8" w14:textId="4C417971">
      <w:pPr>
        <w:pStyle w:val="Rubrik2numrerat"/>
      </w:pPr>
      <w:bookmarkStart w:name="_Toc166056451" w:id="54"/>
      <w:r w:rsidRPr="005735E9">
        <w:t>Realekonomiska mål bör komplettera de finansiella målen</w:t>
      </w:r>
      <w:bookmarkEnd w:id="54"/>
    </w:p>
    <w:p w:rsidRPr="0074520F" w:rsidR="002F4BAB" w:rsidP="00A9722A" w:rsidRDefault="002F4BAB" w14:paraId="741646EB" w14:textId="71A108B4">
      <w:pPr>
        <w:pStyle w:val="Normalutanindragellerluft"/>
        <w:rPr>
          <w:lang w:eastAsia="sv-SE"/>
        </w:rPr>
      </w:pPr>
      <w:r w:rsidRPr="0074520F">
        <w:rPr>
          <w:lang w:eastAsia="sv-SE"/>
        </w:rPr>
        <w:t xml:space="preserve">Syftet med det finanspolitiska ramverket är att säkerställa att de offentliga finanserna inte äventyras på lång sikt – att inte de offentliga underskotten blir för stora eller att skulden ökar snabbt under en längre tidsperiod. Ramverket i sig är inte målet med den ekonomiska politiken. Dock har det periodvis varit begränsande för möjligheten att öka </w:t>
      </w:r>
      <w:r w:rsidRPr="0074520F">
        <w:rPr>
          <w:lang w:eastAsia="sv-SE"/>
        </w:rPr>
        <w:lastRenderedPageBreak/>
        <w:t>resurserna till välfärden i takt med behoven, eller för att öka de offentliga satsningarna för att pressa ner arbetslösheten.</w:t>
      </w:r>
    </w:p>
    <w:p w:rsidRPr="0074520F" w:rsidR="008C20E8" w:rsidP="00A9722A" w:rsidRDefault="002F4BAB" w14:paraId="3B8D7F7A" w14:textId="5D2F1F45">
      <w:pPr>
        <w:rPr>
          <w:lang w:eastAsia="sv-SE"/>
        </w:rPr>
      </w:pPr>
      <w:r w:rsidRPr="006F0D02">
        <w:rPr>
          <w:spacing w:val="-3"/>
          <w:lang w:eastAsia="sv-SE"/>
        </w:rPr>
        <w:t>Den ekonomiska politiken bör styras av reala mål om ökad sysselsättning, rättvis för</w:t>
      </w:r>
      <w:r w:rsidRPr="006F0D02" w:rsidR="006F0D02">
        <w:rPr>
          <w:spacing w:val="-3"/>
          <w:lang w:eastAsia="sv-SE"/>
        </w:rPr>
        <w:softHyphen/>
      </w:r>
      <w:r w:rsidRPr="006F0D02">
        <w:rPr>
          <w:spacing w:val="-3"/>
          <w:lang w:eastAsia="sv-SE"/>
        </w:rPr>
        <w:t>delning</w:t>
      </w:r>
      <w:r w:rsidRPr="0074520F">
        <w:rPr>
          <w:lang w:eastAsia="sv-SE"/>
        </w:rPr>
        <w:t xml:space="preserve">, investeringar och klimatomställning, där offentligfinansiella mål blir </w:t>
      </w:r>
      <w:r w:rsidRPr="006F0D02">
        <w:rPr>
          <w:spacing w:val="-3"/>
          <w:lang w:eastAsia="sv-SE"/>
        </w:rPr>
        <w:t xml:space="preserve">verktyg för att uppnå de reala målen. Vänsterpartiet föreslår därför att det finanspolitiska ramverket </w:t>
      </w:r>
      <w:r w:rsidRPr="0074520F">
        <w:rPr>
          <w:lang w:eastAsia="sv-SE"/>
        </w:rPr>
        <w:t>kompletteras med mål för arbetsmarknaden om full sysselsättning och ett mål för offentliga investeringar i linje med våra klimatåtaganden.</w:t>
      </w:r>
    </w:p>
    <w:p w:rsidRPr="005735E9" w:rsidR="003C32FA" w:rsidP="005735E9" w:rsidRDefault="003C32FA" w14:paraId="07D198CF" w14:textId="7B1CFD83">
      <w:pPr>
        <w:pStyle w:val="Rubrik1numrerat"/>
      </w:pPr>
      <w:bookmarkStart w:name="_Toc162362962" w:id="55"/>
      <w:bookmarkStart w:name="_Toc166056452" w:id="56"/>
      <w:r w:rsidRPr="005735E9">
        <w:t>Vänsterpartiets syn på regeringens ekonomiska politik</w:t>
      </w:r>
      <w:bookmarkEnd w:id="55"/>
      <w:bookmarkEnd w:id="56"/>
    </w:p>
    <w:p w:rsidRPr="0074520F" w:rsidR="008E3773" w:rsidP="0098601C" w:rsidRDefault="00876936" w14:paraId="6581FF54" w14:textId="63F9FCCB">
      <w:pPr>
        <w:pStyle w:val="Normalutanindragellerluft"/>
        <w:rPr>
          <w:lang w:eastAsia="sv-SE"/>
        </w:rPr>
      </w:pPr>
      <w:r w:rsidRPr="0074520F">
        <w:rPr>
          <w:lang w:eastAsia="sv-SE"/>
        </w:rPr>
        <w:t>Skillnaden mellan vad regeringen säger sig göra och vad de</w:t>
      </w:r>
      <w:r w:rsidR="00823822">
        <w:rPr>
          <w:lang w:eastAsia="sv-SE"/>
        </w:rPr>
        <w:t>n</w:t>
      </w:r>
      <w:r w:rsidRPr="0074520F">
        <w:rPr>
          <w:lang w:eastAsia="sv-SE"/>
        </w:rPr>
        <w:t xml:space="preserve"> faktiskt gör är stor. Genom påstådda väl</w:t>
      </w:r>
      <w:r w:rsidRPr="0074520F" w:rsidR="00874458">
        <w:rPr>
          <w:lang w:eastAsia="sv-SE"/>
        </w:rPr>
        <w:t xml:space="preserve">färdssatsningar och </w:t>
      </w:r>
      <w:r w:rsidRPr="0074520F" w:rsidR="008E3773">
        <w:rPr>
          <w:lang w:eastAsia="sv-SE"/>
        </w:rPr>
        <w:t xml:space="preserve">siffertrixande för att få det att se ut som att </w:t>
      </w:r>
      <w:r w:rsidR="00C03B43">
        <w:rPr>
          <w:lang w:eastAsia="sv-SE"/>
        </w:rPr>
        <w:t>den</w:t>
      </w:r>
      <w:r w:rsidRPr="0074520F" w:rsidR="008E3773">
        <w:rPr>
          <w:lang w:eastAsia="sv-SE"/>
        </w:rPr>
        <w:t xml:space="preserve"> klarar klimatmålen försöker de</w:t>
      </w:r>
      <w:r w:rsidR="00C03B43">
        <w:rPr>
          <w:lang w:eastAsia="sv-SE"/>
        </w:rPr>
        <w:t>n</w:t>
      </w:r>
      <w:r w:rsidRPr="0074520F" w:rsidR="008E3773">
        <w:rPr>
          <w:lang w:eastAsia="sv-SE"/>
        </w:rPr>
        <w:t xml:space="preserve"> </w:t>
      </w:r>
      <w:r w:rsidR="00C03B43">
        <w:rPr>
          <w:lang w:eastAsia="sv-SE"/>
        </w:rPr>
        <w:t xml:space="preserve">att </w:t>
      </w:r>
      <w:r w:rsidRPr="0074520F" w:rsidR="008E3773">
        <w:rPr>
          <w:lang w:eastAsia="sv-SE"/>
        </w:rPr>
        <w:t>skapa en falsk bild av handlingskraft. Samtidigt är verklig</w:t>
      </w:r>
      <w:r w:rsidR="006F0D02">
        <w:rPr>
          <w:lang w:eastAsia="sv-SE"/>
        </w:rPr>
        <w:softHyphen/>
      </w:r>
      <w:r w:rsidRPr="0074520F" w:rsidR="008E3773">
        <w:rPr>
          <w:lang w:eastAsia="sv-SE"/>
        </w:rPr>
        <w:t xml:space="preserve">heten en helt annan. </w:t>
      </w:r>
      <w:r w:rsidRPr="0074520F" w:rsidR="00874458">
        <w:rPr>
          <w:lang w:eastAsia="sv-SE"/>
        </w:rPr>
        <w:t>För människor som lyssnar på regeringens prat blir det till slut</w:t>
      </w:r>
      <w:r w:rsidRPr="0074520F" w:rsidR="008E3773">
        <w:rPr>
          <w:lang w:eastAsia="sv-SE"/>
        </w:rPr>
        <w:t xml:space="preserve"> svårt</w:t>
      </w:r>
      <w:r w:rsidRPr="0074520F" w:rsidR="00874458">
        <w:rPr>
          <w:lang w:eastAsia="sv-SE"/>
        </w:rPr>
        <w:t xml:space="preserve"> att veta vad man ska tro. </w:t>
      </w:r>
      <w:r w:rsidRPr="0074520F" w:rsidR="008E3773">
        <w:rPr>
          <w:lang w:eastAsia="sv-SE"/>
        </w:rPr>
        <w:t xml:space="preserve">När det som sägs i </w:t>
      </w:r>
      <w:r w:rsidR="00E233D2">
        <w:rPr>
          <w:lang w:eastAsia="sv-SE"/>
        </w:rPr>
        <w:t>tv</w:t>
      </w:r>
      <w:r w:rsidRPr="0074520F" w:rsidR="008E3773">
        <w:rPr>
          <w:lang w:eastAsia="sv-SE"/>
        </w:rPr>
        <w:t xml:space="preserve">-sofforna inte stämmer överens med den </w:t>
      </w:r>
      <w:r w:rsidRPr="006F0D02" w:rsidR="008E3773">
        <w:rPr>
          <w:spacing w:val="-3"/>
          <w:lang w:eastAsia="sv-SE"/>
        </w:rPr>
        <w:t>verklighet man möter på jobbet, på vårdcentralen eller när man lämnar på förskolan skapas</w:t>
      </w:r>
      <w:r w:rsidRPr="0074520F" w:rsidR="008E3773">
        <w:rPr>
          <w:lang w:eastAsia="sv-SE"/>
        </w:rPr>
        <w:t xml:space="preserve"> en misstro </w:t>
      </w:r>
      <w:r w:rsidRPr="0074520F" w:rsidR="00385B71">
        <w:rPr>
          <w:lang w:eastAsia="sv-SE"/>
        </w:rPr>
        <w:t xml:space="preserve">mot politikens förändrande kraft. </w:t>
      </w:r>
    </w:p>
    <w:p w:rsidRPr="0074520F" w:rsidR="000602F3" w:rsidP="008E3773" w:rsidRDefault="00E70FB9" w14:paraId="1D93A56B" w14:textId="3B31D5F8">
      <w:pPr>
        <w:rPr>
          <w:lang w:eastAsia="sv-SE"/>
        </w:rPr>
      </w:pPr>
      <w:r w:rsidRPr="0074520F">
        <w:rPr>
          <w:lang w:eastAsia="sv-SE"/>
        </w:rPr>
        <w:t xml:space="preserve">Trots krisläget reagerar inte regeringen på de faktiska problem </w:t>
      </w:r>
      <w:r w:rsidRPr="0074520F" w:rsidR="0003018C">
        <w:rPr>
          <w:lang w:eastAsia="sv-SE"/>
        </w:rPr>
        <w:t xml:space="preserve">som </w:t>
      </w:r>
      <w:r w:rsidRPr="0074520F">
        <w:rPr>
          <w:lang w:eastAsia="sv-SE"/>
        </w:rPr>
        <w:t>människor upp</w:t>
      </w:r>
      <w:r w:rsidR="006F0D02">
        <w:rPr>
          <w:lang w:eastAsia="sv-SE"/>
        </w:rPr>
        <w:softHyphen/>
      </w:r>
      <w:r w:rsidRPr="0074520F">
        <w:rPr>
          <w:lang w:eastAsia="sv-SE"/>
        </w:rPr>
        <w:t xml:space="preserve">lever. Välfärden missköts, hushållen lämnas vind för våg och byggkrisen är i fritt fall. För att inte tala om diskrepansen mellan vad regeringen och Sverigedemokraterna säger sig göra för klimatet och den uppenbara bristen på åtgärder för att möta en av vår tids ödesfrågor. </w:t>
      </w:r>
    </w:p>
    <w:p w:rsidRPr="005735E9" w:rsidR="00874458" w:rsidP="005735E9" w:rsidRDefault="00874458" w14:paraId="4AC56A95" w14:textId="1BE8D429">
      <w:pPr>
        <w:pStyle w:val="Rubrik2numrerat"/>
      </w:pPr>
      <w:bookmarkStart w:name="_Toc166056453" w:id="57"/>
      <w:r w:rsidRPr="005735E9">
        <w:t xml:space="preserve">Välfärden </w:t>
      </w:r>
      <w:r w:rsidRPr="005735E9" w:rsidR="004728CA">
        <w:t xml:space="preserve">är </w:t>
      </w:r>
      <w:r w:rsidRPr="005735E9">
        <w:t>i stort behov av resurser</w:t>
      </w:r>
      <w:bookmarkEnd w:id="57"/>
    </w:p>
    <w:p w:rsidRPr="0074520F" w:rsidR="0098601C" w:rsidP="0098601C" w:rsidRDefault="0098601C" w14:paraId="001A38FD" w14:textId="7D0CB4B3">
      <w:pPr>
        <w:pStyle w:val="Normalutanindragellerluft"/>
        <w:rPr>
          <w:lang w:eastAsia="sv-SE"/>
        </w:rPr>
      </w:pPr>
      <w:r w:rsidRPr="006F0D02">
        <w:rPr>
          <w:spacing w:val="-3"/>
          <w:lang w:eastAsia="sv-SE"/>
        </w:rPr>
        <w:t>Den svenska välfärden har under decennier fått stå tillbaka. Med den nuvarande kostnads</w:t>
      </w:r>
      <w:r w:rsidRPr="006F0D02" w:rsidR="006F0D02">
        <w:rPr>
          <w:spacing w:val="-3"/>
          <w:lang w:eastAsia="sv-SE"/>
        </w:rPr>
        <w:softHyphen/>
      </w:r>
      <w:r w:rsidRPr="006F0D02">
        <w:rPr>
          <w:spacing w:val="-3"/>
          <w:lang w:eastAsia="sv-SE"/>
        </w:rPr>
        <w:t>krisen</w:t>
      </w:r>
      <w:r w:rsidRPr="0074520F">
        <w:rPr>
          <w:lang w:eastAsia="sv-SE"/>
        </w:rPr>
        <w:t xml:space="preserve"> </w:t>
      </w:r>
      <w:r w:rsidRPr="006F0D02">
        <w:rPr>
          <w:spacing w:val="-3"/>
          <w:lang w:eastAsia="sv-SE"/>
        </w:rPr>
        <w:t>är situationen akut. Tidöpartiernas budgetproposition 2023/24 innebar ett underskott</w:t>
      </w:r>
      <w:r w:rsidRPr="0074520F">
        <w:rPr>
          <w:lang w:eastAsia="sv-SE"/>
        </w:rPr>
        <w:t xml:space="preserve"> i regionerna med 24 miljarder kronor.</w:t>
      </w:r>
      <w:r w:rsidRPr="0074520F">
        <w:rPr>
          <w:rStyle w:val="Fotnotsreferens"/>
          <w:lang w:eastAsia="sv-SE"/>
        </w:rPr>
        <w:footnoteReference w:id="70"/>
      </w:r>
      <w:r w:rsidRPr="0074520F">
        <w:rPr>
          <w:lang w:eastAsia="sv-SE"/>
        </w:rPr>
        <w:t xml:space="preserve"> Det innebär bl.a. stora personalneddragningar </w:t>
      </w:r>
      <w:r w:rsidRPr="006F0D02">
        <w:rPr>
          <w:spacing w:val="-3"/>
          <w:lang w:eastAsia="sv-SE"/>
        </w:rPr>
        <w:t xml:space="preserve">och anställningsstopp inom sjukvården. Trots ökande behov och </w:t>
      </w:r>
      <w:r w:rsidRPr="006F0D02" w:rsidR="00D97A7D">
        <w:rPr>
          <w:spacing w:val="-3"/>
          <w:lang w:eastAsia="sv-SE"/>
        </w:rPr>
        <w:t xml:space="preserve">ett </w:t>
      </w:r>
      <w:r w:rsidRPr="006F0D02">
        <w:rPr>
          <w:spacing w:val="-3"/>
          <w:lang w:eastAsia="sv-SE"/>
        </w:rPr>
        <w:t>löfte från statsminister</w:t>
      </w:r>
      <w:r w:rsidRPr="0074520F">
        <w:rPr>
          <w:lang w:eastAsia="sv-SE"/>
        </w:rPr>
        <w:t xml:space="preserve"> Ulf Kristersson om att personal i sjukvården inte ska behöva sägas upp fortsätter reger</w:t>
      </w:r>
      <w:r w:rsidR="006F0D02">
        <w:rPr>
          <w:lang w:eastAsia="sv-SE"/>
        </w:rPr>
        <w:softHyphen/>
      </w:r>
      <w:r w:rsidRPr="0074520F">
        <w:rPr>
          <w:lang w:eastAsia="sv-SE"/>
        </w:rPr>
        <w:t>ingen och Sverigedemokraterna på sin inslagna väg med en underfinansierad välfärd.</w:t>
      </w:r>
      <w:r w:rsidRPr="0074520F">
        <w:rPr>
          <w:rStyle w:val="Fotnotsreferens"/>
          <w:lang w:eastAsia="sv-SE"/>
        </w:rPr>
        <w:footnoteReference w:id="71"/>
      </w:r>
      <w:r w:rsidRPr="0074520F">
        <w:rPr>
          <w:lang w:eastAsia="sv-SE"/>
        </w:rPr>
        <w:t xml:space="preserve"> För att infria statsministerns löfte hade det krävts ett tillskott på 15 miljarder </w:t>
      </w:r>
      <w:r w:rsidRPr="0074520F" w:rsidR="00814ED3">
        <w:rPr>
          <w:lang w:eastAsia="sv-SE"/>
        </w:rPr>
        <w:t xml:space="preserve">kronor </w:t>
      </w:r>
      <w:r w:rsidRPr="0074520F">
        <w:rPr>
          <w:lang w:eastAsia="sv-SE"/>
        </w:rPr>
        <w:t xml:space="preserve">från staten till regionerna. I regeringens </w:t>
      </w:r>
      <w:proofErr w:type="spellStart"/>
      <w:r w:rsidRPr="0074520F">
        <w:rPr>
          <w:lang w:eastAsia="sv-SE"/>
        </w:rPr>
        <w:t>vårändringsbudget</w:t>
      </w:r>
      <w:proofErr w:type="spellEnd"/>
      <w:r w:rsidRPr="0074520F">
        <w:rPr>
          <w:lang w:eastAsia="sv-SE"/>
        </w:rPr>
        <w:t xml:space="preserve"> föreslås nu ungefär en tredjedel, 6 miljarder kronor</w:t>
      </w:r>
      <w:r w:rsidRPr="0074520F" w:rsidR="00814ED3">
        <w:rPr>
          <w:lang w:eastAsia="sv-SE"/>
        </w:rPr>
        <w:t>,</w:t>
      </w:r>
      <w:r w:rsidRPr="0074520F">
        <w:rPr>
          <w:lang w:eastAsia="sv-SE"/>
        </w:rPr>
        <w:t xml:space="preserve"> i </w:t>
      </w:r>
      <w:proofErr w:type="spellStart"/>
      <w:r w:rsidRPr="0074520F">
        <w:rPr>
          <w:lang w:eastAsia="sv-SE"/>
        </w:rPr>
        <w:t>sektor</w:t>
      </w:r>
      <w:r w:rsidR="00D97A7D">
        <w:rPr>
          <w:lang w:eastAsia="sv-SE"/>
        </w:rPr>
        <w:t>s</w:t>
      </w:r>
      <w:r w:rsidRPr="0074520F">
        <w:rPr>
          <w:lang w:eastAsia="sv-SE"/>
        </w:rPr>
        <w:t>bidrag</w:t>
      </w:r>
      <w:proofErr w:type="spellEnd"/>
      <w:r w:rsidRPr="0074520F">
        <w:rPr>
          <w:lang w:eastAsia="sv-SE"/>
        </w:rPr>
        <w:t xml:space="preserve"> till regionerna. Det är långt ifrån tillräckligt. </w:t>
      </w:r>
      <w:r w:rsidRPr="0074520F" w:rsidR="00BE7B97">
        <w:rPr>
          <w:lang w:eastAsia="sv-SE"/>
        </w:rPr>
        <w:t>Finans</w:t>
      </w:r>
      <w:r w:rsidR="006F0D02">
        <w:rPr>
          <w:lang w:eastAsia="sv-SE"/>
        </w:rPr>
        <w:softHyphen/>
      </w:r>
      <w:r w:rsidRPr="0074520F" w:rsidR="00BE7B97">
        <w:rPr>
          <w:lang w:eastAsia="sv-SE"/>
        </w:rPr>
        <w:t>minister</w:t>
      </w:r>
      <w:r w:rsidRPr="0074520F" w:rsidR="007166AB">
        <w:rPr>
          <w:lang w:eastAsia="sv-SE"/>
        </w:rPr>
        <w:t xml:space="preserve"> Elisabeth Svantessons</w:t>
      </w:r>
      <w:r w:rsidRPr="0074520F" w:rsidR="00BE7B97">
        <w:rPr>
          <w:lang w:eastAsia="sv-SE"/>
        </w:rPr>
        <w:t xml:space="preserve"> lösning på den ansträngda situationen är att, i strid med kommunallagen, uppmana kommuner och regioner att budgetera för underskott. Det är en verklighetsfrånvänd lösning i en akut kris. </w:t>
      </w:r>
    </w:p>
    <w:p w:rsidRPr="0074520F" w:rsidR="0098601C" w:rsidP="008E3773" w:rsidRDefault="000605E8" w14:paraId="218DBE3F" w14:textId="138765FD">
      <w:pPr>
        <w:rPr>
          <w:lang w:eastAsia="sv-SE"/>
        </w:rPr>
      </w:pPr>
      <w:r w:rsidRPr="0074520F">
        <w:rPr>
          <w:lang w:eastAsia="sv-SE"/>
        </w:rPr>
        <w:t>Finansminister</w:t>
      </w:r>
      <w:r w:rsidRPr="0074520F" w:rsidR="007166AB">
        <w:rPr>
          <w:lang w:eastAsia="sv-SE"/>
        </w:rPr>
        <w:t>n</w:t>
      </w:r>
      <w:r w:rsidRPr="0074520F">
        <w:rPr>
          <w:lang w:eastAsia="sv-SE"/>
        </w:rPr>
        <w:t xml:space="preserve"> påstod i samband med att regeringen presenterade sin vårbudget att </w:t>
      </w:r>
      <w:r w:rsidRPr="006F0D02">
        <w:rPr>
          <w:spacing w:val="-3"/>
          <w:lang w:eastAsia="sv-SE"/>
        </w:rPr>
        <w:t xml:space="preserve">det var en historisk satsning på sjukvården. Men sanningen är den rakt motsatta. </w:t>
      </w:r>
      <w:r w:rsidRPr="006F0D02" w:rsidR="0098601C">
        <w:rPr>
          <w:spacing w:val="-3"/>
          <w:lang w:eastAsia="sv-SE"/>
        </w:rPr>
        <w:t>På grund</w:t>
      </w:r>
      <w:r w:rsidRPr="0074520F" w:rsidR="0098601C">
        <w:rPr>
          <w:lang w:eastAsia="sv-SE"/>
        </w:rPr>
        <w:t xml:space="preserve"> av prisökningar och befolkningstillväxt ökar kostnaderna för kommunsektorn med </w:t>
      </w:r>
      <w:r w:rsidRPr="0074520F" w:rsidR="00A056DE">
        <w:rPr>
          <w:lang w:eastAsia="sv-SE"/>
        </w:rPr>
        <w:t>ca</w:t>
      </w:r>
      <w:r w:rsidRPr="0074520F" w:rsidR="0098601C">
        <w:rPr>
          <w:lang w:eastAsia="sv-SE"/>
        </w:rPr>
        <w:t xml:space="preserve"> 4 </w:t>
      </w:r>
      <w:r w:rsidRPr="0074520F" w:rsidR="0098601C">
        <w:rPr>
          <w:lang w:eastAsia="sv-SE"/>
        </w:rPr>
        <w:lastRenderedPageBreak/>
        <w:t>procent per år. När statsbidragen inte indexeras resulterar det de facto i besparingskrav och nedskärningar. I</w:t>
      </w:r>
      <w:r w:rsidRPr="0074520F" w:rsidR="00814ED3">
        <w:rPr>
          <w:lang w:eastAsia="sv-SE"/>
        </w:rPr>
        <w:t xml:space="preserve"> </w:t>
      </w:r>
      <w:r w:rsidRPr="0074520F" w:rsidR="0098601C">
        <w:rPr>
          <w:lang w:eastAsia="sv-SE"/>
        </w:rPr>
        <w:t>stället för att använda reformutrymmet i budgeten till att upprätt</w:t>
      </w:r>
      <w:r w:rsidR="006F0D02">
        <w:rPr>
          <w:lang w:eastAsia="sv-SE"/>
        </w:rPr>
        <w:softHyphen/>
      </w:r>
      <w:r w:rsidRPr="0074520F" w:rsidR="0098601C">
        <w:rPr>
          <w:lang w:eastAsia="sv-SE"/>
        </w:rPr>
        <w:t>hålla nivån har borgerliga regeringar i</w:t>
      </w:r>
      <w:r w:rsidRPr="0074520F" w:rsidR="00814ED3">
        <w:rPr>
          <w:lang w:eastAsia="sv-SE"/>
        </w:rPr>
        <w:t xml:space="preserve"> </w:t>
      </w:r>
      <w:r w:rsidRPr="0074520F" w:rsidR="0098601C">
        <w:rPr>
          <w:lang w:eastAsia="sv-SE"/>
        </w:rPr>
        <w:t xml:space="preserve">stället till stor del använt pengarna </w:t>
      </w:r>
      <w:r w:rsidR="00BC010F">
        <w:rPr>
          <w:lang w:eastAsia="sv-SE"/>
        </w:rPr>
        <w:t xml:space="preserve">till </w:t>
      </w:r>
      <w:r w:rsidRPr="0074520F" w:rsidR="0098601C">
        <w:rPr>
          <w:lang w:eastAsia="sv-SE"/>
        </w:rPr>
        <w:t>skatte</w:t>
      </w:r>
      <w:r w:rsidR="006F0D02">
        <w:rPr>
          <w:lang w:eastAsia="sv-SE"/>
        </w:rPr>
        <w:softHyphen/>
      </w:r>
      <w:r w:rsidRPr="0074520F" w:rsidR="0098601C">
        <w:rPr>
          <w:lang w:eastAsia="sv-SE"/>
        </w:rPr>
        <w:t>sänkningar.</w:t>
      </w:r>
      <w:r w:rsidRPr="0074520F" w:rsidR="008E3773">
        <w:rPr>
          <w:lang w:eastAsia="sv-SE"/>
        </w:rPr>
        <w:t xml:space="preserve"> </w:t>
      </w:r>
    </w:p>
    <w:p w:rsidRPr="0074520F" w:rsidR="0098601C" w:rsidP="0098601C" w:rsidRDefault="0098601C" w14:paraId="06B7E4F9" w14:textId="413BB23B">
      <w:pPr>
        <w:rPr>
          <w:lang w:eastAsia="sv-SE"/>
        </w:rPr>
      </w:pPr>
      <w:r w:rsidRPr="006F0D02">
        <w:rPr>
          <w:spacing w:val="-3"/>
          <w:lang w:eastAsia="sv-SE"/>
        </w:rPr>
        <w:t xml:space="preserve">Resultatet </w:t>
      </w:r>
      <w:r w:rsidRPr="006F0D02" w:rsidR="008E3773">
        <w:rPr>
          <w:spacing w:val="-3"/>
          <w:lang w:eastAsia="sv-SE"/>
        </w:rPr>
        <w:t>låter inte vänta på sig</w:t>
      </w:r>
      <w:r w:rsidRPr="006F0D02">
        <w:rPr>
          <w:spacing w:val="-3"/>
          <w:lang w:eastAsia="sv-SE"/>
        </w:rPr>
        <w:t>. Taxor och patientavgifter höjs i samtliga 21 regioner</w:t>
      </w:r>
      <w:r w:rsidRPr="006F0D02" w:rsidR="004317EA">
        <w:rPr>
          <w:spacing w:val="-3"/>
          <w:lang w:eastAsia="sv-SE"/>
        </w:rPr>
        <w:t>,</w:t>
      </w:r>
      <w:r w:rsidRPr="0074520F">
        <w:rPr>
          <w:lang w:eastAsia="sv-SE"/>
        </w:rPr>
        <w:t xml:space="preserve"> och i drygt en tredjedel av regionerna har man aviserat personalneddragningar i form av </w:t>
      </w:r>
      <w:r w:rsidRPr="006F0D02">
        <w:rPr>
          <w:spacing w:val="-3"/>
          <w:lang w:eastAsia="sv-SE"/>
        </w:rPr>
        <w:t xml:space="preserve">varsel. Totalt handlar det om </w:t>
      </w:r>
      <w:r w:rsidRPr="006F0D02" w:rsidR="00A056DE">
        <w:rPr>
          <w:spacing w:val="-3"/>
          <w:lang w:eastAsia="sv-SE"/>
        </w:rPr>
        <w:t>ca</w:t>
      </w:r>
      <w:r w:rsidRPr="006F0D02">
        <w:rPr>
          <w:spacing w:val="-3"/>
          <w:lang w:eastAsia="sv-SE"/>
        </w:rPr>
        <w:t xml:space="preserve"> 5</w:t>
      </w:r>
      <w:r w:rsidRPr="006F0D02" w:rsidR="0022309B">
        <w:rPr>
          <w:spacing w:val="-3"/>
          <w:lang w:eastAsia="sv-SE"/>
        </w:rPr>
        <w:t> </w:t>
      </w:r>
      <w:r w:rsidRPr="006F0D02">
        <w:rPr>
          <w:spacing w:val="-3"/>
          <w:lang w:eastAsia="sv-SE"/>
        </w:rPr>
        <w:t xml:space="preserve">600 tjänster som ska </w:t>
      </w:r>
      <w:r w:rsidRPr="006F0D02" w:rsidR="00814ED3">
        <w:rPr>
          <w:spacing w:val="-3"/>
          <w:lang w:eastAsia="sv-SE"/>
        </w:rPr>
        <w:t>bort</w:t>
      </w:r>
      <w:r w:rsidRPr="006F0D02">
        <w:rPr>
          <w:spacing w:val="-3"/>
          <w:lang w:eastAsia="sv-SE"/>
        </w:rPr>
        <w:t>. Dessutom har flera regioner</w:t>
      </w:r>
      <w:r w:rsidRPr="0074520F">
        <w:rPr>
          <w:lang w:eastAsia="sv-SE"/>
        </w:rPr>
        <w:t xml:space="preserve"> infört anställningsstopp. Sammantaget står det klart att personaltätheten och därmed vårdkvalit</w:t>
      </w:r>
      <w:r w:rsidRPr="0074520F" w:rsidR="00814ED3">
        <w:rPr>
          <w:lang w:eastAsia="sv-SE"/>
        </w:rPr>
        <w:t>ete</w:t>
      </w:r>
      <w:r w:rsidRPr="0074520F">
        <w:rPr>
          <w:lang w:eastAsia="sv-SE"/>
        </w:rPr>
        <w:t xml:space="preserve">n kommer att sjunka till så pass låga nivåer att patientsäkerheten hotas, och </w:t>
      </w:r>
      <w:r w:rsidRPr="006F0D02">
        <w:rPr>
          <w:spacing w:val="-3"/>
          <w:lang w:eastAsia="sv-SE"/>
        </w:rPr>
        <w:t>det från en redan mycket ansträngd nivå. Det finns en lång rad exempel på hur vårdkrisen</w:t>
      </w:r>
      <w:r w:rsidRPr="0074520F">
        <w:rPr>
          <w:lang w:eastAsia="sv-SE"/>
        </w:rPr>
        <w:t xml:space="preserve"> </w:t>
      </w:r>
      <w:r w:rsidRPr="006F0D02">
        <w:rPr>
          <w:spacing w:val="-3"/>
          <w:lang w:eastAsia="sv-SE"/>
        </w:rPr>
        <w:t>drabbar personal såväl som patienter. Inspektionen för vård och omsorg</w:t>
      </w:r>
      <w:r w:rsidRPr="006F0D02" w:rsidR="008E3773">
        <w:rPr>
          <w:spacing w:val="-3"/>
          <w:lang w:eastAsia="sv-SE"/>
        </w:rPr>
        <w:t xml:space="preserve"> har granskat fall</w:t>
      </w:r>
      <w:r w:rsidRPr="0074520F" w:rsidR="008E3773">
        <w:rPr>
          <w:lang w:eastAsia="sv-SE"/>
        </w:rPr>
        <w:t xml:space="preserve"> </w:t>
      </w:r>
      <w:r w:rsidRPr="0074520F">
        <w:rPr>
          <w:lang w:eastAsia="sv-SE"/>
        </w:rPr>
        <w:t xml:space="preserve">där patienter </w:t>
      </w:r>
      <w:r w:rsidRPr="0074520F" w:rsidR="008E3773">
        <w:rPr>
          <w:lang w:eastAsia="sv-SE"/>
        </w:rPr>
        <w:t>legat i</w:t>
      </w:r>
      <w:r w:rsidRPr="0074520F">
        <w:rPr>
          <w:lang w:eastAsia="sv-SE"/>
        </w:rPr>
        <w:t xml:space="preserve"> sjukhuskorridorer utan att ens få hjälp att gå på toaletten och </w:t>
      </w:r>
      <w:r w:rsidRPr="0074520F" w:rsidR="00BE7B97">
        <w:rPr>
          <w:lang w:eastAsia="sv-SE"/>
        </w:rPr>
        <w:t>där</w:t>
      </w:r>
      <w:r w:rsidRPr="0074520F">
        <w:rPr>
          <w:lang w:eastAsia="sv-SE"/>
        </w:rPr>
        <w:t xml:space="preserve"> patienter utrustats med grytlock och bjällror för att kunna påkalla personalens uppmärk</w:t>
      </w:r>
      <w:r w:rsidR="006F0D02">
        <w:rPr>
          <w:lang w:eastAsia="sv-SE"/>
        </w:rPr>
        <w:softHyphen/>
      </w:r>
      <w:r w:rsidRPr="0074520F">
        <w:rPr>
          <w:lang w:eastAsia="sv-SE"/>
        </w:rPr>
        <w:t>samhet.</w:t>
      </w:r>
      <w:r w:rsidRPr="0074520F">
        <w:rPr>
          <w:rStyle w:val="Fotnotsreferens"/>
          <w:lang w:eastAsia="sv-SE"/>
        </w:rPr>
        <w:footnoteReference w:id="72"/>
      </w:r>
    </w:p>
    <w:p w:rsidRPr="0074520F" w:rsidR="00B41877" w:rsidP="0098601C" w:rsidRDefault="00B41877" w14:paraId="7591016E" w14:textId="614F77AB">
      <w:pPr>
        <w:rPr>
          <w:lang w:eastAsia="sv-SE"/>
        </w:rPr>
      </w:pPr>
      <w:r w:rsidRPr="0074520F">
        <w:rPr>
          <w:lang w:eastAsia="sv-SE"/>
        </w:rPr>
        <w:t xml:space="preserve">I </w:t>
      </w:r>
      <w:proofErr w:type="spellStart"/>
      <w:r w:rsidRPr="0074520F">
        <w:rPr>
          <w:lang w:eastAsia="sv-SE"/>
        </w:rPr>
        <w:t>vårändringsbudgeten</w:t>
      </w:r>
      <w:proofErr w:type="spellEnd"/>
      <w:r w:rsidRPr="0074520F">
        <w:rPr>
          <w:lang w:eastAsia="sv-SE"/>
        </w:rPr>
        <w:t xml:space="preserve"> tillför regeringen skolan 500 miljoner</w:t>
      </w:r>
      <w:r w:rsidRPr="0074520F" w:rsidR="00902AC7">
        <w:rPr>
          <w:lang w:eastAsia="sv-SE"/>
        </w:rPr>
        <w:t xml:space="preserve"> kronor</w:t>
      </w:r>
      <w:r w:rsidRPr="0074520F">
        <w:rPr>
          <w:lang w:eastAsia="sv-SE"/>
        </w:rPr>
        <w:t xml:space="preserve"> – en bråkdel av vad som skulle behövas. Sveriges Lärare menar att det skulle behövas ett tillskott på </w:t>
      </w:r>
      <w:r w:rsidRPr="0074520F" w:rsidR="00902AC7">
        <w:rPr>
          <w:lang w:eastAsia="sv-SE"/>
        </w:rPr>
        <w:t>4</w:t>
      </w:r>
      <w:r w:rsidR="0042158A">
        <w:rPr>
          <w:lang w:eastAsia="sv-SE"/>
        </w:rPr>
        <w:t> </w:t>
      </w:r>
      <w:r w:rsidRPr="0074520F">
        <w:rPr>
          <w:lang w:eastAsia="sv-SE"/>
        </w:rPr>
        <w:t>miljarder kronor, varav två enbart för att häva besparingarna på landets skolor. Orga</w:t>
      </w:r>
      <w:r w:rsidR="006F0D02">
        <w:rPr>
          <w:lang w:eastAsia="sv-SE"/>
        </w:rPr>
        <w:softHyphen/>
      </w:r>
      <w:r w:rsidRPr="0074520F">
        <w:rPr>
          <w:lang w:eastAsia="sv-SE"/>
        </w:rPr>
        <w:t>nisationens ordförande kallar det för en ren hygienfaktor.</w:t>
      </w:r>
      <w:r w:rsidRPr="0074520F" w:rsidR="00B2528F">
        <w:rPr>
          <w:rStyle w:val="Fotnotsreferens"/>
          <w:lang w:eastAsia="sv-SE"/>
        </w:rPr>
        <w:footnoteReference w:id="73"/>
      </w:r>
      <w:r w:rsidRPr="0074520F" w:rsidR="007430F0">
        <w:rPr>
          <w:lang w:eastAsia="sv-SE"/>
        </w:rPr>
        <w:t xml:space="preserve"> Med Vänsterpartiets politik ökar de generella statsbidragen till kommunerna betydligt. I vår budgetmotion för 2024 </w:t>
      </w:r>
      <w:r w:rsidRPr="006F0D02" w:rsidR="007430F0">
        <w:rPr>
          <w:spacing w:val="-3"/>
          <w:lang w:eastAsia="sv-SE"/>
        </w:rPr>
        <w:t>föreslog vi 20 miljarder kronor mer än regeringen.</w:t>
      </w:r>
      <w:r w:rsidRPr="006F0D02" w:rsidR="007430F0">
        <w:rPr>
          <w:rStyle w:val="Fotnotsreferens"/>
          <w:spacing w:val="-3"/>
          <w:lang w:eastAsia="sv-SE"/>
        </w:rPr>
        <w:footnoteReference w:id="74"/>
      </w:r>
      <w:r w:rsidRPr="006F0D02" w:rsidR="00C30D12">
        <w:rPr>
          <w:spacing w:val="-3"/>
          <w:lang w:eastAsia="sv-SE"/>
        </w:rPr>
        <w:t xml:space="preserve"> Regeringen och Sverigedemokraterna</w:t>
      </w:r>
      <w:r w:rsidRPr="0074520F" w:rsidR="00C30D12">
        <w:rPr>
          <w:lang w:eastAsia="sv-SE"/>
        </w:rPr>
        <w:t xml:space="preserve"> </w:t>
      </w:r>
      <w:r w:rsidRPr="006F0D02" w:rsidR="00C30D12">
        <w:rPr>
          <w:spacing w:val="-3"/>
          <w:lang w:eastAsia="sv-SE"/>
        </w:rPr>
        <w:t>har ett högt tonläge när det kommer till att stoppa unga kriminella. Att man då inte satsar</w:t>
      </w:r>
      <w:r w:rsidRPr="0074520F" w:rsidR="00C30D12">
        <w:rPr>
          <w:lang w:eastAsia="sv-SE"/>
        </w:rPr>
        <w:t xml:space="preserve"> </w:t>
      </w:r>
      <w:r w:rsidRPr="006F0D02" w:rsidR="00C30D12">
        <w:rPr>
          <w:spacing w:val="-2"/>
          <w:lang w:eastAsia="sv-SE"/>
        </w:rPr>
        <w:t>mer på den mest grundläggande förebyggande verksamheten – skolan – är anmärknings</w:t>
      </w:r>
      <w:r w:rsidRPr="006F0D02" w:rsidR="006F0D02">
        <w:rPr>
          <w:spacing w:val="-2"/>
          <w:lang w:eastAsia="sv-SE"/>
        </w:rPr>
        <w:softHyphen/>
      </w:r>
      <w:r w:rsidRPr="006F0D02" w:rsidR="00C30D12">
        <w:rPr>
          <w:spacing w:val="-2"/>
          <w:lang w:eastAsia="sv-SE"/>
        </w:rPr>
        <w:t>värt.</w:t>
      </w:r>
    </w:p>
    <w:p w:rsidRPr="0074520F" w:rsidR="00E70FB9" w:rsidP="00F31574" w:rsidRDefault="0098601C" w14:paraId="5EB31F2E" w14:textId="40AEC24C">
      <w:pPr>
        <w:rPr>
          <w:lang w:eastAsia="sv-SE"/>
        </w:rPr>
      </w:pPr>
      <w:r w:rsidRPr="0074520F">
        <w:rPr>
          <w:lang w:eastAsia="sv-SE"/>
        </w:rPr>
        <w:t>Utöver en redan pressad situation innebär Sveriges medlemskap i Nato ökade krav på t.ex. sjukvårdspersonal. Vårdförbundet har varnat för att detta kan komma att resul</w:t>
      </w:r>
      <w:r w:rsidR="006F0D02">
        <w:rPr>
          <w:lang w:eastAsia="sv-SE"/>
        </w:rPr>
        <w:softHyphen/>
      </w:r>
      <w:r w:rsidRPr="0074520F">
        <w:rPr>
          <w:lang w:eastAsia="sv-SE"/>
        </w:rPr>
        <w:t>tera i försämrade villkor för vårdanställda.</w:t>
      </w:r>
      <w:r w:rsidRPr="0074520F" w:rsidR="008E3773">
        <w:rPr>
          <w:rStyle w:val="Fotnotsreferens"/>
          <w:lang w:eastAsia="sv-SE"/>
        </w:rPr>
        <w:footnoteReference w:id="75"/>
      </w:r>
      <w:r w:rsidRPr="0074520F">
        <w:rPr>
          <w:lang w:eastAsia="sv-SE"/>
        </w:rPr>
        <w:t xml:space="preserve"> Välfärden är samhällets bottenplatta. Det kräv</w:t>
      </w:r>
      <w:r w:rsidR="00E072F3">
        <w:rPr>
          <w:lang w:eastAsia="sv-SE"/>
        </w:rPr>
        <w:t>s</w:t>
      </w:r>
      <w:r w:rsidRPr="0074520F">
        <w:rPr>
          <w:lang w:eastAsia="sv-SE"/>
        </w:rPr>
        <w:t xml:space="preserve"> bl.a. att kommuner och regioner har tillräckliga resurser för att bedriva en god </w:t>
      </w:r>
      <w:r w:rsidRPr="00A76031">
        <w:rPr>
          <w:spacing w:val="-3"/>
          <w:lang w:eastAsia="sv-SE"/>
        </w:rPr>
        <w:t xml:space="preserve">verksamhet både på daglig basis </w:t>
      </w:r>
      <w:r w:rsidRPr="00A76031" w:rsidR="00E072F3">
        <w:rPr>
          <w:spacing w:val="-3"/>
          <w:lang w:eastAsia="sv-SE"/>
        </w:rPr>
        <w:t xml:space="preserve">och </w:t>
      </w:r>
      <w:r w:rsidRPr="00A76031">
        <w:rPr>
          <w:spacing w:val="-3"/>
          <w:lang w:eastAsia="sv-SE"/>
        </w:rPr>
        <w:t xml:space="preserve">i ansträngda lägen. Samhället kan inte rustas genom </w:t>
      </w:r>
      <w:r w:rsidRPr="0074520F">
        <w:rPr>
          <w:lang w:eastAsia="sv-SE"/>
        </w:rPr>
        <w:t>nedskärningar och sämre villkor.</w:t>
      </w:r>
      <w:r w:rsidRPr="0074520F">
        <w:rPr>
          <w:rStyle w:val="Fotnotsreferens"/>
          <w:lang w:eastAsia="sv-SE"/>
        </w:rPr>
        <w:footnoteReference w:id="76"/>
      </w:r>
      <w:r w:rsidRPr="0074520F">
        <w:rPr>
          <w:lang w:eastAsia="sv-SE"/>
        </w:rPr>
        <w:t xml:space="preserve"> </w:t>
      </w:r>
    </w:p>
    <w:p w:rsidRPr="0074520F" w:rsidR="000905D3" w:rsidP="000905D3" w:rsidRDefault="000905D3" w14:paraId="38767EC7" w14:textId="1A663A89">
      <w:pPr>
        <w:rPr>
          <w:lang w:eastAsia="sv-SE"/>
        </w:rPr>
      </w:pPr>
      <w:bookmarkStart w:name="_Hlk164768555" w:id="58"/>
      <w:r w:rsidRPr="006F0D02">
        <w:rPr>
          <w:spacing w:val="-3"/>
          <w:lang w:eastAsia="sv-SE"/>
        </w:rPr>
        <w:t xml:space="preserve">I </w:t>
      </w:r>
      <w:proofErr w:type="spellStart"/>
      <w:r w:rsidRPr="006F0D02">
        <w:rPr>
          <w:spacing w:val="-3"/>
          <w:lang w:eastAsia="sv-SE"/>
        </w:rPr>
        <w:t>vårändringsbudgeten</w:t>
      </w:r>
      <w:proofErr w:type="spellEnd"/>
      <w:r w:rsidRPr="006F0D02">
        <w:rPr>
          <w:spacing w:val="-3"/>
          <w:lang w:eastAsia="sv-SE"/>
        </w:rPr>
        <w:t xml:space="preserve"> tar regeringen </w:t>
      </w:r>
      <w:r w:rsidRPr="006F0D02" w:rsidR="00902AC7">
        <w:rPr>
          <w:spacing w:val="-3"/>
          <w:lang w:eastAsia="sv-SE"/>
        </w:rPr>
        <w:t>4</w:t>
      </w:r>
      <w:r w:rsidRPr="006F0D02">
        <w:rPr>
          <w:spacing w:val="-3"/>
          <w:lang w:eastAsia="sv-SE"/>
        </w:rPr>
        <w:t xml:space="preserve"> miljoner kronor från insatser mot hiv/aids och</w:t>
      </w:r>
      <w:r w:rsidRPr="0074520F">
        <w:rPr>
          <w:lang w:eastAsia="sv-SE"/>
        </w:rPr>
        <w:t xml:space="preserve"> </w:t>
      </w:r>
      <w:r w:rsidRPr="006F0D02">
        <w:rPr>
          <w:spacing w:val="-3"/>
          <w:lang w:eastAsia="sv-SE"/>
        </w:rPr>
        <w:t>lägger dem på vidmakthållande av statens transportinfrastruktur. Det är ett märkligt grepp</w:t>
      </w:r>
      <w:r w:rsidRPr="0074520F" w:rsidR="00047BC7">
        <w:rPr>
          <w:lang w:eastAsia="sv-SE"/>
        </w:rPr>
        <w:t xml:space="preserve"> som </w:t>
      </w:r>
      <w:r w:rsidRPr="0074520F" w:rsidR="00C25723">
        <w:rPr>
          <w:lang w:eastAsia="sv-SE"/>
        </w:rPr>
        <w:t xml:space="preserve">regeringen själva medger kommer att </w:t>
      </w:r>
      <w:r w:rsidRPr="0074520F" w:rsidR="00047BC7">
        <w:rPr>
          <w:lang w:eastAsia="sv-SE"/>
        </w:rPr>
        <w:t xml:space="preserve">drabba kunskapsspridningen </w:t>
      </w:r>
      <w:r w:rsidR="00273E88">
        <w:rPr>
          <w:lang w:eastAsia="sv-SE"/>
        </w:rPr>
        <w:t xml:space="preserve">i fråga </w:t>
      </w:r>
      <w:r w:rsidRPr="0074520F" w:rsidR="00047BC7">
        <w:rPr>
          <w:lang w:eastAsia="sv-SE"/>
        </w:rPr>
        <w:t>om hiv</w:t>
      </w:r>
      <w:r w:rsidRPr="0074520F" w:rsidR="00C25723">
        <w:rPr>
          <w:lang w:eastAsia="sv-SE"/>
        </w:rPr>
        <w:t>.</w:t>
      </w:r>
    </w:p>
    <w:p w:rsidRPr="005735E9" w:rsidR="00E70FB9" w:rsidP="005735E9" w:rsidRDefault="00E70FB9" w14:paraId="63DBCA37" w14:textId="77777777">
      <w:pPr>
        <w:pStyle w:val="Rubrik2numrerat"/>
      </w:pPr>
      <w:bookmarkStart w:name="_Toc166056454" w:id="59"/>
      <w:bookmarkEnd w:id="58"/>
      <w:r w:rsidRPr="005735E9">
        <w:t>Hushållen i krisen</w:t>
      </w:r>
      <w:bookmarkEnd w:id="59"/>
    </w:p>
    <w:p w:rsidRPr="0074520F" w:rsidR="00A64D68" w:rsidP="00A64D68" w:rsidRDefault="00964549" w14:paraId="53757B0F" w14:textId="441737BC">
      <w:pPr>
        <w:pStyle w:val="Normalutanindragellerluft"/>
        <w:rPr>
          <w:lang w:eastAsia="sv-SE"/>
        </w:rPr>
      </w:pPr>
      <w:bookmarkStart w:name="_Hlk164843079" w:id="60"/>
      <w:r w:rsidRPr="0074520F">
        <w:rPr>
          <w:lang w:eastAsia="sv-SE"/>
        </w:rPr>
        <w:t>Situationen för hushållen är ansträngd.</w:t>
      </w:r>
      <w:r w:rsidRPr="0074520F" w:rsidR="00E70FB9">
        <w:rPr>
          <w:lang w:eastAsia="sv-SE"/>
        </w:rPr>
        <w:t xml:space="preserve"> </w:t>
      </w:r>
      <w:bookmarkEnd w:id="60"/>
      <w:r w:rsidRPr="0074520F" w:rsidR="00BE7B97">
        <w:rPr>
          <w:lang w:eastAsia="sv-SE"/>
        </w:rPr>
        <w:t xml:space="preserve">Regeringen konstaterar själv i sin ekonomiska vårproposition att det kan ta flera år innan den genomsnittliga reallönen är tillbaka på </w:t>
      </w:r>
      <w:r w:rsidRPr="0074520F" w:rsidR="00BE7B97">
        <w:rPr>
          <w:lang w:eastAsia="sv-SE"/>
        </w:rPr>
        <w:lastRenderedPageBreak/>
        <w:t>2021 års nivå.</w:t>
      </w:r>
      <w:r w:rsidRPr="0074520F" w:rsidR="00BE7B97">
        <w:rPr>
          <w:rStyle w:val="Fotnotsreferens"/>
          <w:lang w:eastAsia="sv-SE"/>
        </w:rPr>
        <w:footnoteReference w:id="77"/>
      </w:r>
      <w:r w:rsidRPr="0074520F" w:rsidR="00BE7B97">
        <w:rPr>
          <w:lang w:eastAsia="sv-SE"/>
        </w:rPr>
        <w:t xml:space="preserve"> </w:t>
      </w:r>
      <w:r w:rsidRPr="0074520F" w:rsidR="00E70FB9">
        <w:rPr>
          <w:lang w:eastAsia="sv-SE"/>
        </w:rPr>
        <w:t xml:space="preserve">Vänsterpartiet har återkommande konstaterat </w:t>
      </w:r>
      <w:r w:rsidR="004D17BC">
        <w:rPr>
          <w:lang w:eastAsia="sv-SE"/>
        </w:rPr>
        <w:t>att</w:t>
      </w:r>
      <w:r w:rsidRPr="0074520F" w:rsidR="00E70FB9">
        <w:rPr>
          <w:lang w:eastAsia="sv-SE"/>
        </w:rPr>
        <w:t xml:space="preserve"> regeringens </w:t>
      </w:r>
      <w:r w:rsidRPr="0074520F" w:rsidR="003D7651">
        <w:rPr>
          <w:lang w:eastAsia="sv-SE"/>
        </w:rPr>
        <w:t>och Sverigedemokraternas</w:t>
      </w:r>
      <w:r w:rsidRPr="0074520F" w:rsidR="00E70FB9">
        <w:rPr>
          <w:lang w:eastAsia="sv-SE"/>
        </w:rPr>
        <w:t xml:space="preserve"> passivt aggressiva politik i förhållande till hushållen skapar en pressad situation. </w:t>
      </w:r>
      <w:r w:rsidRPr="0074520F" w:rsidR="003D7651">
        <w:rPr>
          <w:lang w:eastAsia="sv-SE"/>
        </w:rPr>
        <w:t xml:space="preserve">Det </w:t>
      </w:r>
      <w:r w:rsidRPr="0074520F" w:rsidR="00A64D68">
        <w:rPr>
          <w:lang w:eastAsia="sv-SE"/>
        </w:rPr>
        <w:t xml:space="preserve">vittnar om en ignorans </w:t>
      </w:r>
      <w:r w:rsidR="00EE74A6">
        <w:rPr>
          <w:lang w:eastAsia="sv-SE"/>
        </w:rPr>
        <w:t xml:space="preserve">i fråga om </w:t>
      </w:r>
      <w:r w:rsidRPr="0074520F" w:rsidR="00A64D68">
        <w:rPr>
          <w:lang w:eastAsia="sv-SE"/>
        </w:rPr>
        <w:t xml:space="preserve">människors verkliga problem. </w:t>
      </w:r>
      <w:r w:rsidRPr="00C447D4" w:rsidR="00A64D68">
        <w:rPr>
          <w:spacing w:val="-3"/>
          <w:lang w:eastAsia="sv-SE"/>
        </w:rPr>
        <w:t>Allra hårdast slår det mot de hushåll som redan har små eller inga ekonomiska marginaler.</w:t>
      </w:r>
      <w:r w:rsidRPr="0074520F" w:rsidR="00A64D68">
        <w:rPr>
          <w:lang w:eastAsia="sv-SE"/>
        </w:rPr>
        <w:t xml:space="preserve"> </w:t>
      </w:r>
      <w:r w:rsidRPr="00C447D4" w:rsidR="00A64D68">
        <w:rPr>
          <w:spacing w:val="-3"/>
          <w:lang w:eastAsia="sv-SE"/>
        </w:rPr>
        <w:t xml:space="preserve">Föräldrar </w:t>
      </w:r>
      <w:r w:rsidRPr="00C447D4" w:rsidR="003D7651">
        <w:rPr>
          <w:spacing w:val="-3"/>
          <w:lang w:eastAsia="sv-SE"/>
        </w:rPr>
        <w:t>berättar</w:t>
      </w:r>
      <w:r w:rsidRPr="00C447D4" w:rsidR="00A64D68">
        <w:rPr>
          <w:spacing w:val="-3"/>
          <w:lang w:eastAsia="sv-SE"/>
        </w:rPr>
        <w:t xml:space="preserve"> t.ex. om </w:t>
      </w:r>
      <w:r w:rsidRPr="00C447D4" w:rsidR="003D7651">
        <w:rPr>
          <w:spacing w:val="-3"/>
          <w:lang w:eastAsia="sv-SE"/>
        </w:rPr>
        <w:t xml:space="preserve">hur </w:t>
      </w:r>
      <w:r w:rsidRPr="00C447D4" w:rsidR="00A64D68">
        <w:rPr>
          <w:spacing w:val="-3"/>
          <w:lang w:eastAsia="sv-SE"/>
        </w:rPr>
        <w:t>de inte har råd att köpa näringsriktig mat och hur de saknar</w:t>
      </w:r>
      <w:r w:rsidRPr="0074520F" w:rsidR="00A64D68">
        <w:rPr>
          <w:lang w:eastAsia="sv-SE"/>
        </w:rPr>
        <w:t xml:space="preserve"> </w:t>
      </w:r>
      <w:r w:rsidRPr="00A76031" w:rsidR="00A64D68">
        <w:rPr>
          <w:spacing w:val="-3"/>
          <w:lang w:eastAsia="sv-SE"/>
        </w:rPr>
        <w:t>pengar för att kunna åka med kollektivtrafiken.</w:t>
      </w:r>
      <w:r w:rsidRPr="00A76031" w:rsidR="00A64D68">
        <w:rPr>
          <w:rStyle w:val="Fotnotsreferens"/>
          <w:spacing w:val="-3"/>
          <w:lang w:eastAsia="sv-SE"/>
        </w:rPr>
        <w:footnoteReference w:id="78"/>
      </w:r>
      <w:r w:rsidRPr="00A76031" w:rsidR="00A64D68">
        <w:rPr>
          <w:spacing w:val="-3"/>
          <w:lang w:eastAsia="sv-SE"/>
        </w:rPr>
        <w:t xml:space="preserve"> Så många som 57 procent av alla ensam</w:t>
      </w:r>
      <w:r w:rsidRPr="00A76031" w:rsidR="00A76031">
        <w:rPr>
          <w:spacing w:val="-3"/>
          <w:lang w:eastAsia="sv-SE"/>
        </w:rPr>
        <w:softHyphen/>
      </w:r>
      <w:r w:rsidRPr="00A76031" w:rsidR="00A64D68">
        <w:rPr>
          <w:spacing w:val="-3"/>
          <w:lang w:eastAsia="sv-SE"/>
        </w:rPr>
        <w:t>stående</w:t>
      </w:r>
      <w:r w:rsidRPr="0074520F" w:rsidR="00A64D68">
        <w:rPr>
          <w:lang w:eastAsia="sv-SE"/>
        </w:rPr>
        <w:t xml:space="preserve"> kvinnor med barn saknar kontantmarginal och har svårt att betala en oväntad utgift på 13 000 kronor.</w:t>
      </w:r>
      <w:r w:rsidRPr="0074520F" w:rsidR="00D45CE2">
        <w:rPr>
          <w:rStyle w:val="Fotnotsreferens"/>
          <w:lang w:eastAsia="sv-SE"/>
        </w:rPr>
        <w:footnoteReference w:id="79"/>
      </w:r>
      <w:r w:rsidRPr="0074520F" w:rsidR="00A64D68">
        <w:rPr>
          <w:lang w:eastAsia="sv-SE"/>
        </w:rPr>
        <w:t xml:space="preserve"> </w:t>
      </w:r>
    </w:p>
    <w:p w:rsidRPr="0074520F" w:rsidR="003D7651" w:rsidP="003D7651" w:rsidRDefault="003D7651" w14:paraId="2AEA9D2C" w14:textId="2F5AE31F">
      <w:pPr>
        <w:rPr>
          <w:lang w:eastAsia="sv-SE"/>
        </w:rPr>
      </w:pPr>
      <w:r w:rsidRPr="0074520F">
        <w:rPr>
          <w:lang w:eastAsia="sv-SE"/>
        </w:rPr>
        <w:t xml:space="preserve">Regeringens politik har varit att tillsammans med Sverigedemokraterna införa ett jobbskatteavdrag där 90 procent går </w:t>
      </w:r>
      <w:r w:rsidRPr="0074520F" w:rsidR="00902AC7">
        <w:rPr>
          <w:lang w:eastAsia="sv-SE"/>
        </w:rPr>
        <w:t xml:space="preserve">till </w:t>
      </w:r>
      <w:r w:rsidRPr="0074520F">
        <w:rPr>
          <w:lang w:eastAsia="sv-SE"/>
        </w:rPr>
        <w:t xml:space="preserve">den halva av befolkningen </w:t>
      </w:r>
      <w:r w:rsidR="007F289B">
        <w:rPr>
          <w:lang w:eastAsia="sv-SE"/>
        </w:rPr>
        <w:t xml:space="preserve">som har </w:t>
      </w:r>
      <w:r w:rsidRPr="0074520F">
        <w:rPr>
          <w:lang w:eastAsia="sv-SE"/>
        </w:rPr>
        <w:t>störst inkomster.</w:t>
      </w:r>
      <w:r w:rsidRPr="0074520F">
        <w:rPr>
          <w:rStyle w:val="Fotnotsreferens"/>
          <w:lang w:eastAsia="sv-SE"/>
        </w:rPr>
        <w:footnoteReference w:id="80"/>
      </w:r>
    </w:p>
    <w:p w:rsidRPr="0074520F" w:rsidR="00DA4856" w:rsidP="00F670BF" w:rsidRDefault="00E70FB9" w14:paraId="0E7EE865" w14:textId="503A3521">
      <w:pPr>
        <w:rPr>
          <w:lang w:eastAsia="sv-SE"/>
        </w:rPr>
      </w:pPr>
      <w:r w:rsidRPr="0074520F">
        <w:rPr>
          <w:lang w:eastAsia="sv-SE"/>
        </w:rPr>
        <w:t xml:space="preserve">Trots stigande priser och räntor i samband med fallande realinkomster saknas </w:t>
      </w:r>
      <w:r w:rsidRPr="0074520F" w:rsidR="00515FDC">
        <w:rPr>
          <w:lang w:eastAsia="sv-SE"/>
        </w:rPr>
        <w:t xml:space="preserve">helt </w:t>
      </w:r>
      <w:r w:rsidRPr="0074520F">
        <w:rPr>
          <w:lang w:eastAsia="sv-SE"/>
        </w:rPr>
        <w:t xml:space="preserve">några större åtgärder i </w:t>
      </w:r>
      <w:proofErr w:type="spellStart"/>
      <w:r w:rsidRPr="0074520F">
        <w:rPr>
          <w:lang w:eastAsia="sv-SE"/>
        </w:rPr>
        <w:t>vårändringsbudgeten</w:t>
      </w:r>
      <w:proofErr w:type="spellEnd"/>
      <w:r w:rsidRPr="0074520F">
        <w:rPr>
          <w:lang w:eastAsia="sv-SE"/>
        </w:rPr>
        <w:t xml:space="preserve"> för att stödja hushållen i krisen. </w:t>
      </w:r>
      <w:r w:rsidRPr="0074520F" w:rsidR="00515FDC">
        <w:rPr>
          <w:lang w:eastAsia="sv-SE"/>
        </w:rPr>
        <w:t xml:space="preserve">Faktum är att det inte finns en enda ny krona till hushållen i regeringens proposition. </w:t>
      </w:r>
      <w:r w:rsidRPr="0074520F">
        <w:rPr>
          <w:lang w:eastAsia="sv-SE"/>
        </w:rPr>
        <w:t>Det enda förslag som riktas direkt mot hushållen är den förlängda höjningen av bostadsbidraget. Det är långt ifrån tillräckligt. I</w:t>
      </w:r>
      <w:r w:rsidRPr="0074520F" w:rsidR="00902AC7">
        <w:rPr>
          <w:lang w:eastAsia="sv-SE"/>
        </w:rPr>
        <w:t xml:space="preserve"> </w:t>
      </w:r>
      <w:r w:rsidRPr="0074520F">
        <w:rPr>
          <w:lang w:eastAsia="sv-SE"/>
        </w:rPr>
        <w:t xml:space="preserve">stället för ytterligare en tillfällig åtgärd borde höjningen bli permanent. </w:t>
      </w:r>
    </w:p>
    <w:p w:rsidRPr="005735E9" w:rsidR="00DA4856" w:rsidP="005735E9" w:rsidRDefault="00DA4856" w14:paraId="66E87018" w14:textId="0CBE9485">
      <w:pPr>
        <w:pStyle w:val="Rubrik2numrerat"/>
      </w:pPr>
      <w:bookmarkStart w:name="_Toc166056455" w:id="61"/>
      <w:r w:rsidRPr="005735E9">
        <w:t>Arbetslösheten stiger</w:t>
      </w:r>
      <w:r w:rsidRPr="005735E9" w:rsidR="00D716D0">
        <w:t>, regeringen tiger still</w:t>
      </w:r>
      <w:bookmarkEnd w:id="61"/>
    </w:p>
    <w:p w:rsidRPr="0074520F" w:rsidR="009A5F84" w:rsidP="002723C5" w:rsidRDefault="00DA4856" w14:paraId="6FD782A6" w14:textId="475D5053">
      <w:pPr>
        <w:pStyle w:val="Normalutanindragellerluft"/>
        <w:rPr>
          <w:lang w:eastAsia="sv-SE"/>
        </w:rPr>
      </w:pPr>
      <w:r w:rsidRPr="0074520F">
        <w:rPr>
          <w:lang w:eastAsia="sv-SE"/>
        </w:rPr>
        <w:t xml:space="preserve">Effekterna av lågkonjunkturen </w:t>
      </w:r>
      <w:r w:rsidRPr="0074520F" w:rsidR="00D716D0">
        <w:rPr>
          <w:lang w:eastAsia="sv-SE"/>
        </w:rPr>
        <w:t>börjar märkas allt tydligare även på</w:t>
      </w:r>
      <w:r w:rsidRPr="0074520F">
        <w:rPr>
          <w:lang w:eastAsia="sv-SE"/>
        </w:rPr>
        <w:t xml:space="preserve"> arbetsmarknaden. </w:t>
      </w:r>
      <w:r w:rsidRPr="0074520F" w:rsidR="00D2168B">
        <w:rPr>
          <w:lang w:eastAsia="sv-SE"/>
        </w:rPr>
        <w:t xml:space="preserve">Sverige har redan </w:t>
      </w:r>
      <w:r w:rsidRPr="0074520F" w:rsidR="009A5F84">
        <w:rPr>
          <w:lang w:eastAsia="sv-SE"/>
        </w:rPr>
        <w:t>bland den högsta arbetslösheten i EU</w:t>
      </w:r>
      <w:r w:rsidR="007411D7">
        <w:rPr>
          <w:lang w:eastAsia="sv-SE"/>
        </w:rPr>
        <w:t>,</w:t>
      </w:r>
      <w:r w:rsidRPr="0074520F" w:rsidR="009A5F84">
        <w:rPr>
          <w:lang w:eastAsia="sv-SE"/>
        </w:rPr>
        <w:t xml:space="preserve"> och nu syns en tydlig ökning</w:t>
      </w:r>
      <w:r w:rsidRPr="0074520F" w:rsidR="00D2168B">
        <w:rPr>
          <w:lang w:eastAsia="sv-SE"/>
        </w:rPr>
        <w:t>.</w:t>
      </w:r>
      <w:r w:rsidRPr="0074520F" w:rsidR="009A5F84">
        <w:rPr>
          <w:lang w:eastAsia="sv-SE"/>
        </w:rPr>
        <w:t xml:space="preserve"> </w:t>
      </w:r>
      <w:r w:rsidRPr="0074520F" w:rsidR="002723C5">
        <w:rPr>
          <w:lang w:eastAsia="sv-SE"/>
        </w:rPr>
        <w:t>Arbetslösheten har under det senaste året ökat från ca 7,3 procent till dagens dryga 8</w:t>
      </w:r>
      <w:r w:rsidR="007411D7">
        <w:rPr>
          <w:lang w:eastAsia="sv-SE"/>
        </w:rPr>
        <w:t> </w:t>
      </w:r>
      <w:r w:rsidRPr="0074520F" w:rsidR="002723C5">
        <w:rPr>
          <w:lang w:eastAsia="sv-SE"/>
        </w:rPr>
        <w:t xml:space="preserve">procent. </w:t>
      </w:r>
      <w:r w:rsidRPr="0074520F" w:rsidR="00D716D0">
        <w:rPr>
          <w:lang w:eastAsia="sv-SE"/>
        </w:rPr>
        <w:t xml:space="preserve">Dessutom bedömer regeringen själv att arbetslösheten kommer att öka </w:t>
      </w:r>
      <w:r w:rsidRPr="0074520F" w:rsidR="009A5F84">
        <w:rPr>
          <w:lang w:eastAsia="sv-SE"/>
        </w:rPr>
        <w:t>ytter</w:t>
      </w:r>
      <w:r w:rsidR="00C447D4">
        <w:rPr>
          <w:lang w:eastAsia="sv-SE"/>
        </w:rPr>
        <w:softHyphen/>
      </w:r>
      <w:r w:rsidRPr="0074520F" w:rsidR="009A5F84">
        <w:rPr>
          <w:lang w:eastAsia="sv-SE"/>
        </w:rPr>
        <w:t xml:space="preserve">ligare under nästa år. </w:t>
      </w:r>
      <w:r w:rsidRPr="0074520F" w:rsidR="00D2168B">
        <w:rPr>
          <w:lang w:eastAsia="sv-SE"/>
        </w:rPr>
        <w:t>Drygt 5</w:t>
      </w:r>
      <w:r w:rsidRPr="0074520F" w:rsidR="00902AC7">
        <w:rPr>
          <w:lang w:eastAsia="sv-SE"/>
        </w:rPr>
        <w:t> </w:t>
      </w:r>
      <w:r w:rsidRPr="0074520F" w:rsidR="00D2168B">
        <w:rPr>
          <w:lang w:eastAsia="sv-SE"/>
        </w:rPr>
        <w:t xml:space="preserve">900 personer varslades om uppsägning i mars 2024, vilket </w:t>
      </w:r>
      <w:r w:rsidRPr="00C447D4" w:rsidR="004D3D9C">
        <w:rPr>
          <w:spacing w:val="-3"/>
          <w:lang w:eastAsia="sv-SE"/>
        </w:rPr>
        <w:t>va</w:t>
      </w:r>
      <w:r w:rsidRPr="00C447D4" w:rsidR="00D2168B">
        <w:rPr>
          <w:spacing w:val="-3"/>
          <w:lang w:eastAsia="sv-SE"/>
        </w:rPr>
        <w:t xml:space="preserve">r en ökning </w:t>
      </w:r>
      <w:r w:rsidRPr="00C447D4" w:rsidR="005D61FC">
        <w:rPr>
          <w:spacing w:val="-3"/>
          <w:lang w:eastAsia="sv-SE"/>
        </w:rPr>
        <w:t>med</w:t>
      </w:r>
      <w:r w:rsidRPr="00C447D4" w:rsidR="00D2168B">
        <w:rPr>
          <w:spacing w:val="-3"/>
          <w:lang w:eastAsia="sv-SE"/>
        </w:rPr>
        <w:t xml:space="preserve"> 27 procent jämfört med samma period föregående år.</w:t>
      </w:r>
      <w:r w:rsidRPr="00C447D4" w:rsidR="00D2168B">
        <w:rPr>
          <w:rStyle w:val="Fotnotsreferens"/>
          <w:spacing w:val="-3"/>
          <w:lang w:eastAsia="sv-SE"/>
        </w:rPr>
        <w:footnoteReference w:id="81"/>
      </w:r>
      <w:r w:rsidRPr="00C447D4" w:rsidR="009A5F84">
        <w:rPr>
          <w:spacing w:val="-3"/>
          <w:lang w:eastAsia="sv-SE"/>
        </w:rPr>
        <w:t xml:space="preserve"> Vissa branscher</w:t>
      </w:r>
      <w:r w:rsidRPr="0074520F" w:rsidR="009A5F84">
        <w:rPr>
          <w:lang w:eastAsia="sv-SE"/>
        </w:rPr>
        <w:t xml:space="preserve"> </w:t>
      </w:r>
      <w:r w:rsidRPr="00C447D4" w:rsidR="009A5F84">
        <w:rPr>
          <w:spacing w:val="-3"/>
          <w:lang w:eastAsia="sv-SE"/>
        </w:rPr>
        <w:t xml:space="preserve">är mer utsatta än andra. Exempelvis är läget inom byggbranschen särskilt ansträngt. </w:t>
      </w:r>
      <w:r w:rsidRPr="00C447D4" w:rsidR="00D2168B">
        <w:rPr>
          <w:spacing w:val="-3"/>
          <w:lang w:eastAsia="sv-SE"/>
        </w:rPr>
        <w:t>Reger</w:t>
      </w:r>
      <w:r w:rsidRPr="00C447D4" w:rsidR="00C447D4">
        <w:rPr>
          <w:spacing w:val="-3"/>
          <w:lang w:eastAsia="sv-SE"/>
        </w:rPr>
        <w:softHyphen/>
      </w:r>
      <w:r w:rsidRPr="00C447D4" w:rsidR="00D2168B">
        <w:rPr>
          <w:spacing w:val="-3"/>
          <w:lang w:eastAsia="sv-SE"/>
        </w:rPr>
        <w:t>ingens</w:t>
      </w:r>
      <w:r w:rsidRPr="0074520F" w:rsidR="00D2168B">
        <w:rPr>
          <w:lang w:eastAsia="sv-SE"/>
        </w:rPr>
        <w:t xml:space="preserve"> svar är att inte göra någonting särskilt. </w:t>
      </w:r>
    </w:p>
    <w:p w:rsidRPr="0074520F" w:rsidR="009E43C8" w:rsidP="009E43C8" w:rsidRDefault="009A5F84" w14:paraId="1CDC0C2C" w14:textId="6E295E65">
      <w:pPr>
        <w:rPr>
          <w:lang w:eastAsia="sv-SE"/>
        </w:rPr>
      </w:pPr>
      <w:r w:rsidRPr="0074520F">
        <w:rPr>
          <w:lang w:eastAsia="sv-SE"/>
        </w:rPr>
        <w:t xml:space="preserve">I </w:t>
      </w:r>
      <w:proofErr w:type="spellStart"/>
      <w:r w:rsidRPr="0074520F">
        <w:rPr>
          <w:lang w:eastAsia="sv-SE"/>
        </w:rPr>
        <w:t>vårändringsbudgeten</w:t>
      </w:r>
      <w:proofErr w:type="spellEnd"/>
      <w:r w:rsidRPr="0074520F">
        <w:rPr>
          <w:lang w:eastAsia="sv-SE"/>
        </w:rPr>
        <w:t xml:space="preserve"> märks ett tillskott till Arbetsförmedlingen</w:t>
      </w:r>
      <w:r w:rsidRPr="0074520F" w:rsidR="00902AC7">
        <w:rPr>
          <w:lang w:eastAsia="sv-SE"/>
        </w:rPr>
        <w:t>s</w:t>
      </w:r>
      <w:r w:rsidRPr="0074520F">
        <w:rPr>
          <w:lang w:eastAsia="sv-SE"/>
        </w:rPr>
        <w:t xml:space="preserve"> förvaltnings</w:t>
      </w:r>
      <w:r w:rsidR="00A76031">
        <w:rPr>
          <w:lang w:eastAsia="sv-SE"/>
        </w:rPr>
        <w:softHyphen/>
      </w:r>
      <w:r w:rsidRPr="0074520F">
        <w:rPr>
          <w:lang w:eastAsia="sv-SE"/>
        </w:rPr>
        <w:t>kostnader på 22 miljoner</w:t>
      </w:r>
      <w:r w:rsidRPr="0074520F" w:rsidR="00902AC7">
        <w:rPr>
          <w:lang w:eastAsia="sv-SE"/>
        </w:rPr>
        <w:t xml:space="preserve"> kronor</w:t>
      </w:r>
      <w:r w:rsidRPr="0074520F">
        <w:rPr>
          <w:lang w:eastAsia="sv-SE"/>
        </w:rPr>
        <w:t xml:space="preserve">. Det är långt ifrån tillräckligt. Särskilt som regeringen i budgetpropositionen 2023/24 skar ner på myndighetens förvaltningsanslag med 250 miljoner kronor. </w:t>
      </w:r>
      <w:r w:rsidRPr="0074520F" w:rsidR="00C4484F">
        <w:rPr>
          <w:lang w:eastAsia="sv-SE"/>
        </w:rPr>
        <w:t xml:space="preserve">En åtgärd som fick Arbetsförmedlingen att varna för svårigheterna att </w:t>
      </w:r>
      <w:r w:rsidRPr="00A76031" w:rsidR="00C4484F">
        <w:rPr>
          <w:spacing w:val="-3"/>
          <w:lang w:eastAsia="sv-SE"/>
        </w:rPr>
        <w:t>klara mål och uppdrag.</w:t>
      </w:r>
      <w:r w:rsidRPr="00A76031" w:rsidR="00C4484F">
        <w:rPr>
          <w:rStyle w:val="Fotnotsreferens"/>
          <w:spacing w:val="-3"/>
          <w:lang w:eastAsia="sv-SE"/>
        </w:rPr>
        <w:footnoteReference w:id="82"/>
      </w:r>
      <w:r w:rsidRPr="00A76031" w:rsidR="00C4484F">
        <w:rPr>
          <w:spacing w:val="-3"/>
          <w:lang w:eastAsia="sv-SE"/>
        </w:rPr>
        <w:t xml:space="preserve"> </w:t>
      </w:r>
      <w:r w:rsidRPr="00A76031" w:rsidR="00166900">
        <w:rPr>
          <w:spacing w:val="-3"/>
          <w:lang w:eastAsia="sv-SE"/>
        </w:rPr>
        <w:t xml:space="preserve">Det </w:t>
      </w:r>
      <w:r w:rsidRPr="00A76031" w:rsidR="00105D05">
        <w:rPr>
          <w:spacing w:val="-3"/>
          <w:lang w:eastAsia="sv-SE"/>
        </w:rPr>
        <w:t xml:space="preserve">är </w:t>
      </w:r>
      <w:r w:rsidRPr="00A76031" w:rsidR="00166900">
        <w:rPr>
          <w:spacing w:val="-3"/>
          <w:lang w:eastAsia="sv-SE"/>
        </w:rPr>
        <w:t>symptomatiskt för regeringen</w:t>
      </w:r>
      <w:r w:rsidRPr="00A76031" w:rsidR="009E43C8">
        <w:rPr>
          <w:spacing w:val="-3"/>
          <w:lang w:eastAsia="sv-SE"/>
        </w:rPr>
        <w:t>s</w:t>
      </w:r>
      <w:r w:rsidRPr="00A76031" w:rsidR="00166900">
        <w:rPr>
          <w:spacing w:val="-3"/>
          <w:lang w:eastAsia="sv-SE"/>
        </w:rPr>
        <w:t xml:space="preserve"> och Sverigedemokraternas</w:t>
      </w:r>
      <w:r w:rsidRPr="0074520F" w:rsidR="00166900">
        <w:rPr>
          <w:lang w:eastAsia="sv-SE"/>
        </w:rPr>
        <w:t xml:space="preserve"> politik, där man gör allt för att få en nedskärning att se ut som en satsning. </w:t>
      </w:r>
    </w:p>
    <w:p w:rsidRPr="0074520F" w:rsidR="00DA4856" w:rsidP="00A64D68" w:rsidRDefault="009E43C8" w14:paraId="7BE956E6" w14:textId="5468969F">
      <w:pPr>
        <w:rPr>
          <w:lang w:eastAsia="sv-SE"/>
        </w:rPr>
      </w:pPr>
      <w:r w:rsidRPr="0074520F">
        <w:rPr>
          <w:lang w:eastAsia="sv-SE"/>
        </w:rPr>
        <w:t xml:space="preserve">Även tillskottet till Försäkringskassan är otillräckligt. Efter att </w:t>
      </w:r>
      <w:r w:rsidR="00CA295C">
        <w:rPr>
          <w:lang w:eastAsia="sv-SE"/>
        </w:rPr>
        <w:t xml:space="preserve">det </w:t>
      </w:r>
      <w:r w:rsidRPr="0074520F">
        <w:rPr>
          <w:lang w:eastAsia="sv-SE"/>
        </w:rPr>
        <w:t>både ha</w:t>
      </w:r>
      <w:r w:rsidR="00CA295C">
        <w:rPr>
          <w:lang w:eastAsia="sv-SE"/>
        </w:rPr>
        <w:t>r</w:t>
      </w:r>
      <w:r w:rsidRPr="0074520F">
        <w:rPr>
          <w:lang w:eastAsia="sv-SE"/>
        </w:rPr>
        <w:t xml:space="preserve"> gjort</w:t>
      </w:r>
      <w:r w:rsidR="00CA295C">
        <w:rPr>
          <w:lang w:eastAsia="sv-SE"/>
        </w:rPr>
        <w:t>s</w:t>
      </w:r>
      <w:r w:rsidRPr="0074520F">
        <w:rPr>
          <w:lang w:eastAsia="sv-SE"/>
        </w:rPr>
        <w:t xml:space="preserve"> generella besparingar och pålagt</w:t>
      </w:r>
      <w:r w:rsidR="00CA295C">
        <w:rPr>
          <w:lang w:eastAsia="sv-SE"/>
        </w:rPr>
        <w:t>s</w:t>
      </w:r>
      <w:r w:rsidRPr="0074520F">
        <w:rPr>
          <w:lang w:eastAsia="sv-SE"/>
        </w:rPr>
        <w:t xml:space="preserve"> nya uppdrag är behovet större än vad regeringen nu skjuter till. Det är en oseriös hantering av myndighetens förutsättningar. </w:t>
      </w:r>
    </w:p>
    <w:p w:rsidRPr="005735E9" w:rsidR="005A1272" w:rsidP="005735E9" w:rsidRDefault="005A1272" w14:paraId="0D7F6A07" w14:textId="3A196F24">
      <w:pPr>
        <w:pStyle w:val="Rubrik2numrerat"/>
      </w:pPr>
      <w:bookmarkStart w:name="_Toc166056456" w:id="62"/>
      <w:bookmarkStart w:name="_Hlk164156466" w:id="63"/>
      <w:r w:rsidRPr="005735E9">
        <w:lastRenderedPageBreak/>
        <w:t xml:space="preserve">En katastrofal </w:t>
      </w:r>
      <w:proofErr w:type="spellStart"/>
      <w:r w:rsidRPr="005735E9">
        <w:t>klimatpolitik</w:t>
      </w:r>
      <w:bookmarkEnd w:id="62"/>
      <w:proofErr w:type="spellEnd"/>
    </w:p>
    <w:p w:rsidRPr="0074520F" w:rsidR="005A1272" w:rsidP="005A1272" w:rsidRDefault="005A1272" w14:paraId="3C0BF224" w14:textId="28882D24">
      <w:pPr>
        <w:pStyle w:val="Normalutanindragellerluft"/>
        <w:rPr>
          <w:lang w:eastAsia="sv-SE"/>
        </w:rPr>
      </w:pPr>
      <w:r w:rsidRPr="0074520F">
        <w:rPr>
          <w:lang w:eastAsia="sv-SE"/>
        </w:rPr>
        <w:t xml:space="preserve">Regeringens </w:t>
      </w:r>
      <w:proofErr w:type="spellStart"/>
      <w:r w:rsidRPr="0074520F">
        <w:rPr>
          <w:lang w:eastAsia="sv-SE"/>
        </w:rPr>
        <w:t>klimatpolitik</w:t>
      </w:r>
      <w:proofErr w:type="spellEnd"/>
      <w:r w:rsidRPr="0074520F">
        <w:rPr>
          <w:lang w:eastAsia="sv-SE"/>
        </w:rPr>
        <w:t xml:space="preserve"> är under all kritik. Klimatkrisen är akut</w:t>
      </w:r>
      <w:r w:rsidR="001162BD">
        <w:rPr>
          <w:lang w:eastAsia="sv-SE"/>
        </w:rPr>
        <w:t>,</w:t>
      </w:r>
      <w:r w:rsidRPr="0074520F">
        <w:rPr>
          <w:lang w:eastAsia="sv-SE"/>
        </w:rPr>
        <w:t xml:space="preserve"> och vi måste snabbt få ned utsläppen. Möjligheten att begränsa uppvärmningen till 1,5 grader enligt Paris</w:t>
      </w:r>
      <w:r w:rsidR="00A76031">
        <w:rPr>
          <w:lang w:eastAsia="sv-SE"/>
        </w:rPr>
        <w:softHyphen/>
      </w:r>
      <w:r w:rsidRPr="0074520F">
        <w:rPr>
          <w:lang w:eastAsia="sv-SE"/>
        </w:rPr>
        <w:t>avtalets målsättning minskar dramatiskt. År 2023 blev det varmaste året som uppmätts</w:t>
      </w:r>
      <w:r w:rsidR="001162BD">
        <w:rPr>
          <w:lang w:eastAsia="sv-SE"/>
        </w:rPr>
        <w:t>,</w:t>
      </w:r>
      <w:r w:rsidRPr="0074520F">
        <w:rPr>
          <w:lang w:eastAsia="sv-SE"/>
        </w:rPr>
        <w:t xml:space="preserve"> och medeltemperaturen ligger redan nu mycket nära 1,5 grader. Klimatomställningen behöver ske omgående</w:t>
      </w:r>
      <w:r w:rsidR="001162BD">
        <w:rPr>
          <w:lang w:eastAsia="sv-SE"/>
        </w:rPr>
        <w:t>,</w:t>
      </w:r>
      <w:r w:rsidRPr="0074520F">
        <w:rPr>
          <w:lang w:eastAsia="sv-SE"/>
        </w:rPr>
        <w:t xml:space="preserve"> och alla politiska beslut behöver ta hänsyn till den akuta kris vi </w:t>
      </w:r>
      <w:r w:rsidRPr="00A76031">
        <w:rPr>
          <w:spacing w:val="-3"/>
          <w:lang w:eastAsia="sv-SE"/>
        </w:rPr>
        <w:t>befinner oss i. Dessvärre går regeringen med stöd av Sverigedemokraterna i direkt motsatt</w:t>
      </w:r>
      <w:r w:rsidRPr="0074520F">
        <w:rPr>
          <w:lang w:eastAsia="sv-SE"/>
        </w:rPr>
        <w:t xml:space="preserve"> riktning. </w:t>
      </w:r>
    </w:p>
    <w:p w:rsidRPr="0074520F" w:rsidR="005A1272" w:rsidP="005A1272" w:rsidRDefault="005A1272" w14:paraId="2AB3952F" w14:textId="0B389692">
      <w:pPr>
        <w:rPr>
          <w:lang w:eastAsia="sv-SE"/>
        </w:rPr>
      </w:pPr>
      <w:r w:rsidRPr="0074520F">
        <w:rPr>
          <w:lang w:eastAsia="sv-SE"/>
        </w:rPr>
        <w:t>Den 1 mars överlämnade Klimatpolitiska rådet sin årliga rapport till regeringen.</w:t>
      </w:r>
      <w:r w:rsidRPr="0074520F" w:rsidR="00A36EEA">
        <w:rPr>
          <w:rStyle w:val="Fotnotsreferens"/>
          <w:lang w:eastAsia="sv-SE"/>
        </w:rPr>
        <w:footnoteReference w:id="83"/>
      </w:r>
      <w:r w:rsidRPr="0074520F">
        <w:rPr>
          <w:lang w:eastAsia="sv-SE"/>
        </w:rPr>
        <w:t xml:space="preserve">  </w:t>
      </w:r>
      <w:r w:rsidRPr="00A76031">
        <w:rPr>
          <w:spacing w:val="-3"/>
          <w:lang w:eastAsia="sv-SE"/>
        </w:rPr>
        <w:t>Rapporten är en total sågning av den förda politiken. Rådet konstaterar bl.a. att regeringens</w:t>
      </w:r>
      <w:r w:rsidRPr="0074520F">
        <w:rPr>
          <w:lang w:eastAsia="sv-SE"/>
        </w:rPr>
        <w:t xml:space="preserve"> klimatpolitiska handlingsplan inte ger några svar på hur Sveriges klimatmål ska nås, på </w:t>
      </w:r>
      <w:r w:rsidRPr="0074520F" w:rsidR="001162BD">
        <w:rPr>
          <w:lang w:eastAsia="sv-SE"/>
        </w:rPr>
        <w:t xml:space="preserve">varken </w:t>
      </w:r>
      <w:r w:rsidRPr="0074520F">
        <w:rPr>
          <w:lang w:eastAsia="sv-SE"/>
        </w:rPr>
        <w:t>kort eller lång sikt. Den når inte ens upp till kraven i klimatlagen. I</w:t>
      </w:r>
      <w:r w:rsidRPr="0074520F" w:rsidR="00105D05">
        <w:rPr>
          <w:lang w:eastAsia="sv-SE"/>
        </w:rPr>
        <w:t xml:space="preserve"> </w:t>
      </w:r>
      <w:r w:rsidRPr="0074520F">
        <w:rPr>
          <w:lang w:eastAsia="sv-SE"/>
        </w:rPr>
        <w:t>stället väntas utsläppen öka under mandatperioden. Regeringen duckar sitt ansvar och skjuter viktiga åtgärder på framtiden. Klimatpolitiska rådet kallar regeringens plan för att nå nettonoll</w:t>
      </w:r>
      <w:r w:rsidR="00A76031">
        <w:rPr>
          <w:lang w:eastAsia="sv-SE"/>
        </w:rPr>
        <w:softHyphen/>
      </w:r>
      <w:r w:rsidRPr="0074520F">
        <w:rPr>
          <w:lang w:eastAsia="sv-SE"/>
        </w:rPr>
        <w:t xml:space="preserve">utsläpp till 2045 för missvisande och osaklig. För att överhuvudtaget få det hela att gå ihop tvingas regeringen </w:t>
      </w:r>
      <w:r w:rsidR="00B616D1">
        <w:rPr>
          <w:lang w:eastAsia="sv-SE"/>
        </w:rPr>
        <w:t xml:space="preserve">att </w:t>
      </w:r>
      <w:r w:rsidRPr="0074520F">
        <w:rPr>
          <w:lang w:eastAsia="sv-SE"/>
        </w:rPr>
        <w:t xml:space="preserve">göra beräkningar som utgår från en annan politik än </w:t>
      </w:r>
      <w:r w:rsidR="0036069E">
        <w:rPr>
          <w:lang w:eastAsia="sv-SE"/>
        </w:rPr>
        <w:t xml:space="preserve">den som </w:t>
      </w:r>
      <w:r w:rsidRPr="0074520F">
        <w:rPr>
          <w:lang w:eastAsia="sv-SE"/>
        </w:rPr>
        <w:t>de själva för. Dagens nyheter uppmärksammade att beräkningarna i den klimatpolitiska handlingsplanen bygger på ett antagande om höjd reduktionsplikt.</w:t>
      </w:r>
      <w:r w:rsidRPr="0074520F" w:rsidR="00C44698">
        <w:rPr>
          <w:rStyle w:val="Fotnotsreferens"/>
          <w:lang w:eastAsia="sv-SE"/>
        </w:rPr>
        <w:footnoteReference w:id="84"/>
      </w:r>
      <w:r w:rsidRPr="0074520F">
        <w:rPr>
          <w:lang w:eastAsia="sv-SE"/>
        </w:rPr>
        <w:t xml:space="preserve">  </w:t>
      </w:r>
    </w:p>
    <w:p w:rsidRPr="0074520F" w:rsidR="009D0916" w:rsidP="005A1272" w:rsidRDefault="009D0916" w14:paraId="7EA5686E" w14:textId="444B278A">
      <w:pPr>
        <w:rPr>
          <w:lang w:eastAsia="sv-SE"/>
        </w:rPr>
      </w:pPr>
      <w:r w:rsidRPr="00A76031">
        <w:rPr>
          <w:spacing w:val="-3"/>
          <w:lang w:eastAsia="sv-SE"/>
        </w:rPr>
        <w:t>Även Naturvårdsverket har granskat regeringens politik och konstaterar att regeringen</w:t>
      </w:r>
      <w:r w:rsidRPr="0074520F">
        <w:rPr>
          <w:lang w:eastAsia="sv-SE"/>
        </w:rPr>
        <w:t xml:space="preserve"> missar samtliga klimatmål. I sitt underlag till regeringens årliga klimatredovisning konstaterar man att regeringen varken når klimatmålen till 2045 eller de uppsatta etapp</w:t>
      </w:r>
      <w:r w:rsidR="00A76031">
        <w:rPr>
          <w:lang w:eastAsia="sv-SE"/>
        </w:rPr>
        <w:softHyphen/>
      </w:r>
      <w:r w:rsidRPr="0074520F">
        <w:rPr>
          <w:lang w:eastAsia="sv-SE"/>
        </w:rPr>
        <w:t xml:space="preserve">målen med </w:t>
      </w:r>
      <w:r w:rsidRPr="0074520F" w:rsidR="0091155B">
        <w:rPr>
          <w:lang w:eastAsia="sv-SE"/>
        </w:rPr>
        <w:t xml:space="preserve">regeringens </w:t>
      </w:r>
      <w:r w:rsidRPr="0074520F">
        <w:rPr>
          <w:lang w:eastAsia="sv-SE"/>
        </w:rPr>
        <w:t>beslutade och planerade åtgärder.</w:t>
      </w:r>
      <w:r w:rsidRPr="0074520F">
        <w:rPr>
          <w:rStyle w:val="Fotnotsreferens"/>
          <w:lang w:eastAsia="sv-SE"/>
        </w:rPr>
        <w:footnoteReference w:id="85"/>
      </w:r>
      <w:r w:rsidRPr="0074520F">
        <w:rPr>
          <w:lang w:eastAsia="sv-SE"/>
        </w:rPr>
        <w:t xml:space="preserve"> </w:t>
      </w:r>
    </w:p>
    <w:p w:rsidRPr="0074520F" w:rsidR="005A1272" w:rsidP="005A1272" w:rsidRDefault="005A1272" w14:paraId="28F599B4" w14:textId="583625C8">
      <w:pPr>
        <w:rPr>
          <w:lang w:eastAsia="sv-SE"/>
        </w:rPr>
      </w:pPr>
      <w:r w:rsidRPr="0074520F">
        <w:rPr>
          <w:lang w:eastAsia="sv-SE"/>
        </w:rPr>
        <w:t xml:space="preserve">Under förra året fattade regeringen en rad beslut som innebär att Sveriges utsläpp kommer att öka betydligt under 2024. Det innebär att vi som land </w:t>
      </w:r>
      <w:r w:rsidR="00AD6862">
        <w:rPr>
          <w:lang w:eastAsia="sv-SE"/>
        </w:rPr>
        <w:t xml:space="preserve">inte </w:t>
      </w:r>
      <w:r w:rsidRPr="0074520F">
        <w:rPr>
          <w:lang w:eastAsia="sv-SE"/>
        </w:rPr>
        <w:t xml:space="preserve">ser ut att nå </w:t>
      </w:r>
      <w:r w:rsidRPr="0074520F" w:rsidR="00AD6862">
        <w:rPr>
          <w:lang w:eastAsia="sv-SE"/>
        </w:rPr>
        <w:t xml:space="preserve">varken </w:t>
      </w:r>
      <w:r w:rsidRPr="0074520F">
        <w:rPr>
          <w:lang w:eastAsia="sv-SE"/>
        </w:rPr>
        <w:t xml:space="preserve">uppsatta klimatmål eller EU-åtaganden till 2030. I budgetpropositionen för 2024 använde regeringen mer av </w:t>
      </w:r>
      <w:r w:rsidRPr="0074520F" w:rsidR="00672B5F">
        <w:rPr>
          <w:lang w:eastAsia="sv-SE"/>
        </w:rPr>
        <w:t xml:space="preserve">det beräknade </w:t>
      </w:r>
      <w:r w:rsidRPr="0074520F">
        <w:rPr>
          <w:lang w:eastAsia="sv-SE"/>
        </w:rPr>
        <w:t xml:space="preserve">reformutrymmet till att motverka klimatmålen än till att uppnå dem. I regeringens </w:t>
      </w:r>
      <w:proofErr w:type="spellStart"/>
      <w:r w:rsidRPr="0074520F">
        <w:rPr>
          <w:lang w:eastAsia="sv-SE"/>
        </w:rPr>
        <w:t>vårändringsbudget</w:t>
      </w:r>
      <w:proofErr w:type="spellEnd"/>
      <w:r w:rsidRPr="0074520F">
        <w:rPr>
          <w:lang w:eastAsia="sv-SE"/>
        </w:rPr>
        <w:t xml:space="preserve"> föreslås ytterligare åtgärder som bidrar till fortsatta utsläppsökningar.</w:t>
      </w:r>
    </w:p>
    <w:p w:rsidRPr="0074520F" w:rsidR="0098601C" w:rsidP="00C47B7D" w:rsidRDefault="005A1272" w14:paraId="474AB92E" w14:textId="06677DF3">
      <w:pPr>
        <w:rPr>
          <w:lang w:eastAsia="sv-SE"/>
        </w:rPr>
      </w:pPr>
      <w:r w:rsidRPr="0074520F">
        <w:rPr>
          <w:lang w:eastAsia="sv-SE"/>
        </w:rPr>
        <w:t xml:space="preserve">Regeringens föreslagna satsningar på </w:t>
      </w:r>
      <w:r w:rsidRPr="0074520F" w:rsidR="009E43C8">
        <w:rPr>
          <w:lang w:eastAsia="sv-SE"/>
        </w:rPr>
        <w:t>t.ex.</w:t>
      </w:r>
      <w:r w:rsidRPr="0074520F">
        <w:rPr>
          <w:lang w:eastAsia="sv-SE"/>
        </w:rPr>
        <w:t xml:space="preserve"> </w:t>
      </w:r>
      <w:proofErr w:type="spellStart"/>
      <w:r w:rsidRPr="0074520F">
        <w:rPr>
          <w:lang w:eastAsia="sv-SE"/>
        </w:rPr>
        <w:t>laddstolpar</w:t>
      </w:r>
      <w:proofErr w:type="spellEnd"/>
      <w:r w:rsidRPr="0074520F">
        <w:rPr>
          <w:lang w:eastAsia="sv-SE"/>
        </w:rPr>
        <w:t xml:space="preserve"> och biologisk mångfald är en </w:t>
      </w:r>
      <w:r w:rsidRPr="00400DDF">
        <w:rPr>
          <w:spacing w:val="-3"/>
          <w:lang w:eastAsia="sv-SE"/>
        </w:rPr>
        <w:t xml:space="preserve">droppe i havet för klimatet och </w:t>
      </w:r>
      <w:r w:rsidRPr="00400DDF" w:rsidR="00AD6862">
        <w:rPr>
          <w:spacing w:val="-3"/>
          <w:lang w:eastAsia="sv-SE"/>
        </w:rPr>
        <w:t xml:space="preserve">den </w:t>
      </w:r>
      <w:r w:rsidRPr="00400DDF">
        <w:rPr>
          <w:spacing w:val="-3"/>
          <w:lang w:eastAsia="sv-SE"/>
        </w:rPr>
        <w:t>biologiska mångfalden. Regeringen försöker kompen</w:t>
      </w:r>
      <w:r w:rsidRPr="00400DDF" w:rsidR="00400DDF">
        <w:rPr>
          <w:spacing w:val="-3"/>
          <w:lang w:eastAsia="sv-SE"/>
        </w:rPr>
        <w:softHyphen/>
      </w:r>
      <w:r w:rsidRPr="00400DDF">
        <w:rPr>
          <w:spacing w:val="-3"/>
          <w:lang w:eastAsia="sv-SE"/>
        </w:rPr>
        <w:t>sera</w:t>
      </w:r>
      <w:r w:rsidRPr="0074520F">
        <w:rPr>
          <w:lang w:eastAsia="sv-SE"/>
        </w:rPr>
        <w:t xml:space="preserve"> sina tidigare lagda budgetar som varit förödande för klimatet och naturkrisen genom att satsa kaffepengar </w:t>
      </w:r>
      <w:r w:rsidR="00506F72">
        <w:rPr>
          <w:lang w:eastAsia="sv-SE"/>
        </w:rPr>
        <w:t>på</w:t>
      </w:r>
      <w:r w:rsidRPr="0074520F">
        <w:rPr>
          <w:lang w:eastAsia="sv-SE"/>
        </w:rPr>
        <w:t xml:space="preserve"> att åtgärda problemen i vårbudgeten. Som exempel kan nämnas hur regeringens ökning av anslaget för skötsel av värdefull natur med 30 miljoner kronor inte ens kommer i närheten av förra årets bantning av anslagen med över 900 miljoner kronor.</w:t>
      </w:r>
    </w:p>
    <w:p w:rsidRPr="0074520F" w:rsidR="0098601C" w:rsidP="00B522B5" w:rsidRDefault="0098601C" w14:paraId="5C9B98FD" w14:textId="267F9F23">
      <w:pPr>
        <w:pStyle w:val="Tabellrubrik"/>
      </w:pPr>
      <w:r w:rsidRPr="0074520F">
        <w:lastRenderedPageBreak/>
        <w:t xml:space="preserve">Figur </w:t>
      </w:r>
      <w:r w:rsidRPr="0074520F" w:rsidR="0076335C">
        <w:t>24</w:t>
      </w:r>
      <w:r w:rsidRPr="0074520F">
        <w:t xml:space="preserve"> </w:t>
      </w:r>
      <w:r w:rsidRPr="0074520F" w:rsidR="00C47B7D">
        <w:t>A</w:t>
      </w:r>
      <w:r w:rsidRPr="0074520F">
        <w:t>nslagsutveckling</w:t>
      </w:r>
      <w:r w:rsidR="00506F72">
        <w:t>,</w:t>
      </w:r>
      <w:r w:rsidRPr="0074520F">
        <w:t xml:space="preserve"> </w:t>
      </w:r>
      <w:r w:rsidR="00506F72">
        <w:t xml:space="preserve">utgiftsområde </w:t>
      </w:r>
      <w:r w:rsidRPr="0074520F" w:rsidR="00C47B7D">
        <w:t xml:space="preserve">20, </w:t>
      </w:r>
      <w:r w:rsidRPr="0074520F">
        <w:t xml:space="preserve">1:3 Åtgärder för värdefull natur </w:t>
      </w:r>
    </w:p>
    <w:p w:rsidRPr="0074520F" w:rsidR="0098601C" w:rsidP="00B522B5" w:rsidRDefault="0098601C" w14:paraId="197C9CE4" w14:textId="0177FE17">
      <w:pPr>
        <w:pStyle w:val="Tabellunderrubrik"/>
      </w:pPr>
      <w:r w:rsidRPr="0074520F">
        <w:t xml:space="preserve">Miljoner kronor </w:t>
      </w:r>
    </w:p>
    <w:p w:rsidRPr="0074520F" w:rsidR="0098601C" w:rsidP="00377C0D" w:rsidRDefault="0098601C" w14:paraId="011E7DFE" w14:textId="6E7F7B0C">
      <w:pPr>
        <w:pStyle w:val="Normalutanindragellerluft"/>
        <w:rPr>
          <w:lang w:eastAsia="sv-SE"/>
        </w:rPr>
      </w:pPr>
      <w:r w:rsidRPr="0074520F">
        <w:rPr>
          <w:noProof/>
        </w:rPr>
        <w:drawing>
          <wp:inline distT="0" distB="0" distL="0" distR="0" wp14:anchorId="2BA06E9A" wp14:editId="41AB601D">
            <wp:extent cx="5399280" cy="3234240"/>
            <wp:effectExtent l="0" t="0" r="11430" b="4445"/>
            <wp:docPr id="9" name="Diagram 9" descr="">
              <a:extLst xmlns:a="http://schemas.openxmlformats.org/drawingml/2006/main">
                <a:ext uri="{FF2B5EF4-FFF2-40B4-BE49-F238E27FC236}">
                  <a16:creationId xmlns:a16="http://schemas.microsoft.com/office/drawing/2014/main" id="{90E4FC7A-D998-4383-91EE-BEB39E0B249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Pr="0074520F" w:rsidR="00C47B7D" w:rsidP="00B522B5" w:rsidRDefault="0098601C" w14:paraId="42AF7236" w14:textId="31D07FCC">
      <w:pPr>
        <w:pStyle w:val="Klla"/>
      </w:pPr>
      <w:r w:rsidRPr="0074520F">
        <w:t>Källa: BP 2021</w:t>
      </w:r>
      <w:r w:rsidR="00506F72">
        <w:t>/</w:t>
      </w:r>
      <w:r w:rsidRPr="0074520F">
        <w:t>22, BP 2022/23, BP 2023/24, VÄB 2023/24</w:t>
      </w:r>
      <w:r w:rsidRPr="0074520F" w:rsidR="00377C0D">
        <w:t>.</w:t>
      </w:r>
    </w:p>
    <w:p w:rsidRPr="0074520F" w:rsidR="000605E8" w:rsidP="00377C0D" w:rsidRDefault="00C47B7D" w14:paraId="716D8DA8" w14:textId="49558C13">
      <w:pPr>
        <w:pStyle w:val="Normalutanindragellerluft"/>
        <w:rPr>
          <w:lang w:eastAsia="sv-SE"/>
        </w:rPr>
      </w:pPr>
      <w:r w:rsidRPr="0074520F">
        <w:rPr>
          <w:lang w:eastAsia="sv-SE"/>
        </w:rPr>
        <w:t xml:space="preserve">Vänsterpartiet kan konstatera att det behövs miljardbelopp till de aktuella anslagen för </w:t>
      </w:r>
      <w:r w:rsidRPr="00400DDF">
        <w:rPr>
          <w:spacing w:val="-3"/>
          <w:lang w:eastAsia="sv-SE"/>
        </w:rPr>
        <w:t>att i någon mån åtgärda de brister som finns på dessa områden. Förstärkningarna hamnar</w:t>
      </w:r>
      <w:r w:rsidRPr="0074520F">
        <w:rPr>
          <w:lang w:eastAsia="sv-SE"/>
        </w:rPr>
        <w:t xml:space="preserve"> dessutom i skuggan av den miljardsatsning man gör på flygbolagen – en bransch som </w:t>
      </w:r>
      <w:r w:rsidRPr="0074520F" w:rsidR="0035064D">
        <w:rPr>
          <w:lang w:eastAsia="sv-SE"/>
        </w:rPr>
        <w:t>är på god väg att öka</w:t>
      </w:r>
      <w:r w:rsidRPr="0074520F">
        <w:rPr>
          <w:lang w:eastAsia="sv-SE"/>
        </w:rPr>
        <w:t xml:space="preserve"> sina utsläpp </w:t>
      </w:r>
      <w:r w:rsidRPr="0074520F" w:rsidR="0035064D">
        <w:rPr>
          <w:lang w:eastAsia="sv-SE"/>
        </w:rPr>
        <w:t xml:space="preserve">till samma nivåer som </w:t>
      </w:r>
      <w:r w:rsidR="000A146A">
        <w:rPr>
          <w:lang w:eastAsia="sv-SE"/>
        </w:rPr>
        <w:t xml:space="preserve">före </w:t>
      </w:r>
      <w:r w:rsidRPr="0074520F" w:rsidR="0035064D">
        <w:rPr>
          <w:lang w:eastAsia="sv-SE"/>
        </w:rPr>
        <w:t>pandemin</w:t>
      </w:r>
      <w:r w:rsidRPr="0074520F">
        <w:rPr>
          <w:lang w:eastAsia="sv-SE"/>
        </w:rPr>
        <w:t>.</w:t>
      </w:r>
      <w:r w:rsidRPr="0074520F">
        <w:rPr>
          <w:rStyle w:val="Fotnotsreferens"/>
          <w:lang w:eastAsia="sv-SE"/>
        </w:rPr>
        <w:footnoteReference w:id="86"/>
      </w:r>
      <w:r w:rsidRPr="0074520F" w:rsidR="00161887">
        <w:rPr>
          <w:lang w:eastAsia="sv-SE"/>
        </w:rPr>
        <w:t xml:space="preserve"> Det är pengar som vi i Vänsterpartiet i</w:t>
      </w:r>
      <w:r w:rsidRPr="0074520F" w:rsidR="00105D05">
        <w:rPr>
          <w:lang w:eastAsia="sv-SE"/>
        </w:rPr>
        <w:t xml:space="preserve"> </w:t>
      </w:r>
      <w:r w:rsidRPr="0074520F" w:rsidR="00161887">
        <w:rPr>
          <w:lang w:eastAsia="sv-SE"/>
        </w:rPr>
        <w:t xml:space="preserve">stället lägger på </w:t>
      </w:r>
      <w:r w:rsidRPr="0074520F" w:rsidR="00D77EF6">
        <w:rPr>
          <w:lang w:eastAsia="sv-SE"/>
        </w:rPr>
        <w:t>avgiftsfri kollektivtrafik för unga.</w:t>
      </w:r>
    </w:p>
    <w:p w:rsidRPr="0074520F" w:rsidR="003D00F3" w:rsidP="003D00F3" w:rsidRDefault="003D00F3" w14:paraId="14798C3E" w14:textId="3FE71E18">
      <w:pPr>
        <w:rPr>
          <w:lang w:eastAsia="sv-SE"/>
        </w:rPr>
      </w:pPr>
      <w:r w:rsidRPr="0074520F">
        <w:rPr>
          <w:lang w:eastAsia="sv-SE"/>
        </w:rPr>
        <w:t xml:space="preserve">I Vänsterpartiets budgetmotion för 2024 föreslog vi </w:t>
      </w:r>
      <w:r w:rsidRPr="0074520F" w:rsidR="00697279">
        <w:rPr>
          <w:lang w:eastAsia="sv-SE"/>
        </w:rPr>
        <w:t xml:space="preserve">ca </w:t>
      </w:r>
      <w:r w:rsidRPr="0074520F">
        <w:rPr>
          <w:lang w:eastAsia="sv-SE"/>
        </w:rPr>
        <w:t xml:space="preserve">40 miljarder kronor </w:t>
      </w:r>
      <w:r w:rsidR="0023521B">
        <w:rPr>
          <w:lang w:eastAsia="sv-SE"/>
        </w:rPr>
        <w:t>till</w:t>
      </w:r>
      <w:r w:rsidRPr="0074520F">
        <w:rPr>
          <w:lang w:eastAsia="sv-SE"/>
        </w:rPr>
        <w:t xml:space="preserve"> klimatinvesteringar bara under 2024.</w:t>
      </w:r>
      <w:r w:rsidRPr="0074520F">
        <w:rPr>
          <w:rStyle w:val="Fotnotsreferens"/>
          <w:lang w:eastAsia="sv-SE"/>
        </w:rPr>
        <w:footnoteReference w:id="87"/>
      </w:r>
      <w:r w:rsidRPr="0074520F">
        <w:rPr>
          <w:lang w:eastAsia="sv-SE"/>
        </w:rPr>
        <w:t xml:space="preserve"> </w:t>
      </w:r>
    </w:p>
    <w:p w:rsidRPr="005735E9" w:rsidR="000605E8" w:rsidP="005735E9" w:rsidRDefault="000605E8" w14:paraId="41BF8B95" w14:textId="44EE0257">
      <w:pPr>
        <w:pStyle w:val="Rubrik2numrerat"/>
      </w:pPr>
      <w:bookmarkStart w:name="_Toc166056457" w:id="64"/>
      <w:r w:rsidRPr="005735E9">
        <w:t xml:space="preserve">Sveriges </w:t>
      </w:r>
      <w:r w:rsidRPr="005735E9" w:rsidR="008F1339">
        <w:t xml:space="preserve">bistånd och </w:t>
      </w:r>
      <w:r w:rsidRPr="005735E9">
        <w:t>ansvar för att få stopp på kriget i Gaza</w:t>
      </w:r>
      <w:bookmarkEnd w:id="64"/>
    </w:p>
    <w:p w:rsidRPr="0074520F" w:rsidR="000605E8" w:rsidP="008A29CF" w:rsidRDefault="000605E8" w14:paraId="044DD748" w14:textId="47752D48">
      <w:pPr>
        <w:pStyle w:val="Normalutanindragellerluft"/>
        <w:rPr>
          <w:lang w:eastAsia="sv-SE"/>
        </w:rPr>
      </w:pPr>
      <w:bookmarkStart w:name="_Hlk164349681" w:id="65"/>
      <w:r w:rsidRPr="0074520F">
        <w:rPr>
          <w:lang w:eastAsia="sv-SE"/>
        </w:rPr>
        <w:t xml:space="preserve">Den humanitära situationen i Gaza är ofattbar. Sedan Hamas fruktansvärda attack den </w:t>
      </w:r>
      <w:r w:rsidRPr="00400DDF">
        <w:rPr>
          <w:spacing w:val="-3"/>
          <w:lang w:eastAsia="sv-SE"/>
        </w:rPr>
        <w:t>7</w:t>
      </w:r>
      <w:r w:rsidRPr="00400DDF" w:rsidR="008A00A4">
        <w:rPr>
          <w:spacing w:val="-3"/>
          <w:lang w:eastAsia="sv-SE"/>
        </w:rPr>
        <w:t> </w:t>
      </w:r>
      <w:r w:rsidRPr="00400DDF">
        <w:rPr>
          <w:spacing w:val="-3"/>
          <w:lang w:eastAsia="sv-SE"/>
        </w:rPr>
        <w:t>oktober förra året har över 3</w:t>
      </w:r>
      <w:r w:rsidRPr="00400DDF" w:rsidR="008F1339">
        <w:rPr>
          <w:spacing w:val="-3"/>
          <w:lang w:eastAsia="sv-SE"/>
        </w:rPr>
        <w:t>4</w:t>
      </w:r>
      <w:r w:rsidRPr="00400DDF" w:rsidR="00D862B3">
        <w:rPr>
          <w:spacing w:val="-3"/>
          <w:lang w:eastAsia="sv-SE"/>
        </w:rPr>
        <w:t> </w:t>
      </w:r>
      <w:r w:rsidRPr="00400DDF">
        <w:rPr>
          <w:spacing w:val="-3"/>
          <w:lang w:eastAsia="sv-SE"/>
        </w:rPr>
        <w:t>000 personer i Gaza dödats av Israel. Nästan hela befolk</w:t>
      </w:r>
      <w:r w:rsidRPr="00400DDF" w:rsidR="00400DDF">
        <w:rPr>
          <w:spacing w:val="-3"/>
          <w:lang w:eastAsia="sv-SE"/>
        </w:rPr>
        <w:softHyphen/>
      </w:r>
      <w:r w:rsidRPr="00400DDF">
        <w:rPr>
          <w:spacing w:val="-3"/>
          <w:lang w:eastAsia="sv-SE"/>
        </w:rPr>
        <w:t>ningen</w:t>
      </w:r>
      <w:r w:rsidRPr="0074520F">
        <w:rPr>
          <w:lang w:eastAsia="sv-SE"/>
        </w:rPr>
        <w:t xml:space="preserve"> har drivits på flykt. Majoriteten av alla sjukhus har förstörts, journalister och hjälparbetare dödas och hjälpsändningar hindras. Israels blockad orsakar ett enormt lidande, och Gazaborna nekas de mest grundläggande förnödenheter, såsom vatten, mat, mediciner och elektricitet.</w:t>
      </w:r>
      <w:r w:rsidRPr="0074520F" w:rsidR="008A29CF">
        <w:rPr>
          <w:lang w:eastAsia="sv-SE"/>
        </w:rPr>
        <w:t xml:space="preserve"> </w:t>
      </w:r>
      <w:r w:rsidRPr="0074520F">
        <w:rPr>
          <w:lang w:eastAsia="sv-SE"/>
        </w:rPr>
        <w:t>Sveriges regering har varit anmärkningsvärt undfallande. Trots den akuta situation</w:t>
      </w:r>
      <w:r w:rsidR="008A00A4">
        <w:rPr>
          <w:lang w:eastAsia="sv-SE"/>
        </w:rPr>
        <w:t>en</w:t>
      </w:r>
      <w:r w:rsidRPr="0074520F">
        <w:rPr>
          <w:lang w:eastAsia="sv-SE"/>
        </w:rPr>
        <w:t xml:space="preserve"> där FN-experter varnar för folkmord och hjälporganisationer saknar ord för att beskriva läget på marken har regeringen konsekvent underlåtit att agera för att få slut på dödandet av civila. </w:t>
      </w:r>
    </w:p>
    <w:p w:rsidRPr="0074520F" w:rsidR="000605E8" w:rsidP="000605E8" w:rsidRDefault="000605E8" w14:paraId="489B366A" w14:textId="6888B52B">
      <w:pPr>
        <w:rPr>
          <w:lang w:eastAsia="sv-SE"/>
        </w:rPr>
      </w:pPr>
      <w:r w:rsidRPr="0074520F">
        <w:rPr>
          <w:lang w:eastAsia="sv-SE"/>
        </w:rPr>
        <w:t xml:space="preserve">I regeringens </w:t>
      </w:r>
      <w:proofErr w:type="spellStart"/>
      <w:r w:rsidRPr="0074520F">
        <w:rPr>
          <w:lang w:eastAsia="sv-SE"/>
        </w:rPr>
        <w:t>vårändringsbudget</w:t>
      </w:r>
      <w:proofErr w:type="spellEnd"/>
      <w:r w:rsidRPr="0074520F">
        <w:rPr>
          <w:lang w:eastAsia="sv-SE"/>
        </w:rPr>
        <w:t xml:space="preserve"> gör man en utfallsjustering av biståndet</w:t>
      </w:r>
      <w:r w:rsidRPr="0074520F" w:rsidR="00835B41">
        <w:rPr>
          <w:lang w:eastAsia="sv-SE"/>
        </w:rPr>
        <w:t xml:space="preserve"> eftersom </w:t>
      </w:r>
      <w:r w:rsidRPr="00400DDF" w:rsidR="00835B41">
        <w:rPr>
          <w:spacing w:val="-3"/>
          <w:lang w:eastAsia="sv-SE"/>
        </w:rPr>
        <w:t>kostnaderna för asylsökande och skyddsbehövande inte blev så stora som Migrationsverket</w:t>
      </w:r>
      <w:r w:rsidRPr="0074520F" w:rsidR="00835B41">
        <w:rPr>
          <w:lang w:eastAsia="sv-SE"/>
        </w:rPr>
        <w:t xml:space="preserve"> tidigare bedömt. Det handlar om ca 1,5 miljarder kronor. Vänsterpartiet menar att det är </w:t>
      </w:r>
      <w:r w:rsidRPr="0074520F" w:rsidR="00835B41">
        <w:rPr>
          <w:lang w:eastAsia="sv-SE"/>
        </w:rPr>
        <w:lastRenderedPageBreak/>
        <w:t xml:space="preserve">pengar som borde gå direkt till situationen </w:t>
      </w:r>
      <w:r w:rsidRPr="0074520F" w:rsidR="00D862B3">
        <w:rPr>
          <w:lang w:eastAsia="sv-SE"/>
        </w:rPr>
        <w:t xml:space="preserve">i </w:t>
      </w:r>
      <w:r w:rsidRPr="0074520F" w:rsidR="00835B41">
        <w:rPr>
          <w:lang w:eastAsia="sv-SE"/>
        </w:rPr>
        <w:t>Gaza. Dels genom ökat stöd till UNRWA</w:t>
      </w:r>
      <w:r w:rsidR="00EA154F">
        <w:rPr>
          <w:lang w:eastAsia="sv-SE"/>
        </w:rPr>
        <w:t>,</w:t>
      </w:r>
      <w:r w:rsidRPr="0074520F" w:rsidR="00835B41">
        <w:rPr>
          <w:lang w:eastAsia="sv-SE"/>
        </w:rPr>
        <w:t xml:space="preserve"> </w:t>
      </w:r>
      <w:r w:rsidRPr="00831BB1" w:rsidR="00835B41">
        <w:rPr>
          <w:spacing w:val="-3"/>
          <w:lang w:eastAsia="sv-SE"/>
        </w:rPr>
        <w:t xml:space="preserve">dels </w:t>
      </w:r>
      <w:r w:rsidRPr="00831BB1" w:rsidR="004F7E6F">
        <w:rPr>
          <w:spacing w:val="-3"/>
          <w:lang w:eastAsia="sv-SE"/>
        </w:rPr>
        <w:t xml:space="preserve">genom ökat stöd till de juridiska institutioner som arbetar med att </w:t>
      </w:r>
      <w:r w:rsidRPr="00831BB1" w:rsidR="00835B41">
        <w:rPr>
          <w:spacing w:val="-3"/>
          <w:lang w:eastAsia="sv-SE"/>
        </w:rPr>
        <w:t>ställa de ansvariga</w:t>
      </w:r>
      <w:r w:rsidRPr="0074520F" w:rsidR="008600AC">
        <w:rPr>
          <w:lang w:eastAsia="sv-SE"/>
        </w:rPr>
        <w:t xml:space="preserve"> för våldet</w:t>
      </w:r>
      <w:r w:rsidRPr="0074520F" w:rsidR="00835B41">
        <w:rPr>
          <w:lang w:eastAsia="sv-SE"/>
        </w:rPr>
        <w:t xml:space="preserve"> till</w:t>
      </w:r>
      <w:r w:rsidRPr="0074520F" w:rsidR="004F7E6F">
        <w:rPr>
          <w:lang w:eastAsia="sv-SE"/>
        </w:rPr>
        <w:t xml:space="preserve"> </w:t>
      </w:r>
      <w:r w:rsidRPr="0074520F" w:rsidR="00835B41">
        <w:rPr>
          <w:lang w:eastAsia="sv-SE"/>
        </w:rPr>
        <w:t>svars</w:t>
      </w:r>
      <w:r w:rsidRPr="0074520F" w:rsidR="004F7E6F">
        <w:rPr>
          <w:lang w:eastAsia="sv-SE"/>
        </w:rPr>
        <w:t>:</w:t>
      </w:r>
      <w:r w:rsidRPr="0074520F" w:rsidR="00835B41">
        <w:rPr>
          <w:lang w:eastAsia="sv-SE"/>
        </w:rPr>
        <w:t xml:space="preserve"> International </w:t>
      </w:r>
      <w:proofErr w:type="spellStart"/>
      <w:r w:rsidRPr="0074520F" w:rsidR="00835B41">
        <w:rPr>
          <w:lang w:eastAsia="sv-SE"/>
        </w:rPr>
        <w:t>Criminal</w:t>
      </w:r>
      <w:proofErr w:type="spellEnd"/>
      <w:r w:rsidRPr="0074520F" w:rsidR="00835B41">
        <w:rPr>
          <w:lang w:eastAsia="sv-SE"/>
        </w:rPr>
        <w:t xml:space="preserve"> Court (ICC) och </w:t>
      </w:r>
      <w:r w:rsidR="00EA154F">
        <w:rPr>
          <w:lang w:eastAsia="sv-SE"/>
        </w:rPr>
        <w:t>I</w:t>
      </w:r>
      <w:r w:rsidRPr="0074520F" w:rsidR="00835B41">
        <w:rPr>
          <w:lang w:eastAsia="sv-SE"/>
        </w:rPr>
        <w:t xml:space="preserve">nternational Court </w:t>
      </w:r>
      <w:proofErr w:type="spellStart"/>
      <w:r w:rsidRPr="0074520F" w:rsidR="00835B41">
        <w:rPr>
          <w:lang w:eastAsia="sv-SE"/>
        </w:rPr>
        <w:t>of</w:t>
      </w:r>
      <w:proofErr w:type="spellEnd"/>
      <w:r w:rsidRPr="0074520F" w:rsidR="00835B41">
        <w:rPr>
          <w:lang w:eastAsia="sv-SE"/>
        </w:rPr>
        <w:t xml:space="preserve"> </w:t>
      </w:r>
      <w:proofErr w:type="spellStart"/>
      <w:r w:rsidRPr="0074520F" w:rsidR="00835B41">
        <w:rPr>
          <w:lang w:eastAsia="sv-SE"/>
        </w:rPr>
        <w:t>Justice</w:t>
      </w:r>
      <w:proofErr w:type="spellEnd"/>
      <w:r w:rsidRPr="0074520F" w:rsidR="00835B41">
        <w:rPr>
          <w:lang w:eastAsia="sv-SE"/>
        </w:rPr>
        <w:t xml:space="preserve"> (ICJ). </w:t>
      </w:r>
    </w:p>
    <w:p w:rsidRPr="0074520F" w:rsidR="000605E8" w:rsidP="004F7E6F" w:rsidRDefault="008A29CF" w14:paraId="4E6D6054" w14:textId="3A90C9D7">
      <w:pPr>
        <w:rPr>
          <w:lang w:eastAsia="sv-SE"/>
        </w:rPr>
      </w:pPr>
      <w:r w:rsidRPr="0074520F">
        <w:rPr>
          <w:lang w:eastAsia="sv-SE"/>
        </w:rPr>
        <w:t>Noterbart</w:t>
      </w:r>
      <w:r w:rsidRPr="0074520F" w:rsidR="004F7E6F">
        <w:rPr>
          <w:lang w:eastAsia="sv-SE"/>
        </w:rPr>
        <w:t xml:space="preserve"> </w:t>
      </w:r>
      <w:r w:rsidRPr="0074520F">
        <w:rPr>
          <w:lang w:eastAsia="sv-SE"/>
        </w:rPr>
        <w:t xml:space="preserve">är </w:t>
      </w:r>
      <w:r w:rsidRPr="0074520F" w:rsidR="004F7E6F">
        <w:rPr>
          <w:lang w:eastAsia="sv-SE"/>
        </w:rPr>
        <w:t xml:space="preserve">att regeringen i </w:t>
      </w:r>
      <w:proofErr w:type="spellStart"/>
      <w:r w:rsidRPr="0074520F" w:rsidR="004F7E6F">
        <w:rPr>
          <w:lang w:eastAsia="sv-SE"/>
        </w:rPr>
        <w:t>vårändringsbudgeten</w:t>
      </w:r>
      <w:proofErr w:type="spellEnd"/>
      <w:r w:rsidRPr="0074520F" w:rsidR="004F7E6F">
        <w:rPr>
          <w:lang w:eastAsia="sv-SE"/>
        </w:rPr>
        <w:t xml:space="preserve"> skriver att man har som mening att minska biståndet för 2025 med nästan </w:t>
      </w:r>
      <w:r w:rsidRPr="0074520F" w:rsidR="00D862B3">
        <w:rPr>
          <w:lang w:eastAsia="sv-SE"/>
        </w:rPr>
        <w:t>1</w:t>
      </w:r>
      <w:r w:rsidRPr="0074520F" w:rsidR="004F7E6F">
        <w:rPr>
          <w:lang w:eastAsia="sv-SE"/>
        </w:rPr>
        <w:t xml:space="preserve"> miljard kronor. Det menar vi är en oansvarig och oseriös biståndspolitik.</w:t>
      </w:r>
    </w:p>
    <w:p w:rsidRPr="0074520F" w:rsidR="002723C5" w:rsidP="008F1339" w:rsidRDefault="002723C5" w14:paraId="0B47C7DA" w14:textId="5766D49E">
      <w:pPr>
        <w:rPr>
          <w:lang w:eastAsia="sv-SE"/>
        </w:rPr>
      </w:pPr>
      <w:r w:rsidRPr="00831BB1">
        <w:rPr>
          <w:spacing w:val="-3"/>
          <w:lang w:eastAsia="sv-SE"/>
        </w:rPr>
        <w:t>Vänsterpartiet menar att stödet till Ukraina bör öka.</w:t>
      </w:r>
      <w:r w:rsidRPr="00831BB1" w:rsidR="008F1339">
        <w:rPr>
          <w:spacing w:val="-3"/>
          <w:lang w:eastAsia="sv-SE"/>
        </w:rPr>
        <w:t xml:space="preserve"> Under slutet av förra året minskade</w:t>
      </w:r>
      <w:r w:rsidRPr="0074520F" w:rsidR="008F1339">
        <w:rPr>
          <w:lang w:eastAsia="sv-SE"/>
        </w:rPr>
        <w:t xml:space="preserve"> </w:t>
      </w:r>
      <w:r w:rsidRPr="00831BB1" w:rsidR="008F1339">
        <w:rPr>
          <w:spacing w:val="-3"/>
          <w:lang w:eastAsia="sv-SE"/>
        </w:rPr>
        <w:t>det globala stödet markant.</w:t>
      </w:r>
      <w:r w:rsidRPr="00831BB1" w:rsidR="008F1339">
        <w:rPr>
          <w:rStyle w:val="Fotnotsreferens"/>
          <w:spacing w:val="-3"/>
          <w:lang w:eastAsia="sv-SE"/>
        </w:rPr>
        <w:footnoteReference w:id="88"/>
      </w:r>
      <w:r w:rsidRPr="00831BB1">
        <w:rPr>
          <w:spacing w:val="-3"/>
          <w:lang w:eastAsia="sv-SE"/>
        </w:rPr>
        <w:t xml:space="preserve"> Rysslands folkrättsvidriga anfallskrig har orsakat omfattande</w:t>
      </w:r>
      <w:r w:rsidRPr="0074520F">
        <w:rPr>
          <w:lang w:eastAsia="sv-SE"/>
        </w:rPr>
        <w:t xml:space="preserve"> förödelse och splittrat familjer, och tiotusentals civila har dödats eller skadats. Sverige har alla möjligheter att spela en viktig roll när det gäller </w:t>
      </w:r>
      <w:r w:rsidRPr="0074520F" w:rsidR="00071862">
        <w:rPr>
          <w:lang w:eastAsia="sv-SE"/>
        </w:rPr>
        <w:t xml:space="preserve">både </w:t>
      </w:r>
      <w:r w:rsidRPr="0074520F">
        <w:rPr>
          <w:lang w:eastAsia="sv-SE"/>
        </w:rPr>
        <w:t xml:space="preserve">humanitärt stöd och stöd till återuppbyggnaden. Samtidigt pågår en rad andra kriser, krig och konflikter runt om i världen. Israels attacker mot Gaza är bara ett exempel. Därför måste stödet till Ukraina ske i form av additionella medel, </w:t>
      </w:r>
      <w:r w:rsidRPr="0074520F" w:rsidR="00D862B3">
        <w:rPr>
          <w:lang w:eastAsia="sv-SE"/>
        </w:rPr>
        <w:t>dvs.</w:t>
      </w:r>
      <w:r w:rsidRPr="0074520F">
        <w:rPr>
          <w:lang w:eastAsia="sv-SE"/>
        </w:rPr>
        <w:t xml:space="preserve"> utöver den befintliga biståndsbudgeten. Vi noterar att regeringen inte har några förslag </w:t>
      </w:r>
      <w:r w:rsidRPr="0074520F" w:rsidR="008F1339">
        <w:rPr>
          <w:lang w:eastAsia="sv-SE"/>
        </w:rPr>
        <w:t xml:space="preserve">om ökat stöd till Ukraina i </w:t>
      </w:r>
      <w:proofErr w:type="spellStart"/>
      <w:r w:rsidRPr="0074520F">
        <w:rPr>
          <w:lang w:eastAsia="sv-SE"/>
        </w:rPr>
        <w:t>vårändringsbudgeten</w:t>
      </w:r>
      <w:proofErr w:type="spellEnd"/>
      <w:r w:rsidRPr="0074520F">
        <w:rPr>
          <w:lang w:eastAsia="sv-SE"/>
        </w:rPr>
        <w:t xml:space="preserve">. </w:t>
      </w:r>
    </w:p>
    <w:p w:rsidRPr="005735E9" w:rsidR="003C32FA" w:rsidP="005735E9" w:rsidRDefault="003C32FA" w14:paraId="551D7062" w14:textId="656D3AB6">
      <w:pPr>
        <w:pStyle w:val="Rubrik1numrerat"/>
      </w:pPr>
      <w:bookmarkStart w:name="_Toc162362963" w:id="66"/>
      <w:bookmarkStart w:name="_Toc166056458" w:id="67"/>
      <w:bookmarkEnd w:id="63"/>
      <w:bookmarkEnd w:id="65"/>
      <w:r w:rsidRPr="005735E9">
        <w:t>Vänsterpartiets riktlinjer för den ekonomiska politiken</w:t>
      </w:r>
      <w:bookmarkEnd w:id="66"/>
      <w:bookmarkEnd w:id="67"/>
    </w:p>
    <w:p w:rsidRPr="0074520F" w:rsidR="00F20DF2" w:rsidP="00F21356" w:rsidRDefault="00F20DF2" w14:paraId="1A77C38A" w14:textId="1B25CD72">
      <w:pPr>
        <w:pStyle w:val="Normalutanindragellerluft"/>
      </w:pPr>
      <w:r w:rsidRPr="0074520F">
        <w:t xml:space="preserve">Egen försörjning är grunden för personlig frihet och självständighet. Arbete utgör basen </w:t>
      </w:r>
      <w:r w:rsidRPr="00831BB1">
        <w:rPr>
          <w:spacing w:val="-3"/>
        </w:rPr>
        <w:t>för ekonomiskt välstånd och ger möjlighet till delaktighet i samhällslivet. Vänsterpartiets</w:t>
      </w:r>
      <w:r w:rsidRPr="0074520F">
        <w:t xml:space="preserve"> </w:t>
      </w:r>
      <w:r w:rsidRPr="00831BB1">
        <w:rPr>
          <w:spacing w:val="-3"/>
        </w:rPr>
        <w:t>ekonomiska politik strävar mot hållbar tillväxt, full sysselsättning och ekonomisk jämlik</w:t>
      </w:r>
      <w:r w:rsidRPr="00831BB1" w:rsidR="00831BB1">
        <w:rPr>
          <w:spacing w:val="-3"/>
        </w:rPr>
        <w:softHyphen/>
      </w:r>
      <w:r w:rsidRPr="00831BB1">
        <w:rPr>
          <w:spacing w:val="-3"/>
        </w:rPr>
        <w:t>het.</w:t>
      </w:r>
      <w:r w:rsidRPr="0074520F">
        <w:t xml:space="preserve"> </w:t>
      </w:r>
      <w:r w:rsidRPr="00831BB1">
        <w:rPr>
          <w:spacing w:val="-3"/>
        </w:rPr>
        <w:t>Den ekonomiska politiken bör därför ha som inriktning att pressa ne</w:t>
      </w:r>
      <w:r w:rsidRPr="00831BB1" w:rsidR="0036623B">
        <w:rPr>
          <w:spacing w:val="-3"/>
        </w:rPr>
        <w:t>d</w:t>
      </w:r>
      <w:r w:rsidRPr="00831BB1">
        <w:rPr>
          <w:spacing w:val="-3"/>
        </w:rPr>
        <w:t xml:space="preserve"> arbetslösheten</w:t>
      </w:r>
      <w:r w:rsidRPr="0074520F">
        <w:t xml:space="preserve"> och att skapa förutsättningar för en hög sysselsättning i ett jämlikt samhälle med trygga löntagare.</w:t>
      </w:r>
    </w:p>
    <w:p w:rsidRPr="00773AAA" w:rsidR="00F20DF2" w:rsidP="00773AAA" w:rsidRDefault="00F20DF2" w14:paraId="7F954DE2" w14:textId="77777777">
      <w:pPr>
        <w:pStyle w:val="Rubrik2numrerat"/>
      </w:pPr>
      <w:bookmarkStart w:name="_Toc120016321" w:id="68"/>
      <w:bookmarkStart w:name="_Toc133246054" w:id="69"/>
      <w:bookmarkStart w:name="_Toc133420848" w:id="70"/>
      <w:bookmarkStart w:name="_Toc133481047" w:id="71"/>
      <w:bookmarkStart w:name="_Toc147136948" w:id="72"/>
      <w:bookmarkStart w:name="_Toc162362964" w:id="73"/>
      <w:bookmarkStart w:name="_Toc166056459" w:id="74"/>
      <w:r w:rsidRPr="00773AAA">
        <w:t>Den svenska modellen</w:t>
      </w:r>
      <w:bookmarkEnd w:id="68"/>
      <w:bookmarkEnd w:id="69"/>
      <w:bookmarkEnd w:id="70"/>
      <w:bookmarkEnd w:id="71"/>
      <w:bookmarkEnd w:id="72"/>
      <w:bookmarkEnd w:id="73"/>
      <w:bookmarkEnd w:id="74"/>
    </w:p>
    <w:p w:rsidRPr="0074520F" w:rsidR="00F20DF2" w:rsidP="00FE4CF3" w:rsidRDefault="00F20DF2" w14:paraId="30B72A16" w14:textId="4454EBCA">
      <w:pPr>
        <w:spacing w:before="80"/>
        <w:ind w:firstLine="0"/>
      </w:pPr>
      <w:r w:rsidRPr="0074520F">
        <w:t>Grunden för den svenska arbetsmarknadsmodellen är starka parter</w:t>
      </w:r>
      <w:r w:rsidRPr="0074520F" w:rsidR="00FE4CF3">
        <w:t>, vilket innebär</w:t>
      </w:r>
      <w:r w:rsidRPr="0074520F">
        <w:t xml:space="preserve"> väl</w:t>
      </w:r>
      <w:r w:rsidR="00831BB1">
        <w:softHyphen/>
      </w:r>
      <w:r w:rsidRPr="00831BB1">
        <w:rPr>
          <w:spacing w:val="-3"/>
        </w:rPr>
        <w:t>organiserade fackföreningar och arbetsgivare med stor legitimitet och makt. Löntagarnas</w:t>
      </w:r>
      <w:r w:rsidRPr="0074520F">
        <w:t xml:space="preserve"> ställning på arbetsmarknaden avgörs </w:t>
      </w:r>
      <w:r w:rsidRPr="0074520F" w:rsidR="00FE4CF3">
        <w:t>av ett samspel mellan a</w:t>
      </w:r>
      <w:r w:rsidRPr="0074520F">
        <w:t>rbetsmarknadsläget</w:t>
      </w:r>
      <w:r w:rsidRPr="0074520F" w:rsidR="00FE4CF3">
        <w:t>, omfatt</w:t>
      </w:r>
      <w:r w:rsidR="00831BB1">
        <w:softHyphen/>
      </w:r>
      <w:r w:rsidRPr="00831BB1" w:rsidR="00FE4CF3">
        <w:rPr>
          <w:spacing w:val="-3"/>
        </w:rPr>
        <w:t>ningen av a</w:t>
      </w:r>
      <w:r w:rsidRPr="00831BB1">
        <w:rPr>
          <w:spacing w:val="-3"/>
        </w:rPr>
        <w:t>rbetsmarknadspolitiken</w:t>
      </w:r>
      <w:r w:rsidRPr="00831BB1" w:rsidR="00FE4CF3">
        <w:rPr>
          <w:spacing w:val="-3"/>
        </w:rPr>
        <w:t>, ersättningsnivåer och omfattning av s</w:t>
      </w:r>
      <w:r w:rsidRPr="00831BB1">
        <w:rPr>
          <w:spacing w:val="-3"/>
        </w:rPr>
        <w:t>ocialförsäkring</w:t>
      </w:r>
      <w:r w:rsidRPr="00831BB1" w:rsidR="00831BB1">
        <w:rPr>
          <w:spacing w:val="-3"/>
        </w:rPr>
        <w:softHyphen/>
      </w:r>
      <w:r w:rsidRPr="00831BB1">
        <w:rPr>
          <w:spacing w:val="-3"/>
        </w:rPr>
        <w:t>ar</w:t>
      </w:r>
      <w:r w:rsidRPr="00831BB1" w:rsidR="00FE4CF3">
        <w:rPr>
          <w:spacing w:val="-3"/>
        </w:rPr>
        <w:t>na</w:t>
      </w:r>
      <w:r w:rsidRPr="0074520F" w:rsidR="00FE4CF3">
        <w:t>, a</w:t>
      </w:r>
      <w:r w:rsidRPr="0074520F">
        <w:t>rbetsrätt och anställningsskydd</w:t>
      </w:r>
      <w:r w:rsidRPr="0074520F" w:rsidR="00FE4CF3">
        <w:t xml:space="preserve"> samt facklig anslutningsgrad och kol</w:t>
      </w:r>
      <w:r w:rsidRPr="0074520F">
        <w:t>lektivavtals</w:t>
      </w:r>
      <w:r w:rsidR="00831BB1">
        <w:softHyphen/>
      </w:r>
      <w:r w:rsidRPr="0074520F">
        <w:t xml:space="preserve">täckning. </w:t>
      </w:r>
    </w:p>
    <w:p w:rsidRPr="0074520F" w:rsidR="00F20DF2" w:rsidP="00F20DF2" w:rsidRDefault="00F20DF2" w14:paraId="7DD65240" w14:textId="224D6933">
      <w:r w:rsidRPr="00831BB1">
        <w:rPr>
          <w:spacing w:val="-3"/>
        </w:rPr>
        <w:t>Den svenska arbetsmarknadsmodellen kompletteras och stärks av en stark och generell</w:t>
      </w:r>
      <w:r w:rsidRPr="0074520F">
        <w:t xml:space="preserve"> välfärd. Även bostadsförsörjningen och bostadspolitiken är en viktig pelare i hushållens möjligheter att bo och leva på de platser där arbete efterfrågas.</w:t>
      </w:r>
    </w:p>
    <w:p w:rsidRPr="005735E9" w:rsidR="00F20DF2" w:rsidP="005735E9" w:rsidRDefault="00F20DF2" w14:paraId="221E4D4C" w14:textId="77777777">
      <w:pPr>
        <w:pStyle w:val="Rubrik2numrerat"/>
      </w:pPr>
      <w:bookmarkStart w:name="_Toc120016322" w:id="75"/>
      <w:bookmarkStart w:name="_Toc133246055" w:id="76"/>
      <w:bookmarkStart w:name="_Toc133420849" w:id="77"/>
      <w:bookmarkStart w:name="_Toc133481048" w:id="78"/>
      <w:bookmarkStart w:name="_Toc147136949" w:id="79"/>
      <w:bookmarkStart w:name="_Toc162362965" w:id="80"/>
      <w:bookmarkStart w:name="_Toc166056460" w:id="81"/>
      <w:r w:rsidRPr="005735E9">
        <w:t>Bryt med normpolitiken</w:t>
      </w:r>
      <w:bookmarkEnd w:id="75"/>
      <w:bookmarkEnd w:id="76"/>
      <w:bookmarkEnd w:id="77"/>
      <w:bookmarkEnd w:id="78"/>
      <w:bookmarkEnd w:id="79"/>
      <w:bookmarkEnd w:id="80"/>
      <w:bookmarkEnd w:id="81"/>
    </w:p>
    <w:p w:rsidRPr="0074520F" w:rsidR="003F6824" w:rsidP="003F6824" w:rsidRDefault="00F20DF2" w14:paraId="25A356DD" w14:textId="08E68AAA">
      <w:pPr>
        <w:spacing w:before="80"/>
        <w:ind w:firstLine="0"/>
      </w:pPr>
      <w:r w:rsidRPr="00831BB1">
        <w:rPr>
          <w:spacing w:val="-3"/>
        </w:rPr>
        <w:t>En politik för full sysselsättning kräver ett högt och ihållande efterfrågetryck i ekonomin.</w:t>
      </w:r>
      <w:r w:rsidRPr="0074520F">
        <w:t xml:space="preserve"> Den svenska ekonomisk-politiska diskussionen har i stället fastnat i att söka efter eko</w:t>
      </w:r>
      <w:r w:rsidR="00831BB1">
        <w:softHyphen/>
      </w:r>
      <w:r w:rsidRPr="00831BB1">
        <w:rPr>
          <w:spacing w:val="-3"/>
        </w:rPr>
        <w:lastRenderedPageBreak/>
        <w:t>nomins jämvikt. Penning- och finanspolitik kan, enligt det förhärskande synsättet, endast</w:t>
      </w:r>
      <w:r w:rsidRPr="0074520F">
        <w:t xml:space="preserve"> bidra på kort sikt med att dämpa svängningarna kring en beräknad tillväxttrend och påskynda ekonomins anpassning till en (antagen) potentiell jämviktsnivå. </w:t>
      </w:r>
    </w:p>
    <w:p w:rsidRPr="0074520F" w:rsidR="00F20DF2" w:rsidP="003F6824" w:rsidRDefault="00F20DF2" w14:paraId="2736301B" w14:textId="1FF82553">
      <w:r w:rsidRPr="00831BB1">
        <w:rPr>
          <w:spacing w:val="-3"/>
        </w:rPr>
        <w:t>Vänsterpartiet anser att finanspolitiken, men även penningpolitiken, har stor betydelse</w:t>
      </w:r>
      <w:r w:rsidRPr="0074520F">
        <w:t xml:space="preserve"> </w:t>
      </w:r>
      <w:r w:rsidRPr="00831BB1">
        <w:rPr>
          <w:spacing w:val="-3"/>
        </w:rPr>
        <w:t>för att hålla uppe en hög och välbalanserad efterfrågan såväl som att stabilisera ekonomin</w:t>
      </w:r>
      <w:r w:rsidRPr="0074520F">
        <w:t xml:space="preserve"> vid risk för hög- och lågkonjunktur. Investeringarna har en nyckelroll i ekonomin, både för konjunkturvariationer och </w:t>
      </w:r>
      <w:r w:rsidR="0008542E">
        <w:t xml:space="preserve">för </w:t>
      </w:r>
      <w:r w:rsidRPr="0074520F">
        <w:t>den långsiktiga utvecklingen. Staten är en viktig på</w:t>
      </w:r>
      <w:r w:rsidR="00831BB1">
        <w:softHyphen/>
      </w:r>
      <w:r w:rsidRPr="0074520F">
        <w:t>drivande aktör för att öka investeringarna.</w:t>
      </w:r>
    </w:p>
    <w:p w:rsidRPr="0074520F" w:rsidR="00F20DF2" w:rsidP="00F20DF2" w:rsidRDefault="00F20DF2" w14:paraId="64E05040" w14:textId="77777777">
      <w:pPr>
        <w:rPr>
          <w:rFonts w:eastAsia="Calibri"/>
        </w:rPr>
      </w:pPr>
      <w:r w:rsidRPr="0074520F">
        <w:rPr>
          <w:rFonts w:eastAsia="Calibri"/>
        </w:rPr>
        <w:t xml:space="preserve">Uppfattningen att det finns en naturlig ekonomisk jämvikt att återvända till har blivit en självuppfyllande profetia för den svenska ekonomin och därmed arbetslösheten. Anledningen är att beräkningar av den s.k. </w:t>
      </w:r>
      <w:r w:rsidRPr="0074520F">
        <w:rPr>
          <w:rFonts w:eastAsia="Calibri"/>
          <w:i/>
        </w:rPr>
        <w:t>jämviktsarbetslösheten</w:t>
      </w:r>
      <w:r w:rsidRPr="0074520F">
        <w:rPr>
          <w:rFonts w:eastAsia="Calibri"/>
        </w:rPr>
        <w:t xml:space="preserve"> ligger till grund för bedömningen av hur stort utrymmet för finanspolitiska reformer bedöms vara. </w:t>
      </w:r>
    </w:p>
    <w:p w:rsidRPr="0074520F" w:rsidR="00F20DF2" w:rsidP="00F20DF2" w:rsidRDefault="00F20DF2" w14:paraId="0C739C4B" w14:textId="4C1A7DAC">
      <w:pPr>
        <w:rPr>
          <w:rFonts w:eastAsia="Calibri"/>
        </w:rPr>
      </w:pPr>
      <w:r w:rsidRPr="0074520F">
        <w:rPr>
          <w:rFonts w:eastAsia="Calibri"/>
        </w:rPr>
        <w:t>Vänsterpartiet anser att den ekonomiska politiken i stället bör styras av reala mål om ökad sysselsättning, investeringar och klimatomställning – där offentligfinansiella</w:t>
      </w:r>
      <w:r w:rsidR="00203CB5">
        <w:rPr>
          <w:rFonts w:eastAsia="Calibri"/>
        </w:rPr>
        <w:t xml:space="preserve"> mål</w:t>
      </w:r>
      <w:r w:rsidRPr="0074520F">
        <w:rPr>
          <w:rFonts w:eastAsia="Calibri"/>
        </w:rPr>
        <w:t xml:space="preserve"> och inflationsmål blir verktyg för att uppnå de reala målen. </w:t>
      </w:r>
    </w:p>
    <w:p w:rsidRPr="005735E9" w:rsidR="00F20DF2" w:rsidP="005735E9" w:rsidRDefault="00F20DF2" w14:paraId="4A3F9215" w14:textId="77777777">
      <w:pPr>
        <w:pStyle w:val="Rubrik2numrerat"/>
      </w:pPr>
      <w:bookmarkStart w:name="_Toc120016323" w:id="82"/>
      <w:bookmarkStart w:name="_Toc133246056" w:id="83"/>
      <w:bookmarkStart w:name="_Toc133420850" w:id="84"/>
      <w:bookmarkStart w:name="_Toc133481049" w:id="85"/>
      <w:bookmarkStart w:name="_Toc147136950" w:id="86"/>
      <w:bookmarkStart w:name="_Toc162362966" w:id="87"/>
      <w:bookmarkStart w:name="_Toc166056461" w:id="88"/>
      <w:r w:rsidRPr="005735E9">
        <w:t>En aktiv arbetsmarknadspolitik och trygga försäkringar</w:t>
      </w:r>
      <w:bookmarkEnd w:id="82"/>
      <w:bookmarkEnd w:id="83"/>
      <w:bookmarkEnd w:id="84"/>
      <w:bookmarkEnd w:id="85"/>
      <w:bookmarkEnd w:id="86"/>
      <w:bookmarkEnd w:id="87"/>
      <w:bookmarkEnd w:id="88"/>
    </w:p>
    <w:p w:rsidRPr="0074520F" w:rsidR="00F20DF2" w:rsidP="00F20DF2" w:rsidRDefault="00F20DF2" w14:paraId="03D4093F" w14:textId="31872525">
      <w:pPr>
        <w:spacing w:before="80"/>
        <w:ind w:firstLine="0"/>
      </w:pPr>
      <w:r w:rsidRPr="0074520F">
        <w:t>Under ett knappt halvsekel, från 1950-talet till början av 2000-talet, satsade Sverige betydligt mer på aktiv arbetsmarknadspolitik än andra jämförbara länder – med på</w:t>
      </w:r>
      <w:r w:rsidR="00831BB1">
        <w:softHyphen/>
      </w:r>
      <w:r w:rsidRPr="0074520F">
        <w:t>tagligt positiva resultat. Så är det inte längre. I stället har det skett en successiv till</w:t>
      </w:r>
      <w:r w:rsidR="00831BB1">
        <w:softHyphen/>
      </w:r>
      <w:r w:rsidRPr="0074520F">
        <w:t>bakagång, vilket har gått hand i hand med att målet om full sysselsättning har övergetts. Utvecklingen har drivits fram av såväl socialdemokratiska som borgerliga regeringar. En politik inriktad på rustande och kompetenshöjande insatser för att förbättra arbets</w:t>
      </w:r>
      <w:r w:rsidR="00831BB1">
        <w:softHyphen/>
      </w:r>
      <w:r w:rsidRPr="0074520F">
        <w:t xml:space="preserve">sökandes möjligheter på arbetsmarknaden har i hög grad ersatts av en politik för att höja </w:t>
      </w:r>
      <w:r w:rsidRPr="00831BB1">
        <w:rPr>
          <w:spacing w:val="-3"/>
        </w:rPr>
        <w:t>sökintensiteten och maximera arbetsutbudet.</w:t>
      </w:r>
      <w:r w:rsidRPr="00831BB1">
        <w:rPr>
          <w:spacing w:val="-3"/>
          <w:vertAlign w:val="superscript"/>
        </w:rPr>
        <w:footnoteReference w:id="89"/>
      </w:r>
      <w:r w:rsidRPr="00831BB1">
        <w:rPr>
          <w:spacing w:val="-3"/>
        </w:rPr>
        <w:t xml:space="preserve"> Den pågående ”reformeringen” av Arbets</w:t>
      </w:r>
      <w:r w:rsidRPr="00831BB1" w:rsidR="00831BB1">
        <w:rPr>
          <w:spacing w:val="-3"/>
        </w:rPr>
        <w:softHyphen/>
      </w:r>
      <w:r w:rsidRPr="00831BB1">
        <w:rPr>
          <w:spacing w:val="-3"/>
        </w:rPr>
        <w:t>förmedlingen</w:t>
      </w:r>
      <w:r w:rsidRPr="0074520F">
        <w:t xml:space="preserve"> är ett led i denna utveckling.</w:t>
      </w:r>
    </w:p>
    <w:p w:rsidRPr="0074520F" w:rsidR="00F20DF2" w:rsidP="005A709F" w:rsidRDefault="00F20DF2" w14:paraId="0A86F21A" w14:textId="003C41FE">
      <w:r w:rsidRPr="0074520F">
        <w:t>Arbetslöshetsförsäkringen har flera syften. För den enskilde löntagaren ger den inkomsttrygghet i övergången från ett arbete till ett annat. För löntagarna som kollektiv bidrar försäkringen till att förhindra underbudskonkurrens och att upprätthålla löner på en anständig nivå också i tider av hög arbetslöshet. Arbetslöshetsförsäkringen har även en viktig roll i samhällsekonomin. Den dämpar konjunkturnedgångar, förbättrar arbets</w:t>
      </w:r>
      <w:r w:rsidR="00831BB1">
        <w:softHyphen/>
      </w:r>
      <w:r w:rsidRPr="00831BB1">
        <w:rPr>
          <w:spacing w:val="-3"/>
        </w:rPr>
        <w:t>marknadens funktionssätt, har en positiv effekt på produktiviteten, ökar arbetskraftsutbudet</w:t>
      </w:r>
      <w:r w:rsidRPr="0074520F">
        <w:t xml:space="preserve"> och bidrar till ökad jämlikhet.</w:t>
      </w:r>
      <w:r w:rsidRPr="0074520F">
        <w:rPr>
          <w:vertAlign w:val="superscript"/>
        </w:rPr>
        <w:footnoteReference w:id="90"/>
      </w:r>
    </w:p>
    <w:p w:rsidRPr="0074520F" w:rsidR="00F20DF2" w:rsidP="00F20DF2" w:rsidRDefault="00F20DF2" w14:paraId="76027CD9" w14:textId="4578A7A6">
      <w:r w:rsidRPr="0074520F">
        <w:t>Socialförsäkringen utgör också en central del av den positiva arbetslinjen. Vi betalar och kvalificerar till socialförsäkringen genom arbete</w:t>
      </w:r>
      <w:r w:rsidR="003D0D92">
        <w:t>,</w:t>
      </w:r>
      <w:r w:rsidRPr="0074520F">
        <w:t xml:space="preserve"> och vi skyddas därmed från stora </w:t>
      </w:r>
      <w:r w:rsidRPr="00831BB1">
        <w:rPr>
          <w:spacing w:val="-3"/>
        </w:rPr>
        <w:t>inkomstbortfall när vi inte kan arbeta, exempelvis p</w:t>
      </w:r>
      <w:r w:rsidRPr="00831BB1" w:rsidR="00BF0AE6">
        <w:rPr>
          <w:spacing w:val="-3"/>
        </w:rPr>
        <w:t>å grund av</w:t>
      </w:r>
      <w:r w:rsidRPr="00831BB1">
        <w:rPr>
          <w:spacing w:val="-3"/>
        </w:rPr>
        <w:t xml:space="preserve"> sjukdom, föräldraledighet</w:t>
      </w:r>
      <w:r w:rsidRPr="0074520F">
        <w:t xml:space="preserve"> eller vård av barn. Det är en förutsättning för rehabilitering och återgång till arbete efter allvarlig och/eller långvarig sjukdom. Socialförsäkringen är också en avgörande del i jämlikhetspolitiken. Den fördelar resurser mellan människor utifrån förmåga och efter behov samt mellan de olika livsfaser vi går igenom. Robusta generella trygghetssystem minskar framväxten av privata lösningar som i sin tur leder till ökad ojämlikhet.</w:t>
      </w:r>
    </w:p>
    <w:p w:rsidRPr="0074520F" w:rsidR="00F20DF2" w:rsidP="00F20DF2" w:rsidRDefault="00F20DF2" w14:paraId="587C93E1" w14:textId="77777777">
      <w:r w:rsidRPr="00831BB1">
        <w:rPr>
          <w:spacing w:val="-3"/>
        </w:rPr>
        <w:t>Vänsterpartiet vill återskapa den positiva arbetslinjen genom trygga socialförsäkringar</w:t>
      </w:r>
      <w:r w:rsidRPr="0074520F">
        <w:t xml:space="preserve"> och en satsning på aktiv arbetsmarknadspolitik i offentlig regi.</w:t>
      </w:r>
      <w:bookmarkStart w:name="_Toc120016324" w:id="89"/>
    </w:p>
    <w:p w:rsidRPr="005735E9" w:rsidR="00F20DF2" w:rsidP="005735E9" w:rsidRDefault="00F20DF2" w14:paraId="3E42131A" w14:textId="704A5D19">
      <w:pPr>
        <w:pStyle w:val="Rubrik2numrerat"/>
      </w:pPr>
      <w:bookmarkStart w:name="_Toc133246057" w:id="90"/>
      <w:bookmarkStart w:name="_Toc133420851" w:id="91"/>
      <w:bookmarkStart w:name="_Toc133481050" w:id="92"/>
      <w:bookmarkStart w:name="_Toc147136951" w:id="93"/>
      <w:bookmarkStart w:name="_Toc162362967" w:id="94"/>
      <w:bookmarkStart w:name="_Toc166056462" w:id="95"/>
      <w:r w:rsidRPr="005735E9">
        <w:lastRenderedPageBreak/>
        <w:t xml:space="preserve">Generell välfärd </w:t>
      </w:r>
      <w:r w:rsidRPr="005735E9" w:rsidR="004728CA">
        <w:t xml:space="preserve">är </w:t>
      </w:r>
      <w:r w:rsidRPr="005735E9">
        <w:t xml:space="preserve">en del </w:t>
      </w:r>
      <w:r w:rsidRPr="005735E9" w:rsidR="004728CA">
        <w:t>av</w:t>
      </w:r>
      <w:r w:rsidRPr="005735E9">
        <w:t xml:space="preserve"> arbetslinjen</w:t>
      </w:r>
      <w:bookmarkEnd w:id="89"/>
      <w:bookmarkEnd w:id="90"/>
      <w:bookmarkEnd w:id="91"/>
      <w:bookmarkEnd w:id="92"/>
      <w:bookmarkEnd w:id="93"/>
      <w:bookmarkEnd w:id="94"/>
      <w:bookmarkEnd w:id="95"/>
    </w:p>
    <w:p w:rsidRPr="0074520F" w:rsidR="00F20DF2" w:rsidP="00F20DF2" w:rsidRDefault="00F20DF2" w14:paraId="07E3A9A9" w14:textId="02AE3EFE">
      <w:pPr>
        <w:spacing w:before="80"/>
        <w:ind w:firstLine="0"/>
        <w:rPr>
          <w:rFonts w:eastAsia="Calibri"/>
        </w:rPr>
      </w:pPr>
      <w:r w:rsidRPr="0074520F">
        <w:t>En fungerande offentlig välfärd är central för att kunna uppnå full sysselsättning. Det innefattar ett väl fungerande utbildningssystem som rustar ungdomar för arbetslivet och en utbyggd barn- och äldreomsorg som gör att föräldrar och anhöriga kan delta fullt ut på arbetsmarknaden.</w:t>
      </w:r>
      <w:r w:rsidRPr="0074520F">
        <w:rPr>
          <w:rFonts w:eastAsia="Calibri"/>
        </w:rPr>
        <w:t xml:space="preserve"> Det innefattar också att individens välfärd inte är beroende av sam</w:t>
      </w:r>
      <w:r w:rsidR="00E5625A">
        <w:rPr>
          <w:rFonts w:eastAsia="Calibri"/>
        </w:rPr>
        <w:softHyphen/>
      </w:r>
      <w:r w:rsidRPr="0074520F">
        <w:rPr>
          <w:rFonts w:eastAsia="Calibri"/>
        </w:rPr>
        <w:t>hällsklass, kön, ursprung eller geografisk hemvist.</w:t>
      </w:r>
    </w:p>
    <w:p w:rsidRPr="0074520F" w:rsidR="00F20DF2" w:rsidP="00F20DF2" w:rsidRDefault="00F20DF2" w14:paraId="43F06A5F" w14:textId="65C31C0E">
      <w:r w:rsidRPr="0074520F">
        <w:rPr>
          <w:rFonts w:eastAsia="Calibri"/>
        </w:rPr>
        <w:t xml:space="preserve">I samband med 1990-talskrisen gjordes stora förändringar i styrningen av välfärden. Från att i huvudsak </w:t>
      </w:r>
      <w:r w:rsidR="00F67509">
        <w:rPr>
          <w:rFonts w:eastAsia="Calibri"/>
        </w:rPr>
        <w:t xml:space="preserve">ha </w:t>
      </w:r>
      <w:r w:rsidRPr="0074520F">
        <w:rPr>
          <w:rFonts w:eastAsia="Calibri"/>
        </w:rPr>
        <w:t>drivits i egen regi öppnades välfärden upp för privata marknads</w:t>
      </w:r>
      <w:r w:rsidR="00E5625A">
        <w:rPr>
          <w:rFonts w:eastAsia="Calibri"/>
        </w:rPr>
        <w:softHyphen/>
      </w:r>
      <w:r w:rsidRPr="0074520F">
        <w:rPr>
          <w:rFonts w:eastAsia="Calibri"/>
        </w:rPr>
        <w:t>intressen. Sedan dess har marknaden trängt djupt in i skolan, sjukvården och äldre</w:t>
      </w:r>
      <w:r w:rsidR="00E5625A">
        <w:rPr>
          <w:rFonts w:eastAsia="Calibri"/>
        </w:rPr>
        <w:softHyphen/>
      </w:r>
      <w:r w:rsidRPr="0074520F">
        <w:rPr>
          <w:rFonts w:eastAsia="Calibri"/>
        </w:rPr>
        <w:t>omsorgen på ett sätt som inneburit en ineffektiv och ojämlik resursfördelning.</w:t>
      </w:r>
    </w:p>
    <w:p w:rsidRPr="0074520F" w:rsidR="00F20DF2" w:rsidP="00F20DF2" w:rsidRDefault="00F20DF2" w14:paraId="792D9E44" w14:textId="09184225">
      <w:pPr>
        <w:rPr>
          <w:rFonts w:eastAsia="Calibri"/>
        </w:rPr>
      </w:pPr>
      <w:r w:rsidRPr="0074520F">
        <w:rPr>
          <w:rFonts w:eastAsia="Calibri"/>
        </w:rPr>
        <w:t>Välfärdsområdet står inför en stor utmaning</w:t>
      </w:r>
      <w:r w:rsidR="007C61F4">
        <w:rPr>
          <w:rFonts w:eastAsia="Calibri"/>
        </w:rPr>
        <w:t>.</w:t>
      </w:r>
      <w:r w:rsidRPr="0074520F">
        <w:rPr>
          <w:rFonts w:eastAsia="Calibri"/>
        </w:rPr>
        <w:t xml:space="preserve"> </w:t>
      </w:r>
      <w:r w:rsidRPr="0074520F" w:rsidR="00C14B8E">
        <w:rPr>
          <w:rFonts w:eastAsia="Calibri"/>
        </w:rPr>
        <w:t>Enligt SCB:s senaste befolkningsfram</w:t>
      </w:r>
      <w:r w:rsidR="00E5625A">
        <w:rPr>
          <w:rFonts w:eastAsia="Calibri"/>
        </w:rPr>
        <w:softHyphen/>
      </w:r>
      <w:r w:rsidRPr="0074520F" w:rsidR="00C14B8E">
        <w:rPr>
          <w:rFonts w:eastAsia="Calibri"/>
        </w:rPr>
        <w:t>skrivning kommer 810</w:t>
      </w:r>
      <w:r w:rsidRPr="0074520F" w:rsidR="005A0355">
        <w:rPr>
          <w:rFonts w:eastAsia="Calibri"/>
        </w:rPr>
        <w:t> </w:t>
      </w:r>
      <w:r w:rsidRPr="0074520F" w:rsidR="00C14B8E">
        <w:rPr>
          <w:rFonts w:eastAsia="Calibri"/>
        </w:rPr>
        <w:t>000 personer att vara 80 år eller äldre 2030</w:t>
      </w:r>
      <w:r w:rsidR="007C61F4">
        <w:rPr>
          <w:rFonts w:eastAsia="Calibri"/>
        </w:rPr>
        <w:t>;</w:t>
      </w:r>
      <w:r w:rsidRPr="0074520F" w:rsidR="00C14B8E">
        <w:rPr>
          <w:rFonts w:eastAsia="Calibri"/>
        </w:rPr>
        <w:t xml:space="preserve"> det motsvarar 7,4 procent av befolkningen.</w:t>
      </w:r>
      <w:r w:rsidRPr="0074520F" w:rsidR="00C14B8E">
        <w:rPr>
          <w:rStyle w:val="Fotnotsreferens"/>
          <w:rFonts w:eastAsia="Calibri"/>
        </w:rPr>
        <w:footnoteReference w:id="91"/>
      </w:r>
      <w:r w:rsidRPr="0074520F" w:rsidR="00C14B8E">
        <w:rPr>
          <w:rFonts w:eastAsia="Calibri"/>
        </w:rPr>
        <w:t xml:space="preserve"> I</w:t>
      </w:r>
      <w:r w:rsidRPr="0074520F" w:rsidR="0035115D">
        <w:rPr>
          <w:rFonts w:eastAsia="Calibri"/>
        </w:rPr>
        <w:t xml:space="preserve"> </w:t>
      </w:r>
      <w:r w:rsidRPr="0074520F" w:rsidR="00C14B8E">
        <w:rPr>
          <w:rFonts w:eastAsia="Calibri"/>
        </w:rPr>
        <w:t xml:space="preserve">dag är </w:t>
      </w:r>
      <w:r w:rsidRPr="0074520F" w:rsidR="001337AD">
        <w:rPr>
          <w:rFonts w:eastAsia="Calibri"/>
        </w:rPr>
        <w:t>nästan</w:t>
      </w:r>
      <w:r w:rsidRPr="0074520F" w:rsidR="00C14B8E">
        <w:rPr>
          <w:rFonts w:eastAsia="Calibri"/>
        </w:rPr>
        <w:t xml:space="preserve"> </w:t>
      </w:r>
      <w:r w:rsidRPr="0074520F" w:rsidR="001337AD">
        <w:rPr>
          <w:rFonts w:eastAsia="Calibri"/>
        </w:rPr>
        <w:t>6</w:t>
      </w:r>
      <w:r w:rsidRPr="0074520F" w:rsidR="00C14B8E">
        <w:rPr>
          <w:rFonts w:eastAsia="Calibri"/>
        </w:rPr>
        <w:t xml:space="preserve"> procent av befolkningen i dessa åldrar. Det innebär att a</w:t>
      </w:r>
      <w:r w:rsidRPr="0074520F">
        <w:rPr>
          <w:rFonts w:eastAsia="Calibri"/>
        </w:rPr>
        <w:t xml:space="preserve">ndelen personer över 80 år kommer att öka med </w:t>
      </w:r>
      <w:r w:rsidRPr="0074520F" w:rsidR="001337AD">
        <w:rPr>
          <w:rFonts w:eastAsia="Calibri"/>
        </w:rPr>
        <w:t>drygt</w:t>
      </w:r>
      <w:r w:rsidRPr="0074520F">
        <w:rPr>
          <w:rFonts w:eastAsia="Calibri"/>
        </w:rPr>
        <w:t xml:space="preserve"> </w:t>
      </w:r>
      <w:r w:rsidRPr="0074520F" w:rsidR="001337AD">
        <w:rPr>
          <w:rFonts w:eastAsia="Calibri"/>
        </w:rPr>
        <w:t>30</w:t>
      </w:r>
      <w:r w:rsidRPr="0074520F">
        <w:rPr>
          <w:rFonts w:eastAsia="Calibri"/>
        </w:rPr>
        <w:t xml:space="preserve"> procent mellan </w:t>
      </w:r>
      <w:r w:rsidRPr="00E5625A">
        <w:rPr>
          <w:rFonts w:eastAsia="Calibri"/>
          <w:spacing w:val="-3"/>
        </w:rPr>
        <w:t>202</w:t>
      </w:r>
      <w:r w:rsidRPr="00E5625A" w:rsidR="00C14B8E">
        <w:rPr>
          <w:rFonts w:eastAsia="Calibri"/>
          <w:spacing w:val="-3"/>
        </w:rPr>
        <w:t>3</w:t>
      </w:r>
      <w:r w:rsidRPr="00E5625A">
        <w:rPr>
          <w:rFonts w:eastAsia="Calibri"/>
          <w:spacing w:val="-3"/>
        </w:rPr>
        <w:t xml:space="preserve"> och 203</w:t>
      </w:r>
      <w:r w:rsidRPr="00E5625A" w:rsidR="00C14B8E">
        <w:rPr>
          <w:rFonts w:eastAsia="Calibri"/>
          <w:spacing w:val="-3"/>
        </w:rPr>
        <w:t>0</w:t>
      </w:r>
      <w:r w:rsidRPr="00E5625A">
        <w:rPr>
          <w:rFonts w:eastAsia="Calibri"/>
          <w:spacing w:val="-3"/>
        </w:rPr>
        <w:t>. Att människor lever längre är självklart något positivt. Men en förändrad</w:t>
      </w:r>
      <w:r w:rsidRPr="0074520F">
        <w:rPr>
          <w:rFonts w:eastAsia="Calibri"/>
        </w:rPr>
        <w:t xml:space="preserve"> </w:t>
      </w:r>
      <w:r w:rsidRPr="00E5625A">
        <w:rPr>
          <w:rFonts w:eastAsia="Calibri"/>
          <w:spacing w:val="-3"/>
        </w:rPr>
        <w:t>befolkningssammansättning leder till att behovet av äldreomsorg och vård kommer att öka.</w:t>
      </w:r>
      <w:r w:rsidRPr="0074520F">
        <w:rPr>
          <w:rFonts w:eastAsia="Calibri"/>
        </w:rPr>
        <w:t xml:space="preserve"> </w:t>
      </w:r>
    </w:p>
    <w:p w:rsidRPr="0074520F" w:rsidR="00F20DF2" w:rsidP="00F20DF2" w:rsidRDefault="00F20DF2" w14:paraId="661D9C26" w14:textId="77777777">
      <w:pPr>
        <w:rPr>
          <w:rFonts w:eastAsia="Calibri"/>
        </w:rPr>
      </w:pPr>
      <w:r w:rsidRPr="0074520F">
        <w:rPr>
          <w:rFonts w:eastAsia="Calibri"/>
        </w:rPr>
        <w:t>Vänsterpartiet anser att den svenska sjukvården och äldreomsorgen behöver återgå till att styras med utgångspunkt från hälso- och sjukvårdslagens portalparagraf om vård efter behov. De nyliberala dogmerna måste mönstras ut. Vänsterpartiet anser vidare att resurserna måste följa de ökande behoven.</w:t>
      </w:r>
    </w:p>
    <w:p w:rsidRPr="005735E9" w:rsidR="00F20DF2" w:rsidP="005735E9" w:rsidRDefault="00F20DF2" w14:paraId="18FC4AFA" w14:textId="77777777">
      <w:pPr>
        <w:pStyle w:val="Rubrik2numrerat"/>
      </w:pPr>
      <w:bookmarkStart w:name="_Toc120016325" w:id="96"/>
      <w:bookmarkStart w:name="_Toc133246058" w:id="97"/>
      <w:bookmarkStart w:name="_Toc133420852" w:id="98"/>
      <w:bookmarkStart w:name="_Toc133481051" w:id="99"/>
      <w:bookmarkStart w:name="_Toc147136952" w:id="100"/>
      <w:bookmarkStart w:name="_Toc162362968" w:id="101"/>
      <w:bookmarkStart w:name="_Toc166056463" w:id="102"/>
      <w:r w:rsidRPr="005735E9">
        <w:t>En kunskapsnation i världsklass</w:t>
      </w:r>
      <w:bookmarkEnd w:id="96"/>
      <w:bookmarkEnd w:id="97"/>
      <w:bookmarkEnd w:id="98"/>
      <w:bookmarkEnd w:id="99"/>
      <w:bookmarkEnd w:id="100"/>
      <w:bookmarkEnd w:id="101"/>
      <w:bookmarkEnd w:id="102"/>
    </w:p>
    <w:p w:rsidRPr="0074520F" w:rsidR="006F61AC" w:rsidP="00D80DB9" w:rsidRDefault="00F20DF2" w14:paraId="37659CF8" w14:textId="6EEF95C5">
      <w:pPr>
        <w:pStyle w:val="Normalutanindragellerluft"/>
        <w:rPr>
          <w:rFonts w:eastAsia="Calibri"/>
        </w:rPr>
      </w:pPr>
      <w:r w:rsidRPr="0074520F">
        <w:rPr>
          <w:rFonts w:eastAsia="Calibri"/>
        </w:rPr>
        <w:t>Utbildning och humankapital är en avgörande faktor för att skapa en produktiv arbets</w:t>
      </w:r>
      <w:r w:rsidR="0041608F">
        <w:rPr>
          <w:rFonts w:eastAsia="Calibri"/>
        </w:rPr>
        <w:softHyphen/>
      </w:r>
      <w:r w:rsidRPr="0074520F">
        <w:rPr>
          <w:rFonts w:eastAsia="Calibri"/>
        </w:rPr>
        <w:t>kraft. För ekonomisk utveckling krävs både bredd och spets, men det är inte spetsen som driver förändringen. Forskning i världsklass kommer av att det finns starka organi</w:t>
      </w:r>
      <w:r w:rsidR="00E5625A">
        <w:rPr>
          <w:rFonts w:eastAsia="Calibri"/>
        </w:rPr>
        <w:softHyphen/>
      </w:r>
      <w:r w:rsidRPr="00E5625A">
        <w:rPr>
          <w:rFonts w:eastAsia="Calibri"/>
          <w:spacing w:val="-3"/>
        </w:rPr>
        <w:t>serade miljöer med goda ekonomiska förutsättningar. Ett samhälle som utestänger många</w:t>
      </w:r>
      <w:r w:rsidRPr="0074520F">
        <w:rPr>
          <w:rFonts w:eastAsia="Calibri"/>
        </w:rPr>
        <w:t xml:space="preserve"> från utbildningsmöjligheter i barndomen kommer inte heller </w:t>
      </w:r>
      <w:r w:rsidR="006F7F02">
        <w:rPr>
          <w:rFonts w:eastAsia="Calibri"/>
        </w:rPr>
        <w:t xml:space="preserve">att </w:t>
      </w:r>
      <w:r w:rsidRPr="0074520F">
        <w:rPr>
          <w:rFonts w:eastAsia="Calibri"/>
        </w:rPr>
        <w:t>ha de bästa forskarna.</w:t>
      </w:r>
      <w:r w:rsidRPr="0074520F" w:rsidR="006F61AC">
        <w:rPr>
          <w:rFonts w:eastAsia="Calibri"/>
        </w:rPr>
        <w:t xml:space="preserve"> </w:t>
      </w:r>
      <w:r w:rsidRPr="0074520F" w:rsidR="00D80DB9">
        <w:rPr>
          <w:rFonts w:eastAsia="Calibri"/>
        </w:rPr>
        <w:t>E</w:t>
      </w:r>
      <w:r w:rsidRPr="0074520F" w:rsidR="006F61AC">
        <w:rPr>
          <w:rFonts w:eastAsia="Calibri"/>
        </w:rPr>
        <w:t>lever som slutar skolan utan en gymnasieexamen har betydligt svårare att komma in i yrkeslivet. Den gruppen är också överrepresenterad i områden med socioekonomiska utmaningar.</w:t>
      </w:r>
    </w:p>
    <w:p w:rsidRPr="0074520F" w:rsidR="00F20DF2" w:rsidP="00F20DF2" w:rsidRDefault="00F20DF2" w14:paraId="0902C638" w14:textId="59E30E76">
      <w:pPr>
        <w:rPr>
          <w:rFonts w:eastAsia="Calibri"/>
        </w:rPr>
      </w:pPr>
      <w:r w:rsidRPr="0074520F">
        <w:rPr>
          <w:rFonts w:eastAsia="Calibri"/>
        </w:rPr>
        <w:t xml:space="preserve">Sverige har en ovanligt starkt segregerad skola, i en internationell jämförelse. Enligt OECD är den svenska skolsegregationen klart större än OECD-snittet. Sverige är också internationellt sett medelmåttigt vad gäller att klara det kompensatoriska uppdraget och uppväga elevernas socioekonomiska förutsättningar. </w:t>
      </w:r>
    </w:p>
    <w:p w:rsidRPr="0074520F" w:rsidR="00F20DF2" w:rsidP="00F20DF2" w:rsidRDefault="00F20DF2" w14:paraId="6DDA2C9A" w14:textId="513160EE">
      <w:pPr>
        <w:rPr>
          <w:rFonts w:eastAsia="Calibri"/>
        </w:rPr>
      </w:pPr>
      <w:r w:rsidRPr="0074520F">
        <w:rPr>
          <w:rFonts w:eastAsia="Calibri"/>
        </w:rPr>
        <w:t>Tyvärr har organiseringen av utbildningen förstärkt den breda samhällsutveckling</w:t>
      </w:r>
      <w:r w:rsidR="00F20548">
        <w:rPr>
          <w:rFonts w:eastAsia="Calibri"/>
        </w:rPr>
        <w:t xml:space="preserve"> </w:t>
      </w:r>
      <w:r w:rsidRPr="00E5625A" w:rsidR="00F20548">
        <w:rPr>
          <w:rFonts w:eastAsia="Calibri"/>
          <w:spacing w:val="-3"/>
        </w:rPr>
        <w:t>som</w:t>
      </w:r>
      <w:r w:rsidRPr="00E5625A">
        <w:rPr>
          <w:rFonts w:eastAsia="Calibri"/>
          <w:spacing w:val="-3"/>
        </w:rPr>
        <w:t xml:space="preserve"> vi sett de senaste decennierna, i form av avreglerade marknader och skattesänkningar</w:t>
      </w:r>
      <w:r w:rsidRPr="0074520F">
        <w:rPr>
          <w:rFonts w:eastAsia="Calibri"/>
        </w:rPr>
        <w:t xml:space="preserve"> för de rikaste. Krympande resurser i förskolan, skolpeng, marknadsskola, försämrade studiesociala insatser och fallande studentinsats per person i högre utbildning – och inte minst nedmonteringen av arbetsmarknadsutbildningen – förstärker utvecklingen mot att allt större grupper kommer att exkluderas ifrån rättvisa livschanser. Detta får negativa effekter för deras ekonomi och livskvalitet, för den sociala rörligheten och för svensk ekonomisk utveckling.</w:t>
      </w:r>
    </w:p>
    <w:p w:rsidRPr="0074520F" w:rsidR="00F20DF2" w:rsidP="00F20DF2" w:rsidRDefault="00F20DF2" w14:paraId="65EE129E" w14:textId="77777777">
      <w:pPr>
        <w:rPr>
          <w:rFonts w:eastAsia="Calibri"/>
        </w:rPr>
      </w:pPr>
      <w:r w:rsidRPr="0074520F">
        <w:rPr>
          <w:rFonts w:eastAsia="Calibri"/>
        </w:rPr>
        <w:lastRenderedPageBreak/>
        <w:t xml:space="preserve">Vänsterpartiet vill göra högkvalitativ utbildning tillgänglig för fler och vill därför </w:t>
      </w:r>
      <w:r w:rsidRPr="00E5625A">
        <w:rPr>
          <w:rFonts w:eastAsia="Calibri"/>
          <w:spacing w:val="-3"/>
        </w:rPr>
        <w:t>satsa mer resurser på utbildning samt utreda ökade kompensatoriska inslag i fördelningen</w:t>
      </w:r>
      <w:r w:rsidRPr="0074520F">
        <w:rPr>
          <w:rFonts w:eastAsia="Calibri"/>
        </w:rPr>
        <w:t xml:space="preserve"> av utbildningsresurserna.</w:t>
      </w:r>
    </w:p>
    <w:p w:rsidRPr="005735E9" w:rsidR="00F20DF2" w:rsidP="005735E9" w:rsidRDefault="00F20DF2" w14:paraId="794D2F35" w14:textId="77777777">
      <w:pPr>
        <w:pStyle w:val="Rubrik2numrerat"/>
      </w:pPr>
      <w:bookmarkStart w:name="_Toc120016326" w:id="103"/>
      <w:bookmarkStart w:name="_Toc133246059" w:id="104"/>
      <w:bookmarkStart w:name="_Toc133420853" w:id="105"/>
      <w:bookmarkStart w:name="_Toc133481052" w:id="106"/>
      <w:bookmarkStart w:name="_Toc147136953" w:id="107"/>
      <w:bookmarkStart w:name="_Toc162362969" w:id="108"/>
      <w:bookmarkStart w:name="_Toc166056464" w:id="109"/>
      <w:r w:rsidRPr="005735E9">
        <w:t>Klimat</w:t>
      </w:r>
      <w:bookmarkEnd w:id="103"/>
      <w:bookmarkEnd w:id="104"/>
      <w:bookmarkEnd w:id="105"/>
      <w:bookmarkEnd w:id="106"/>
      <w:bookmarkEnd w:id="107"/>
      <w:bookmarkEnd w:id="108"/>
      <w:bookmarkEnd w:id="109"/>
    </w:p>
    <w:p w:rsidRPr="0074520F" w:rsidR="00F20DF2" w:rsidP="00F20DF2" w:rsidRDefault="00F20DF2" w14:paraId="2118EF1B" w14:textId="03413D89">
      <w:pPr>
        <w:spacing w:before="80"/>
        <w:ind w:firstLine="0"/>
        <w:rPr>
          <w:rFonts w:eastAsia="Calibri"/>
        </w:rPr>
      </w:pPr>
      <w:r w:rsidRPr="00E5625A">
        <w:rPr>
          <w:rFonts w:eastAsia="Calibri"/>
          <w:spacing w:val="-3"/>
        </w:rPr>
        <w:t>Vänsterpartiets klimat- och miljöpolitik tar sin utgångspunkt i att samhället behöver ställa</w:t>
      </w:r>
      <w:r w:rsidRPr="0074520F">
        <w:rPr>
          <w:rFonts w:eastAsia="Calibri"/>
        </w:rPr>
        <w:t xml:space="preserve"> om på ett omfattande, skyndsamt och strukturerat vis för att uppnå klimatmålen och undvika en klimatkatastrof. Många av de nödvändiga förändringarna av vår produktion och konsumtion behöver genomföras de närmaste tio åren. Om omställningen ska lyckas behöver den ske med en tydlig folklig. Därför kan och bör inte klimatpolitiken frikopplas </w:t>
      </w:r>
      <w:r w:rsidR="007308D9">
        <w:rPr>
          <w:rFonts w:eastAsia="Calibri"/>
        </w:rPr>
        <w:t xml:space="preserve">från </w:t>
      </w:r>
      <w:r w:rsidRPr="0074520F">
        <w:rPr>
          <w:rFonts w:eastAsia="Calibri"/>
        </w:rPr>
        <w:t>frågor om sysselsättning, välfärd och regional utveckling.</w:t>
      </w:r>
    </w:p>
    <w:p w:rsidRPr="0074520F" w:rsidR="00F20DF2" w:rsidP="00F20DF2" w:rsidRDefault="00F20DF2" w14:paraId="5499932F" w14:textId="6D6F7656">
      <w:pPr>
        <w:rPr>
          <w:rFonts w:eastAsia="Calibri"/>
        </w:rPr>
      </w:pPr>
      <w:r w:rsidRPr="0074520F">
        <w:rPr>
          <w:rFonts w:eastAsia="Calibri"/>
        </w:rPr>
        <w:t xml:space="preserve">Forskningen är tydlig med att effektiva utsläppsminskningar i grova drag endast kan uppnås på tre olika sätt: 1) </w:t>
      </w:r>
      <w:r w:rsidR="000F7AB1">
        <w:rPr>
          <w:rFonts w:eastAsia="Calibri"/>
        </w:rPr>
        <w:t>g</w:t>
      </w:r>
      <w:r w:rsidRPr="0074520F">
        <w:rPr>
          <w:rFonts w:eastAsia="Calibri"/>
        </w:rPr>
        <w:t xml:space="preserve">enom nya tekniska innovationer som innebär att utsläppen </w:t>
      </w:r>
      <w:r w:rsidRPr="00E5625A">
        <w:rPr>
          <w:rFonts w:eastAsia="Calibri"/>
          <w:spacing w:val="-3"/>
        </w:rPr>
        <w:t>minskar från befintlig verksamhet, 2) genom beteendeförändringar och 3) genom minskad</w:t>
      </w:r>
      <w:r w:rsidRPr="0074520F">
        <w:rPr>
          <w:rFonts w:eastAsia="Calibri"/>
        </w:rPr>
        <w:t xml:space="preserve"> </w:t>
      </w:r>
      <w:r w:rsidRPr="00E5625A">
        <w:rPr>
          <w:rFonts w:eastAsia="Calibri"/>
          <w:spacing w:val="-3"/>
        </w:rPr>
        <w:t>konsumtion och förändrad efterfrågan. Vänsterpartiet är på det klara med att det kommer</w:t>
      </w:r>
      <w:r w:rsidRPr="0074520F">
        <w:rPr>
          <w:rFonts w:eastAsia="Calibri"/>
        </w:rPr>
        <w:t xml:space="preserve"> att krävas att alla dessa tre sätt implementeras.</w:t>
      </w:r>
    </w:p>
    <w:p w:rsidRPr="0074520F" w:rsidR="00F20DF2" w:rsidP="00F20DF2" w:rsidRDefault="00F20DF2" w14:paraId="22B04AA4" w14:textId="78E267B0">
      <w:pPr>
        <w:rPr>
          <w:rFonts w:eastAsia="Calibri"/>
        </w:rPr>
      </w:pPr>
      <w:r w:rsidRPr="00E5625A">
        <w:rPr>
          <w:rFonts w:eastAsia="Calibri"/>
          <w:spacing w:val="-3"/>
        </w:rPr>
        <w:t>Samhället behöver emellertid vara mycket tydligt med att det är genom ändrade förut</w:t>
      </w:r>
      <w:r w:rsidRPr="00E5625A" w:rsidR="00E5625A">
        <w:rPr>
          <w:rFonts w:eastAsia="Calibri"/>
          <w:spacing w:val="-3"/>
        </w:rPr>
        <w:softHyphen/>
      </w:r>
      <w:r w:rsidRPr="00E5625A">
        <w:rPr>
          <w:rFonts w:eastAsia="Calibri"/>
          <w:spacing w:val="-3"/>
        </w:rPr>
        <w:t>sättningar</w:t>
      </w:r>
      <w:r w:rsidRPr="0074520F">
        <w:rPr>
          <w:rFonts w:eastAsia="Calibri"/>
        </w:rPr>
        <w:t xml:space="preserve"> – investeringar, innovation</w:t>
      </w:r>
      <w:r w:rsidR="000F7AB1">
        <w:rPr>
          <w:rFonts w:eastAsia="Calibri"/>
        </w:rPr>
        <w:t xml:space="preserve"> och</w:t>
      </w:r>
      <w:r w:rsidRPr="0074520F">
        <w:rPr>
          <w:rFonts w:eastAsia="Calibri"/>
        </w:rPr>
        <w:t xml:space="preserve"> storskaliga samhälleliga projekt – som de största effekterna kan uppnås. Nya järnvägssatsningar kommer att ställa om resandet </w:t>
      </w:r>
      <w:r w:rsidRPr="00E5625A">
        <w:rPr>
          <w:rFonts w:eastAsia="Calibri"/>
          <w:spacing w:val="-3"/>
        </w:rPr>
        <w:t>från inrikesflyg till tåg och bilåkandet till kollektivtrafik. När vi gör om miljonprogrammet</w:t>
      </w:r>
      <w:r w:rsidRPr="0074520F">
        <w:rPr>
          <w:rFonts w:eastAsia="Calibri"/>
        </w:rPr>
        <w:t xml:space="preserve"> till ett bostadsmiljöprogram för vår tid förbättrar vi boendemiljöerna och åstadkommer stor klimatnytta.</w:t>
      </w:r>
    </w:p>
    <w:p w:rsidRPr="0074520F" w:rsidR="00F20DF2" w:rsidP="00F20DF2" w:rsidRDefault="00F20DF2" w14:paraId="602C43E0" w14:textId="3A3FE363">
      <w:pPr>
        <w:rPr>
          <w:rFonts w:eastAsia="Calibri"/>
        </w:rPr>
      </w:pPr>
      <w:r w:rsidRPr="0074520F">
        <w:rPr>
          <w:rFonts w:eastAsia="Calibri"/>
        </w:rPr>
        <w:t xml:space="preserve">Deltagandet i klimatomställningen får inte reduceras till den enskildes köpkraft och möjlighet att genom medvetna val ändra sina levnadsvanor. I stället </w:t>
      </w:r>
      <w:r w:rsidRPr="0074520F" w:rsidR="00AF0C3B">
        <w:rPr>
          <w:rFonts w:eastAsia="Calibri"/>
        </w:rPr>
        <w:t>bör</w:t>
      </w:r>
      <w:r w:rsidRPr="0074520F">
        <w:rPr>
          <w:rFonts w:eastAsia="Calibri"/>
        </w:rPr>
        <w:t xml:space="preserve"> förändr</w:t>
      </w:r>
      <w:r w:rsidRPr="0074520F" w:rsidR="00AF0C3B">
        <w:rPr>
          <w:rFonts w:eastAsia="Calibri"/>
        </w:rPr>
        <w:t>ade</w:t>
      </w:r>
      <w:r w:rsidRPr="0074520F">
        <w:rPr>
          <w:rFonts w:eastAsia="Calibri"/>
        </w:rPr>
        <w:t xml:space="preserve"> </w:t>
      </w:r>
      <w:r w:rsidRPr="00E5625A">
        <w:rPr>
          <w:rFonts w:eastAsia="Calibri"/>
          <w:spacing w:val="-3"/>
        </w:rPr>
        <w:t>levnadsvanor bidra positivt till det övergripande samhällsprojekt där klimatomställningen</w:t>
      </w:r>
      <w:r w:rsidRPr="0074520F">
        <w:rPr>
          <w:rFonts w:eastAsia="Calibri"/>
        </w:rPr>
        <w:t xml:space="preserve"> är en bärande del.</w:t>
      </w:r>
    </w:p>
    <w:p w:rsidRPr="0074520F" w:rsidR="00F20DF2" w:rsidP="00F20DF2" w:rsidRDefault="00F20DF2" w14:paraId="1D34E176" w14:textId="598C9B72">
      <w:pPr>
        <w:rPr>
          <w:rFonts w:eastAsia="Calibri"/>
        </w:rPr>
      </w:pPr>
      <w:r w:rsidRPr="0074520F">
        <w:rPr>
          <w:rFonts w:eastAsia="Calibri"/>
        </w:rPr>
        <w:t xml:space="preserve">För Vänsterpartiet är det självklart att det kommer </w:t>
      </w:r>
      <w:r w:rsidR="00A17D34">
        <w:rPr>
          <w:rFonts w:eastAsia="Calibri"/>
        </w:rPr>
        <w:t xml:space="preserve">att </w:t>
      </w:r>
      <w:r w:rsidRPr="0074520F">
        <w:rPr>
          <w:rFonts w:eastAsia="Calibri"/>
        </w:rPr>
        <w:t xml:space="preserve">vara trygga löntagare som genomför klimatomställningen. Längst fram i ledet för att åstadkomma klimatneutralitet står yrkesskickliga fabriksarbetare, ingenjörer, konduktörer och anläggningsarbetare. Därför behöver en offensiv klimatomställning också beakta löntagarintresset och </w:t>
      </w:r>
      <w:r w:rsidRPr="0074520F" w:rsidR="00AF0C3B">
        <w:rPr>
          <w:rFonts w:eastAsia="Calibri"/>
        </w:rPr>
        <w:t>stärka löntagarnas</w:t>
      </w:r>
      <w:r w:rsidRPr="0074520F">
        <w:rPr>
          <w:rFonts w:eastAsia="Calibri"/>
        </w:rPr>
        <w:t xml:space="preserve"> positioner genom en utbyggd välfärd och stärkta trygghetssystem.</w:t>
      </w:r>
    </w:p>
    <w:p w:rsidRPr="0074520F" w:rsidR="00F20DF2" w:rsidP="00F20DF2" w:rsidRDefault="00F20DF2" w14:paraId="10BA33BA" w14:textId="0AB371D0">
      <w:pPr>
        <w:rPr>
          <w:rFonts w:eastAsia="Calibri"/>
        </w:rPr>
      </w:pPr>
      <w:r w:rsidRPr="00E5625A">
        <w:rPr>
          <w:rFonts w:eastAsia="Calibri"/>
          <w:spacing w:val="-3"/>
        </w:rPr>
        <w:t xml:space="preserve">För att värna miljöns roll i klimatomställningen </w:t>
      </w:r>
      <w:r w:rsidRPr="00E5625A" w:rsidR="006A442D">
        <w:rPr>
          <w:rFonts w:eastAsia="Calibri"/>
          <w:spacing w:val="-3"/>
        </w:rPr>
        <w:t xml:space="preserve">såväl </w:t>
      </w:r>
      <w:r w:rsidRPr="00E5625A">
        <w:rPr>
          <w:rFonts w:eastAsia="Calibri"/>
          <w:spacing w:val="-3"/>
        </w:rPr>
        <w:t xml:space="preserve">som det egenvärde </w:t>
      </w:r>
      <w:r w:rsidRPr="00E5625A" w:rsidR="006A442D">
        <w:rPr>
          <w:rFonts w:eastAsia="Calibri"/>
          <w:spacing w:val="-3"/>
        </w:rPr>
        <w:t xml:space="preserve">som </w:t>
      </w:r>
      <w:r w:rsidRPr="00E5625A">
        <w:rPr>
          <w:rFonts w:eastAsia="Calibri"/>
          <w:spacing w:val="-3"/>
        </w:rPr>
        <w:t>en livfull</w:t>
      </w:r>
      <w:r w:rsidRPr="0074520F">
        <w:rPr>
          <w:rFonts w:eastAsia="Calibri"/>
        </w:rPr>
        <w:t xml:space="preserve"> och välmående miljö har behöver samhället avsätta resurser till skydd och restoration</w:t>
      </w:r>
      <w:r w:rsidRPr="0074520F" w:rsidR="00AF0C3B">
        <w:rPr>
          <w:rFonts w:eastAsia="Calibri"/>
        </w:rPr>
        <w:t xml:space="preserve"> av miljön</w:t>
      </w:r>
      <w:r w:rsidRPr="0074520F">
        <w:rPr>
          <w:rFonts w:eastAsia="Calibri"/>
        </w:rPr>
        <w:t>. Närheten till livaktig natur, bevarandet för kommande generationer och varsam</w:t>
      </w:r>
      <w:r w:rsidR="00E5625A">
        <w:rPr>
          <w:rFonts w:eastAsia="Calibri"/>
        </w:rPr>
        <w:softHyphen/>
      </w:r>
      <w:r w:rsidRPr="0074520F">
        <w:rPr>
          <w:rFonts w:eastAsia="Calibri"/>
        </w:rPr>
        <w:t>het i exploateringen av naturen är grundvärden i Vänsterpartiets miljöpolitik.</w:t>
      </w:r>
    </w:p>
    <w:p w:rsidRPr="0074520F" w:rsidR="00AF0C3B" w:rsidP="00AF0C3B" w:rsidRDefault="00AF0C3B" w14:paraId="60A937C4" w14:textId="2DB3C9F2">
      <w:pPr>
        <w:rPr>
          <w:rFonts w:eastAsia="Calibri"/>
        </w:rPr>
      </w:pPr>
      <w:bookmarkStart w:name="_Hlk147174269" w:id="110"/>
      <w:r w:rsidRPr="0074520F">
        <w:rPr>
          <w:rFonts w:eastAsia="Calibri"/>
        </w:rPr>
        <w:t xml:space="preserve">Vänsterpartiet har föreslagit ett omfattande investeringspaket för klimatet. Genom </w:t>
      </w:r>
      <w:r w:rsidRPr="00E5625A">
        <w:rPr>
          <w:rFonts w:eastAsia="Calibri"/>
          <w:spacing w:val="-3"/>
        </w:rPr>
        <w:t>investeringar på 700 miljarder kronor vill vi de kommande tio åren se till att klimatomställ</w:t>
      </w:r>
      <w:r w:rsidRPr="00E5625A" w:rsidR="00E5625A">
        <w:rPr>
          <w:rFonts w:eastAsia="Calibri"/>
          <w:spacing w:val="-3"/>
        </w:rPr>
        <w:softHyphen/>
      </w:r>
      <w:r w:rsidRPr="00E5625A">
        <w:rPr>
          <w:rFonts w:eastAsia="Calibri"/>
          <w:spacing w:val="-3"/>
        </w:rPr>
        <w:t>ningen</w:t>
      </w:r>
      <w:r w:rsidRPr="0074520F">
        <w:rPr>
          <w:rFonts w:eastAsia="Calibri"/>
        </w:rPr>
        <w:t xml:space="preserve"> accelereras. Ett omfattande investeringspaket behövs för att skynda på den nöd</w:t>
      </w:r>
      <w:r w:rsidR="00E5625A">
        <w:rPr>
          <w:rFonts w:eastAsia="Calibri"/>
        </w:rPr>
        <w:softHyphen/>
      </w:r>
      <w:r w:rsidRPr="0074520F">
        <w:rPr>
          <w:rFonts w:eastAsia="Calibri"/>
        </w:rPr>
        <w:t>vändiga omställningen av klimatet och för att skapa fler arbetstillfällen.</w:t>
      </w:r>
      <w:bookmarkEnd w:id="110"/>
    </w:p>
    <w:p w:rsidRPr="005735E9" w:rsidR="00AF0C3B" w:rsidP="005735E9" w:rsidRDefault="00AF0C3B" w14:paraId="56CD4520" w14:textId="77777777">
      <w:pPr>
        <w:pStyle w:val="Rubrik2numrerat"/>
      </w:pPr>
      <w:bookmarkStart w:name="_Toc120016327" w:id="111"/>
      <w:bookmarkStart w:name="_Toc133246060" w:id="112"/>
      <w:bookmarkStart w:name="_Toc133420854" w:id="113"/>
      <w:bookmarkStart w:name="_Toc133481053" w:id="114"/>
      <w:bookmarkStart w:name="_Toc147246906" w:id="115"/>
      <w:bookmarkStart w:name="_Toc162362970" w:id="116"/>
      <w:bookmarkStart w:name="_Toc166056465" w:id="117"/>
      <w:r w:rsidRPr="005735E9">
        <w:t>Lägre skatter ger inte högre skatteintäkter</w:t>
      </w:r>
      <w:bookmarkEnd w:id="111"/>
      <w:bookmarkEnd w:id="112"/>
      <w:bookmarkEnd w:id="113"/>
      <w:bookmarkEnd w:id="114"/>
      <w:bookmarkEnd w:id="115"/>
      <w:bookmarkEnd w:id="116"/>
      <w:bookmarkEnd w:id="117"/>
    </w:p>
    <w:p w:rsidRPr="0074520F" w:rsidR="00AF0C3B" w:rsidP="00AF0C3B" w:rsidRDefault="00AF0C3B" w14:paraId="1BE1BE2F" w14:textId="655703E1">
      <w:pPr>
        <w:spacing w:before="80"/>
        <w:ind w:firstLine="0"/>
      </w:pPr>
      <w:bookmarkStart w:name="_Hlk147173972" w:id="118"/>
      <w:r w:rsidRPr="0074520F">
        <w:t>En politik för hållbar tillväxt, ökad jämlikhet och full sysselsättning behöver under</w:t>
      </w:r>
      <w:r w:rsidR="00E5625A">
        <w:softHyphen/>
      </w:r>
      <w:r w:rsidRPr="0074520F">
        <w:t xml:space="preserve">stödjas av en hög kvalitet i välfärdstjänster och effektiva försäkringssystem. Skatterna fyller i detta hänseende flera viktiga funktioner. De ska vara en stabil finansiering av </w:t>
      </w:r>
      <w:r w:rsidRPr="0074520F">
        <w:lastRenderedPageBreak/>
        <w:t xml:space="preserve">offentliga investeringar, utbildning och en aktiv arbetsmarknads- och näringspolitik. </w:t>
      </w:r>
      <w:r w:rsidRPr="00E5625A">
        <w:rPr>
          <w:spacing w:val="-3"/>
        </w:rPr>
        <w:t>Därtill bör de jämna ut inkomster, konsumtion och sparande mellan olika inkomstgrupper</w:t>
      </w:r>
      <w:r w:rsidRPr="0074520F">
        <w:t>.</w:t>
      </w:r>
      <w:bookmarkEnd w:id="118"/>
    </w:p>
    <w:p w:rsidRPr="0074520F" w:rsidR="00AF0C3B" w:rsidP="00AF0C3B" w:rsidRDefault="00AF0C3B" w14:paraId="3E49D795" w14:textId="563CCD11">
      <w:pPr>
        <w:tabs>
          <w:tab w:val="clear" w:pos="284"/>
        </w:tabs>
      </w:pPr>
      <w:r w:rsidRPr="00E5625A">
        <w:rPr>
          <w:spacing w:val="-3"/>
        </w:rPr>
        <w:t>Det svenska skattesystemet gav oss en gång skatteintäkter som var de högsta i världen</w:t>
      </w:r>
      <w:r w:rsidRPr="0074520F">
        <w:t xml:space="preserve"> relativt BNP. Det fanns en stark tilltro till möjligheten att göra skillnad tillsammans och </w:t>
      </w:r>
      <w:r w:rsidRPr="00E5625A">
        <w:rPr>
          <w:spacing w:val="-3"/>
        </w:rPr>
        <w:t xml:space="preserve">en självklarhet </w:t>
      </w:r>
      <w:r w:rsidRPr="00E5625A" w:rsidR="006A442D">
        <w:rPr>
          <w:spacing w:val="-3"/>
        </w:rPr>
        <w:t xml:space="preserve">i fråga om </w:t>
      </w:r>
      <w:r w:rsidRPr="00E5625A">
        <w:rPr>
          <w:spacing w:val="-3"/>
        </w:rPr>
        <w:t>att samhällsinvesteringar skulle finansieras gemensamt. Diskus</w:t>
      </w:r>
      <w:r w:rsidRPr="00E5625A" w:rsidR="00E5625A">
        <w:rPr>
          <w:spacing w:val="-3"/>
        </w:rPr>
        <w:softHyphen/>
      </w:r>
      <w:r w:rsidRPr="00E5625A">
        <w:rPr>
          <w:spacing w:val="-3"/>
        </w:rPr>
        <w:t xml:space="preserve">sionen </w:t>
      </w:r>
      <w:r w:rsidRPr="0074520F">
        <w:t xml:space="preserve">om skatter var då hur de skulle tas ut rättvist, samhällsekonomiskt effektivt och med en bibehållen legitimitet för skattesystemet. Utgångspunkten för 1990-talets stora skattereform var hur man skulle ta ut mesta möjliga skatt med minsta möjliga påverkan på ekonomin i övrigt. Svaret på den svåra frågan om hur skatters påverkan på sparande, </w:t>
      </w:r>
      <w:r w:rsidRPr="00E5625A">
        <w:rPr>
          <w:spacing w:val="-3"/>
        </w:rPr>
        <w:t>arbetsutbud, investeringar, riskvilja eller konsumtion skulle minimeras blev</w:t>
      </w:r>
      <w:r w:rsidRPr="00E5625A" w:rsidR="00537443">
        <w:rPr>
          <w:spacing w:val="-3"/>
        </w:rPr>
        <w:t>:</w:t>
      </w:r>
      <w:r w:rsidRPr="00E5625A">
        <w:rPr>
          <w:spacing w:val="-3"/>
        </w:rPr>
        <w:t xml:space="preserve"> likformighet,</w:t>
      </w:r>
      <w:r w:rsidRPr="0074520F">
        <w:t xml:space="preserve"> neutralitet och enkelhet.</w:t>
      </w:r>
    </w:p>
    <w:p w:rsidRPr="0074520F" w:rsidR="00AF0C3B" w:rsidP="00AF0C3B" w:rsidRDefault="00AF0C3B" w14:paraId="31E0460C" w14:textId="65298078">
      <w:r w:rsidRPr="0074520F">
        <w:t xml:space="preserve">I dag för diskussionen om likformiga och enkla skatter en tynande tillvaro. Snarare är utgångspunkten för debatten att skatter är skadliga och ständigt behöver slopas eller minimeras. Skattekvoten har sänkts från </w:t>
      </w:r>
      <w:r w:rsidRPr="0074520F" w:rsidR="002B2DD0">
        <w:t xml:space="preserve">knappt </w:t>
      </w:r>
      <w:r w:rsidRPr="0074520F">
        <w:t xml:space="preserve">49 procent </w:t>
      </w:r>
      <w:r w:rsidRPr="0074520F" w:rsidR="002B2DD0">
        <w:t>2000</w:t>
      </w:r>
      <w:r w:rsidRPr="0074520F">
        <w:t xml:space="preserve"> till 4</w:t>
      </w:r>
      <w:r w:rsidRPr="0074520F" w:rsidR="002B2DD0">
        <w:t>0,7</w:t>
      </w:r>
      <w:r w:rsidRPr="0074520F">
        <w:t xml:space="preserve"> procent 202</w:t>
      </w:r>
      <w:r w:rsidRPr="0074520F" w:rsidR="002B2DD0">
        <w:t>3</w:t>
      </w:r>
      <w:r w:rsidRPr="0074520F">
        <w:t xml:space="preserve">, vilket motsvarar </w:t>
      </w:r>
      <w:r w:rsidRPr="0074520F" w:rsidR="002B2DD0">
        <w:t>nästan 500</w:t>
      </w:r>
      <w:r w:rsidRPr="0074520F">
        <w:t xml:space="preserve"> miljarder kronor i mindre skatteinkomster varje år. Motiven har skiftat men övervägande karakteriserats av att slopandet/sänkningen ska lösa det ena eller det andra samhällsproblemet. </w:t>
      </w:r>
    </w:p>
    <w:p w:rsidRPr="0074520F" w:rsidR="00AF0C3B" w:rsidP="009C0673" w:rsidRDefault="00AF0C3B" w14:paraId="4C583089" w14:textId="389AD10C">
      <w:r w:rsidRPr="00E5625A">
        <w:rPr>
          <w:spacing w:val="-3"/>
        </w:rPr>
        <w:t>Det finns dock inget stöd för att skatter gör mer skada än nytta. En stark tes är att skatt</w:t>
      </w:r>
      <w:r w:rsidRPr="0074520F">
        <w:t xml:space="preserve"> på arbete hämmar viljan att arbeta. Sverige har förhållandevis höga marginal- och del</w:t>
      </w:r>
      <w:r w:rsidR="00E5625A">
        <w:softHyphen/>
      </w:r>
      <w:r w:rsidRPr="0074520F">
        <w:t xml:space="preserve">tagandeskatter på arbete. Samtidigt har vi EU:s näst högsta sysselsättningsgrad på ca 82 procent (20–64 år). För individer med eftergymnasial utbildning är </w:t>
      </w:r>
      <w:r w:rsidRPr="00E5625A">
        <w:rPr>
          <w:spacing w:val="-3"/>
        </w:rPr>
        <w:t>sysselsättningsgraden 90 procent. Samma förhållande gäller även i andra nordiska länder</w:t>
      </w:r>
      <w:r w:rsidRPr="0074520F">
        <w:t xml:space="preserve"> som Norge och </w:t>
      </w:r>
      <w:r w:rsidRPr="00E5625A">
        <w:rPr>
          <w:spacing w:val="-3"/>
        </w:rPr>
        <w:t>Danmark. Samtidigt har ett land som USA en lägre skatt men också betydligt lägre syssel</w:t>
      </w:r>
      <w:r w:rsidRPr="00E5625A" w:rsidR="00E5625A">
        <w:rPr>
          <w:spacing w:val="-3"/>
        </w:rPr>
        <w:softHyphen/>
      </w:r>
      <w:r w:rsidRPr="00E5625A">
        <w:rPr>
          <w:spacing w:val="-3"/>
        </w:rPr>
        <w:t>sättningsgrad.</w:t>
      </w:r>
      <w:r w:rsidRPr="0074520F">
        <w:t xml:space="preserve"> </w:t>
      </w:r>
      <w:r w:rsidRPr="00E5625A" w:rsidR="009C0673">
        <w:rPr>
          <w:spacing w:val="-3"/>
        </w:rPr>
        <w:t>F</w:t>
      </w:r>
      <w:r w:rsidRPr="00E5625A">
        <w:rPr>
          <w:spacing w:val="-3"/>
        </w:rPr>
        <w:t xml:space="preserve">orskningen </w:t>
      </w:r>
      <w:r w:rsidRPr="00E5625A" w:rsidR="009C0673">
        <w:rPr>
          <w:spacing w:val="-3"/>
        </w:rPr>
        <w:t xml:space="preserve">ger </w:t>
      </w:r>
      <w:r w:rsidRPr="00E5625A">
        <w:rPr>
          <w:spacing w:val="-3"/>
        </w:rPr>
        <w:t>inget entydigt svar på hur starkt det eventuella sambandet</w:t>
      </w:r>
      <w:r w:rsidRPr="0074520F">
        <w:t xml:space="preserve"> </w:t>
      </w:r>
      <w:r w:rsidRPr="00E5625A">
        <w:rPr>
          <w:spacing w:val="-3"/>
        </w:rPr>
        <w:t>mellan skatter och sysselsättning är i Sverige. Det enda som är helt säkert är att skattesänk</w:t>
      </w:r>
      <w:r w:rsidRPr="00E5625A" w:rsidR="00E5625A">
        <w:rPr>
          <w:spacing w:val="-3"/>
        </w:rPr>
        <w:softHyphen/>
      </w:r>
      <w:r w:rsidRPr="00E5625A">
        <w:rPr>
          <w:spacing w:val="-3"/>
        </w:rPr>
        <w:t>ningar</w:t>
      </w:r>
      <w:r w:rsidRPr="0074520F">
        <w:t xml:space="preserve"> leder till minskade skatteintäkter. Flertalet skattesänkningar har dessutom tydligt bidragit till kraftigt ökade inkomstskillnader. </w:t>
      </w:r>
    </w:p>
    <w:p w:rsidRPr="0074520F" w:rsidR="00AF0C3B" w:rsidP="00AF0C3B" w:rsidRDefault="00AF0C3B" w14:paraId="6E4AD9C6" w14:textId="77777777">
      <w:pPr>
        <w:tabs>
          <w:tab w:val="clear" w:pos="284"/>
        </w:tabs>
      </w:pPr>
      <w:r w:rsidRPr="0074520F">
        <w:t>Skatt efter bärkraft och välfärd utifrån behov är omfördelningens kärna. Eftersom välfärden finansieras av offentliga medel blir skattepolitiken ett av de mer ideologiskt betydelsefulla politikområdena – kanske det mest betydelsefulla.</w:t>
      </w:r>
    </w:p>
    <w:p w:rsidR="00CD39A6" w:rsidP="00CD39A6" w:rsidRDefault="00AF0C3B" w14:paraId="1BA8B71C" w14:textId="461CFD46">
      <w:r w:rsidRPr="0074520F">
        <w:t xml:space="preserve">Skatter ska finansiera gemensamma åtaganden och jämna ut inkomstskillnader. </w:t>
      </w:r>
      <w:bookmarkStart w:name="_Hlk145509588" w:id="119"/>
      <w:r w:rsidRPr="0074520F">
        <w:t>Vänsterpartiet anser att det behövs ett arbete med en genomgripande skattereform som ska skapa ett enhetligt, rättvist och legitimt skattesystem – som kan bidra till en lång</w:t>
      </w:r>
      <w:r w:rsidR="00E5625A">
        <w:softHyphen/>
      </w:r>
      <w:r w:rsidRPr="0074520F">
        <w:t>siktig och stabil finansiering av välfärden. Det mest prioriterade området att komma till rätta med är den urholkade kapitalbeskattningen och den extremt ojämna förmögenhets</w:t>
      </w:r>
      <w:r w:rsidR="00E5625A">
        <w:softHyphen/>
      </w:r>
      <w:r w:rsidRPr="0074520F">
        <w:t>fördelningen i Sverige.</w:t>
      </w:r>
      <w:bookmarkEnd w:id="119"/>
    </w:p>
    <w:p w:rsidR="005735E9" w:rsidRDefault="005735E9" w14:paraId="537474A9" w14:textId="35AC5222">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5735E9" w:rsidR="003C32FA" w:rsidP="005735E9" w:rsidRDefault="003C32FA" w14:paraId="0E023B4E" w14:textId="6B1EAF08">
      <w:pPr>
        <w:pStyle w:val="Rubrik1numrerat"/>
      </w:pPr>
      <w:bookmarkStart w:name="_Toc162362972" w:id="120"/>
      <w:bookmarkStart w:name="_Toc166056466" w:id="121"/>
      <w:r w:rsidRPr="005735E9">
        <w:lastRenderedPageBreak/>
        <w:t xml:space="preserve">Förslag på budgetåtgärder för </w:t>
      </w:r>
      <w:bookmarkEnd w:id="120"/>
      <w:r w:rsidRPr="005735E9" w:rsidR="00E92E1E">
        <w:t>2024</w:t>
      </w:r>
      <w:bookmarkEnd w:id="121"/>
    </w:p>
    <w:p w:rsidRPr="0074520F" w:rsidR="006725F3" w:rsidP="00D8691A" w:rsidRDefault="006725F3" w14:paraId="12A79F92" w14:textId="13D6BA2B">
      <w:pPr>
        <w:pStyle w:val="Normalutanindragellerluft"/>
      </w:pPr>
      <w:r w:rsidRPr="000546C0">
        <w:rPr>
          <w:spacing w:val="-3"/>
        </w:rPr>
        <w:t>Vänsterpartiets föreslagna ändringar i budgeten 2024 uppgår till drygt 2</w:t>
      </w:r>
      <w:r w:rsidRPr="000546C0" w:rsidR="004E4187">
        <w:rPr>
          <w:spacing w:val="-3"/>
        </w:rPr>
        <w:t>0</w:t>
      </w:r>
      <w:r w:rsidRPr="000546C0">
        <w:rPr>
          <w:spacing w:val="-3"/>
        </w:rPr>
        <w:t xml:space="preserve"> miljarder kronor.</w:t>
      </w:r>
      <w:r w:rsidRPr="0074520F">
        <w:t xml:space="preserve"> </w:t>
      </w:r>
      <w:r w:rsidRPr="00B03EFA" w:rsidR="00794BCF">
        <w:rPr>
          <w:spacing w:val="-3"/>
        </w:rPr>
        <w:t>Utöver nedanstående reformer föreslår Vänsterpartiet att målet för den offentliga sektorns</w:t>
      </w:r>
      <w:r w:rsidRPr="0074520F" w:rsidR="00794BCF">
        <w:t xml:space="preserve"> </w:t>
      </w:r>
      <w:r w:rsidRPr="00B03EFA" w:rsidR="00794BCF">
        <w:rPr>
          <w:spacing w:val="-3"/>
        </w:rPr>
        <w:t xml:space="preserve">finansiella sparande sätts till </w:t>
      </w:r>
      <w:r w:rsidRPr="00B03EFA" w:rsidR="00AB6483">
        <w:rPr>
          <w:spacing w:val="-3"/>
        </w:rPr>
        <w:t>–</w:t>
      </w:r>
      <w:r w:rsidRPr="00B03EFA" w:rsidR="00794BCF">
        <w:rPr>
          <w:spacing w:val="-3"/>
        </w:rPr>
        <w:t>1 procent av BNP över en konjunkturcykel för den närmaste</w:t>
      </w:r>
      <w:r w:rsidRPr="0074520F" w:rsidR="00794BCF">
        <w:t xml:space="preserve"> </w:t>
      </w:r>
      <w:r w:rsidRPr="00B03EFA" w:rsidR="00794BCF">
        <w:rPr>
          <w:spacing w:val="-3"/>
        </w:rPr>
        <w:t>8-årsperioden, med start 2025. Vi vill</w:t>
      </w:r>
      <w:r w:rsidRPr="00B03EFA" w:rsidR="00073695">
        <w:rPr>
          <w:spacing w:val="-3"/>
        </w:rPr>
        <w:t xml:space="preserve"> även</w:t>
      </w:r>
      <w:r w:rsidRPr="00B03EFA" w:rsidR="00794BCF">
        <w:rPr>
          <w:spacing w:val="-3"/>
        </w:rPr>
        <w:t xml:space="preserve"> se en höjd nivå på skuldankaret, inkomstgolv</w:t>
      </w:r>
      <w:r w:rsidRPr="0074520F" w:rsidR="00794BCF">
        <w:t xml:space="preserve"> och ökad transparens i </w:t>
      </w:r>
      <w:r w:rsidRPr="0074520F" w:rsidR="00635FC5">
        <w:t>budgetpolitiken</w:t>
      </w:r>
      <w:r w:rsidRPr="0074520F" w:rsidR="00794BCF">
        <w:t>.</w:t>
      </w:r>
    </w:p>
    <w:p w:rsidRPr="0074520F" w:rsidR="00794BCF" w:rsidP="0029638E" w:rsidRDefault="00794BCF" w14:paraId="20416054" w14:textId="410A05BC">
      <w:pPr>
        <w:pStyle w:val="Tabellrubrik"/>
      </w:pPr>
      <w:r w:rsidRPr="0074520F">
        <w:t xml:space="preserve">Tabell </w:t>
      </w:r>
      <w:r w:rsidRPr="0074520F" w:rsidR="00A828FA">
        <w:t>1</w:t>
      </w:r>
      <w:r w:rsidRPr="0074520F">
        <w:t xml:space="preserve"> Budgetförslag för innevarande</w:t>
      </w:r>
      <w:r w:rsidRPr="0074520F" w:rsidR="009306CD">
        <w:t xml:space="preserve"> </w:t>
      </w:r>
      <w:r w:rsidRPr="0074520F">
        <w:t xml:space="preserve">år </w:t>
      </w:r>
    </w:p>
    <w:p w:rsidRPr="0074520F" w:rsidR="009306CD" w:rsidP="00A21316" w:rsidRDefault="009306CD" w14:paraId="539FA50D" w14:textId="60A978C7">
      <w:pPr>
        <w:pStyle w:val="Tabellunderrubrik"/>
      </w:pPr>
      <w:r w:rsidRPr="0074520F">
        <w:t>Miljoner kronor</w:t>
      </w:r>
    </w:p>
    <w:tbl>
      <w:tblPr>
        <w:tblW w:w="8647" w:type="dxa"/>
        <w:tblCellMar>
          <w:left w:w="0" w:type="dxa"/>
          <w:right w:w="57" w:type="dxa"/>
        </w:tblCellMar>
        <w:tblLook w:val="04A0" w:firstRow="1" w:lastRow="0" w:firstColumn="1" w:lastColumn="0" w:noHBand="0" w:noVBand="1"/>
      </w:tblPr>
      <w:tblGrid>
        <w:gridCol w:w="8096"/>
        <w:gridCol w:w="607"/>
      </w:tblGrid>
      <w:tr w:rsidRPr="0074520F" w:rsidR="006000AD" w:rsidTr="00B8152F" w14:paraId="287AB895" w14:textId="07873351">
        <w:trPr>
          <w:trHeight w:val="300"/>
        </w:trPr>
        <w:tc>
          <w:tcPr>
            <w:tcW w:w="8088" w:type="dxa"/>
            <w:tcBorders>
              <w:top w:val="single" w:color="auto" w:sz="4" w:space="0"/>
              <w:left w:val="nil"/>
              <w:bottom w:val="single" w:color="auto" w:sz="4" w:space="0"/>
              <w:right w:val="nil"/>
            </w:tcBorders>
            <w:shd w:val="clear" w:color="auto" w:fill="auto"/>
            <w:noWrap/>
            <w:vAlign w:val="bottom"/>
            <w:hideMark/>
          </w:tcPr>
          <w:p w:rsidRPr="006000AD" w:rsidR="006000AD" w:rsidP="00DF34E6" w:rsidRDefault="006000AD" w14:paraId="2CB7C224" w14:textId="4859905F">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b/>
                <w:bCs/>
                <w:color w:val="000000"/>
                <w:kern w:val="0"/>
                <w:sz w:val="20"/>
                <w:szCs w:val="20"/>
                <w:lang w:eastAsia="sv-SE"/>
                <w14:numSpacing w14:val="default"/>
              </w:rPr>
            </w:pPr>
            <w:r w:rsidRPr="006000AD">
              <w:rPr>
                <w:rFonts w:eastAsia="Times New Roman" w:asciiTheme="majorHAnsi" w:hAnsiTheme="majorHAnsi" w:cstheme="majorHAnsi"/>
                <w:b/>
                <w:bCs/>
                <w:color w:val="000000"/>
                <w:kern w:val="0"/>
                <w:sz w:val="20"/>
                <w:szCs w:val="20"/>
                <w:lang w:eastAsia="sv-SE"/>
                <w14:numSpacing w14:val="default"/>
              </w:rPr>
              <w:t>Förslag </w:t>
            </w:r>
          </w:p>
        </w:tc>
        <w:tc>
          <w:tcPr>
            <w:tcW w:w="559" w:type="dxa"/>
            <w:tcBorders>
              <w:top w:val="single" w:color="auto" w:sz="4" w:space="0"/>
              <w:left w:val="nil"/>
              <w:bottom w:val="single" w:color="auto" w:sz="4" w:space="0"/>
              <w:right w:val="nil"/>
            </w:tcBorders>
            <w:shd w:val="clear" w:color="auto" w:fill="auto"/>
            <w:noWrap/>
            <w:vAlign w:val="bottom"/>
            <w:hideMark/>
          </w:tcPr>
          <w:p w:rsidRPr="006000AD" w:rsidR="006000AD" w:rsidP="006000AD" w:rsidRDefault="006000AD" w14:paraId="209FAB48" w14:textId="10A2DEE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6000AD">
              <w:rPr>
                <w:rFonts w:eastAsia="Times New Roman" w:asciiTheme="majorHAnsi" w:hAnsiTheme="majorHAnsi" w:cstheme="majorHAnsi"/>
                <w:b/>
                <w:bCs/>
                <w:color w:val="000000"/>
                <w:kern w:val="0"/>
                <w:sz w:val="20"/>
                <w:szCs w:val="20"/>
                <w:lang w:eastAsia="sv-SE"/>
                <w14:numSpacing w14:val="default"/>
              </w:rPr>
              <w:t>2024</w:t>
            </w:r>
          </w:p>
        </w:tc>
      </w:tr>
      <w:tr w:rsidRPr="0074520F" w:rsidR="006000AD" w:rsidTr="00B8152F" w14:paraId="77016B15" w14:textId="69098120">
        <w:trPr>
          <w:trHeight w:val="300"/>
        </w:trPr>
        <w:tc>
          <w:tcPr>
            <w:tcW w:w="8088" w:type="dxa"/>
            <w:tcBorders>
              <w:top w:val="nil"/>
              <w:left w:val="nil"/>
              <w:bottom w:val="nil"/>
              <w:right w:val="nil"/>
            </w:tcBorders>
            <w:shd w:val="clear" w:color="auto" w:fill="auto"/>
            <w:noWrap/>
            <w:vAlign w:val="bottom"/>
            <w:hideMark/>
          </w:tcPr>
          <w:p w:rsidRPr="006000AD" w:rsidR="006000AD" w:rsidP="00DF34E6" w:rsidRDefault="006000AD" w14:paraId="6AA7B665" w14:textId="2B3E99E9">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00AD">
              <w:rPr>
                <w:rFonts w:eastAsia="Times New Roman" w:cstheme="minorHAnsi"/>
                <w:color w:val="000000"/>
                <w:kern w:val="0"/>
                <w:sz w:val="20"/>
                <w:szCs w:val="20"/>
                <w:lang w:eastAsia="sv-SE"/>
                <w14:numSpacing w14:val="default"/>
              </w:rPr>
              <w:t>Vårdmiljarder</w:t>
            </w:r>
          </w:p>
        </w:tc>
        <w:tc>
          <w:tcPr>
            <w:tcW w:w="559" w:type="dxa"/>
            <w:tcBorders>
              <w:top w:val="nil"/>
              <w:left w:val="nil"/>
              <w:bottom w:val="nil"/>
              <w:right w:val="nil"/>
            </w:tcBorders>
            <w:shd w:val="clear" w:color="auto" w:fill="auto"/>
            <w:noWrap/>
            <w:vAlign w:val="bottom"/>
            <w:hideMark/>
          </w:tcPr>
          <w:p w:rsidRPr="006000AD" w:rsidR="006000AD" w:rsidP="00DF34E6" w:rsidRDefault="006000AD" w14:paraId="3F0D2997" w14:textId="6F2EFBB6">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eastAsia="Times New Roman" w:cstheme="minorHAnsi"/>
                <w:color w:val="000000"/>
                <w:kern w:val="0"/>
                <w:sz w:val="20"/>
                <w:szCs w:val="20"/>
                <w:lang w:eastAsia="sv-SE"/>
                <w14:numSpacing w14:val="default"/>
              </w:rPr>
            </w:pPr>
            <w:r w:rsidRPr="006000AD">
              <w:rPr>
                <w:rFonts w:eastAsia="Times New Roman" w:cstheme="minorHAnsi"/>
                <w:color w:val="000000"/>
                <w:kern w:val="0"/>
                <w:sz w:val="20"/>
                <w:szCs w:val="20"/>
                <w:lang w:eastAsia="sv-SE"/>
                <w14:numSpacing w14:val="default"/>
              </w:rPr>
              <w:t>15 000</w:t>
            </w:r>
          </w:p>
        </w:tc>
      </w:tr>
      <w:tr w:rsidRPr="0074520F" w:rsidR="006000AD" w:rsidTr="00B8152F" w14:paraId="4C349EFA" w14:textId="4B2BDBBB">
        <w:trPr>
          <w:trHeight w:val="300"/>
        </w:trPr>
        <w:tc>
          <w:tcPr>
            <w:tcW w:w="8088" w:type="dxa"/>
            <w:tcBorders>
              <w:top w:val="nil"/>
              <w:left w:val="nil"/>
              <w:bottom w:val="nil"/>
              <w:right w:val="nil"/>
            </w:tcBorders>
            <w:shd w:val="clear" w:color="auto" w:fill="auto"/>
            <w:noWrap/>
            <w:vAlign w:val="bottom"/>
            <w:hideMark/>
          </w:tcPr>
          <w:p w:rsidRPr="006000AD" w:rsidR="006000AD" w:rsidP="00DF34E6" w:rsidRDefault="006000AD" w14:paraId="690288A3" w14:textId="0FD71585">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00AD">
              <w:rPr>
                <w:rFonts w:eastAsia="Times New Roman" w:cstheme="minorHAnsi"/>
                <w:color w:val="000000"/>
                <w:kern w:val="0"/>
                <w:sz w:val="20"/>
                <w:szCs w:val="20"/>
                <w:lang w:eastAsia="sv-SE"/>
                <w14:numSpacing w14:val="default"/>
              </w:rPr>
              <w:t>Avskaffa hyrpersonal i vården, effekt 2024</w:t>
            </w:r>
          </w:p>
        </w:tc>
        <w:tc>
          <w:tcPr>
            <w:tcW w:w="559" w:type="dxa"/>
            <w:tcBorders>
              <w:top w:val="nil"/>
              <w:left w:val="nil"/>
              <w:bottom w:val="nil"/>
              <w:right w:val="nil"/>
            </w:tcBorders>
            <w:shd w:val="clear" w:color="auto" w:fill="auto"/>
            <w:noWrap/>
            <w:vAlign w:val="bottom"/>
            <w:hideMark/>
          </w:tcPr>
          <w:p w:rsidRPr="006000AD" w:rsidR="006000AD" w:rsidP="00DF34E6" w:rsidRDefault="006000AD" w14:paraId="2140C0E4" w14:textId="56A7953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eastAsia="Times New Roman" w:cstheme="minorHAnsi"/>
                <w:color w:val="000000"/>
                <w:kern w:val="0"/>
                <w:sz w:val="20"/>
                <w:szCs w:val="20"/>
                <w:lang w:eastAsia="sv-SE"/>
                <w14:numSpacing w14:val="default"/>
              </w:rPr>
            </w:pPr>
            <w:r w:rsidRPr="006000AD">
              <w:rPr>
                <w:rFonts w:eastAsia="Times New Roman" w:cstheme="minorHAnsi"/>
                <w:color w:val="000000"/>
                <w:kern w:val="0"/>
                <w:sz w:val="20"/>
                <w:szCs w:val="20"/>
                <w:lang w:eastAsia="sv-SE"/>
                <w14:numSpacing w14:val="default"/>
              </w:rPr>
              <w:t>89</w:t>
            </w:r>
          </w:p>
        </w:tc>
      </w:tr>
      <w:tr w:rsidRPr="0074520F" w:rsidR="006000AD" w:rsidTr="00B8152F" w14:paraId="00F02561" w14:textId="53754809">
        <w:trPr>
          <w:trHeight w:val="300"/>
        </w:trPr>
        <w:tc>
          <w:tcPr>
            <w:tcW w:w="8088" w:type="dxa"/>
            <w:tcBorders>
              <w:top w:val="nil"/>
              <w:left w:val="nil"/>
              <w:bottom w:val="nil"/>
              <w:right w:val="nil"/>
            </w:tcBorders>
            <w:shd w:val="clear" w:color="auto" w:fill="auto"/>
            <w:noWrap/>
            <w:vAlign w:val="bottom"/>
            <w:hideMark/>
          </w:tcPr>
          <w:p w:rsidRPr="006000AD" w:rsidR="006000AD" w:rsidP="00DF34E6" w:rsidRDefault="006000AD" w14:paraId="2EDA14F3" w14:textId="5EA1F143">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00AD">
              <w:rPr>
                <w:rFonts w:eastAsia="Times New Roman" w:cstheme="minorHAnsi"/>
                <w:color w:val="000000"/>
                <w:kern w:val="0"/>
                <w:sz w:val="20"/>
                <w:szCs w:val="20"/>
                <w:lang w:eastAsia="sv-SE"/>
                <w14:numSpacing w14:val="default"/>
              </w:rPr>
              <w:t>Krisstöd till byggmarknaden och Sverigejobb, halvårseffekt</w:t>
            </w:r>
          </w:p>
        </w:tc>
        <w:tc>
          <w:tcPr>
            <w:tcW w:w="559" w:type="dxa"/>
            <w:tcBorders>
              <w:top w:val="nil"/>
              <w:left w:val="nil"/>
              <w:bottom w:val="nil"/>
              <w:right w:val="nil"/>
            </w:tcBorders>
            <w:shd w:val="clear" w:color="auto" w:fill="auto"/>
            <w:noWrap/>
            <w:vAlign w:val="bottom"/>
            <w:hideMark/>
          </w:tcPr>
          <w:p w:rsidRPr="006000AD" w:rsidR="006000AD" w:rsidP="00DF34E6" w:rsidRDefault="006000AD" w14:paraId="7F6280B2" w14:textId="296DA6A8">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eastAsia="Times New Roman" w:cstheme="minorHAnsi"/>
                <w:color w:val="000000"/>
                <w:kern w:val="0"/>
                <w:sz w:val="20"/>
                <w:szCs w:val="20"/>
                <w:lang w:eastAsia="sv-SE"/>
                <w14:numSpacing w14:val="default"/>
              </w:rPr>
            </w:pPr>
            <w:r w:rsidRPr="006000AD">
              <w:rPr>
                <w:rFonts w:eastAsia="Times New Roman" w:cstheme="minorHAnsi"/>
                <w:color w:val="000000"/>
                <w:kern w:val="0"/>
                <w:sz w:val="20"/>
                <w:szCs w:val="20"/>
                <w:lang w:eastAsia="sv-SE"/>
                <w14:numSpacing w14:val="default"/>
              </w:rPr>
              <w:t>5 000</w:t>
            </w:r>
          </w:p>
        </w:tc>
      </w:tr>
      <w:tr w:rsidRPr="0074520F" w:rsidR="006000AD" w:rsidTr="00B8152F" w14:paraId="5773B978" w14:textId="5FCF956E">
        <w:trPr>
          <w:trHeight w:val="300"/>
        </w:trPr>
        <w:tc>
          <w:tcPr>
            <w:tcW w:w="8088" w:type="dxa"/>
            <w:tcBorders>
              <w:top w:val="nil"/>
              <w:left w:val="nil"/>
              <w:bottom w:val="nil"/>
              <w:right w:val="nil"/>
            </w:tcBorders>
            <w:shd w:val="clear" w:color="auto" w:fill="auto"/>
            <w:noWrap/>
            <w:vAlign w:val="bottom"/>
            <w:hideMark/>
          </w:tcPr>
          <w:p w:rsidRPr="006000AD" w:rsidR="006000AD" w:rsidP="00DF34E6" w:rsidRDefault="006000AD" w14:paraId="055CAD0E" w14:textId="193E85F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00AD">
              <w:rPr>
                <w:rFonts w:eastAsia="Times New Roman" w:cstheme="minorHAnsi"/>
                <w:color w:val="000000"/>
                <w:kern w:val="0"/>
                <w:sz w:val="20"/>
                <w:szCs w:val="20"/>
                <w:lang w:eastAsia="sv-SE"/>
                <w14:numSpacing w14:val="default"/>
              </w:rPr>
              <w:t>Gratis kollektivtrafik för unga på fritiden, helårseffekt</w:t>
            </w:r>
          </w:p>
        </w:tc>
        <w:tc>
          <w:tcPr>
            <w:tcW w:w="559" w:type="dxa"/>
            <w:tcBorders>
              <w:top w:val="nil"/>
              <w:left w:val="nil"/>
              <w:bottom w:val="nil"/>
              <w:right w:val="nil"/>
            </w:tcBorders>
            <w:shd w:val="clear" w:color="auto" w:fill="auto"/>
            <w:noWrap/>
            <w:vAlign w:val="bottom"/>
            <w:hideMark/>
          </w:tcPr>
          <w:p w:rsidRPr="006000AD" w:rsidR="006000AD" w:rsidP="00DF34E6" w:rsidRDefault="006000AD" w14:paraId="4F67AD64" w14:textId="7547C7A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eastAsia="Times New Roman" w:cstheme="minorHAnsi"/>
                <w:color w:val="000000"/>
                <w:kern w:val="0"/>
                <w:sz w:val="20"/>
                <w:szCs w:val="20"/>
                <w:lang w:eastAsia="sv-SE"/>
                <w14:numSpacing w14:val="default"/>
              </w:rPr>
            </w:pPr>
            <w:r w:rsidRPr="006000AD">
              <w:rPr>
                <w:rFonts w:eastAsia="Times New Roman" w:cstheme="minorHAnsi"/>
                <w:color w:val="000000"/>
                <w:kern w:val="0"/>
                <w:sz w:val="20"/>
                <w:szCs w:val="20"/>
                <w:lang w:eastAsia="sv-SE"/>
                <w14:numSpacing w14:val="default"/>
              </w:rPr>
              <w:t>1 000</w:t>
            </w:r>
          </w:p>
        </w:tc>
      </w:tr>
      <w:tr w:rsidRPr="0074520F" w:rsidR="006000AD" w:rsidTr="00B8152F" w14:paraId="28900F23" w14:textId="76379F17">
        <w:trPr>
          <w:trHeight w:val="300"/>
        </w:trPr>
        <w:tc>
          <w:tcPr>
            <w:tcW w:w="8088" w:type="dxa"/>
            <w:tcBorders>
              <w:top w:val="nil"/>
              <w:left w:val="nil"/>
              <w:bottom w:val="nil"/>
              <w:right w:val="nil"/>
            </w:tcBorders>
            <w:shd w:val="clear" w:color="auto" w:fill="auto"/>
            <w:noWrap/>
            <w:vAlign w:val="bottom"/>
            <w:hideMark/>
          </w:tcPr>
          <w:p w:rsidRPr="006000AD" w:rsidR="006000AD" w:rsidP="00DF34E6" w:rsidRDefault="006000AD" w14:paraId="0D5A8845" w14:textId="519235F2">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00AD">
              <w:rPr>
                <w:rFonts w:eastAsia="Times New Roman" w:cstheme="minorHAnsi"/>
                <w:color w:val="000000"/>
                <w:kern w:val="0"/>
                <w:sz w:val="20"/>
                <w:szCs w:val="20"/>
                <w:lang w:eastAsia="sv-SE"/>
                <w14:numSpacing w14:val="default"/>
              </w:rPr>
              <w:t>Utebliven flygsatsning</w:t>
            </w:r>
          </w:p>
        </w:tc>
        <w:tc>
          <w:tcPr>
            <w:tcW w:w="559" w:type="dxa"/>
            <w:tcBorders>
              <w:top w:val="nil"/>
              <w:left w:val="nil"/>
              <w:bottom w:val="nil"/>
              <w:right w:val="nil"/>
            </w:tcBorders>
            <w:shd w:val="clear" w:color="auto" w:fill="auto"/>
            <w:noWrap/>
            <w:vAlign w:val="bottom"/>
            <w:hideMark/>
          </w:tcPr>
          <w:p w:rsidRPr="006000AD" w:rsidR="006000AD" w:rsidP="00DF34E6" w:rsidRDefault="006000AD" w14:paraId="652A7324" w14:textId="15931235">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eastAsia="Times New Roman" w:cstheme="minorHAnsi"/>
                <w:color w:val="000000"/>
                <w:kern w:val="0"/>
                <w:sz w:val="20"/>
                <w:szCs w:val="20"/>
                <w:lang w:eastAsia="sv-SE"/>
                <w14:numSpacing w14:val="default"/>
              </w:rPr>
            </w:pPr>
            <w:r w:rsidRPr="006000AD">
              <w:rPr>
                <w:rFonts w:eastAsia="Times New Roman" w:cstheme="minorHAnsi"/>
                <w:color w:val="000000"/>
                <w:kern w:val="0"/>
                <w:sz w:val="20"/>
                <w:szCs w:val="20"/>
                <w:lang w:eastAsia="sv-SE"/>
                <w14:numSpacing w14:val="default"/>
              </w:rPr>
              <w:t>–1 035</w:t>
            </w:r>
          </w:p>
        </w:tc>
      </w:tr>
      <w:tr w:rsidRPr="0074520F" w:rsidR="006000AD" w:rsidTr="00B8152F" w14:paraId="74D73B2E" w14:textId="6108A3DF">
        <w:trPr>
          <w:trHeight w:val="300"/>
        </w:trPr>
        <w:tc>
          <w:tcPr>
            <w:tcW w:w="8088" w:type="dxa"/>
            <w:tcBorders>
              <w:top w:val="nil"/>
              <w:left w:val="nil"/>
              <w:bottom w:val="nil"/>
              <w:right w:val="nil"/>
            </w:tcBorders>
            <w:shd w:val="clear" w:color="auto" w:fill="auto"/>
            <w:noWrap/>
            <w:vAlign w:val="bottom"/>
            <w:hideMark/>
          </w:tcPr>
          <w:p w:rsidRPr="006000AD" w:rsidR="006000AD" w:rsidP="00DF34E6" w:rsidRDefault="006000AD" w14:paraId="68344579" w14:textId="3074CBB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00AD">
              <w:rPr>
                <w:rFonts w:eastAsia="Times New Roman" w:cstheme="minorHAnsi"/>
                <w:color w:val="000000"/>
                <w:kern w:val="0"/>
                <w:sz w:val="20"/>
                <w:szCs w:val="20"/>
                <w:lang w:eastAsia="sv-SE"/>
                <w14:numSpacing w14:val="default"/>
              </w:rPr>
              <w:t>Skatt på övervinster i elnätsbolagen*</w:t>
            </w:r>
          </w:p>
        </w:tc>
        <w:tc>
          <w:tcPr>
            <w:tcW w:w="559" w:type="dxa"/>
            <w:tcBorders>
              <w:top w:val="nil"/>
              <w:left w:val="nil"/>
              <w:bottom w:val="nil"/>
              <w:right w:val="nil"/>
            </w:tcBorders>
            <w:shd w:val="clear" w:color="auto" w:fill="auto"/>
            <w:noWrap/>
            <w:vAlign w:val="bottom"/>
            <w:hideMark/>
          </w:tcPr>
          <w:p w:rsidRPr="006000AD" w:rsidR="006000AD" w:rsidP="00DF34E6" w:rsidRDefault="006000AD" w14:paraId="385A2200" w14:textId="335AD22C">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eastAsia="Times New Roman" w:cstheme="minorHAnsi"/>
                <w:color w:val="000000"/>
                <w:kern w:val="0"/>
                <w:sz w:val="20"/>
                <w:szCs w:val="20"/>
                <w:lang w:eastAsia="sv-SE"/>
                <w14:numSpacing w14:val="default"/>
              </w:rPr>
            </w:pPr>
            <w:r w:rsidRPr="006000AD">
              <w:rPr>
                <w:rFonts w:eastAsia="Times New Roman" w:cstheme="minorHAnsi"/>
                <w:color w:val="000000"/>
                <w:kern w:val="0"/>
                <w:sz w:val="20"/>
                <w:szCs w:val="20"/>
                <w:lang w:eastAsia="sv-SE"/>
                <w14:numSpacing w14:val="default"/>
              </w:rPr>
              <w:t>0</w:t>
            </w:r>
          </w:p>
        </w:tc>
      </w:tr>
      <w:tr w:rsidRPr="0074520F" w:rsidR="006000AD" w:rsidTr="00B8152F" w14:paraId="56D8F10B" w14:textId="086F3223">
        <w:trPr>
          <w:trHeight w:val="300"/>
        </w:trPr>
        <w:tc>
          <w:tcPr>
            <w:tcW w:w="8088" w:type="dxa"/>
            <w:tcBorders>
              <w:top w:val="nil"/>
              <w:left w:val="nil"/>
              <w:bottom w:val="single" w:color="auto" w:sz="4" w:space="0"/>
              <w:right w:val="nil"/>
            </w:tcBorders>
            <w:shd w:val="clear" w:color="auto" w:fill="auto"/>
            <w:noWrap/>
            <w:vAlign w:val="bottom"/>
            <w:hideMark/>
          </w:tcPr>
          <w:p w:rsidRPr="006000AD" w:rsidR="006000AD" w:rsidP="00DF34E6" w:rsidRDefault="006000AD" w14:paraId="369CFDC7" w14:textId="785D32A4">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6000AD">
              <w:rPr>
                <w:rFonts w:eastAsia="Times New Roman" w:cstheme="minorHAnsi"/>
                <w:b/>
                <w:bCs/>
                <w:color w:val="000000"/>
                <w:kern w:val="0"/>
                <w:sz w:val="20"/>
                <w:szCs w:val="20"/>
                <w:lang w:eastAsia="sv-SE"/>
                <w14:numSpacing w14:val="default"/>
              </w:rPr>
              <w:t>Totalt</w:t>
            </w:r>
          </w:p>
        </w:tc>
        <w:tc>
          <w:tcPr>
            <w:tcW w:w="559" w:type="dxa"/>
            <w:tcBorders>
              <w:top w:val="nil"/>
              <w:left w:val="nil"/>
              <w:bottom w:val="single" w:color="auto" w:sz="4" w:space="0"/>
              <w:right w:val="nil"/>
            </w:tcBorders>
            <w:shd w:val="clear" w:color="auto" w:fill="auto"/>
            <w:noWrap/>
            <w:vAlign w:val="bottom"/>
            <w:hideMark/>
          </w:tcPr>
          <w:p w:rsidRPr="006000AD" w:rsidR="006000AD" w:rsidP="00DF34E6" w:rsidRDefault="006000AD" w14:paraId="3FC07F1A" w14:textId="21524B40">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eastAsia="Times New Roman" w:cstheme="minorHAnsi"/>
                <w:b/>
                <w:bCs/>
                <w:color w:val="000000"/>
                <w:kern w:val="0"/>
                <w:sz w:val="20"/>
                <w:szCs w:val="20"/>
                <w:lang w:eastAsia="sv-SE"/>
                <w14:numSpacing w14:val="default"/>
              </w:rPr>
            </w:pPr>
            <w:r w:rsidRPr="006000AD">
              <w:rPr>
                <w:rFonts w:eastAsia="Times New Roman" w:cstheme="minorHAnsi"/>
                <w:b/>
                <w:bCs/>
                <w:color w:val="000000"/>
                <w:kern w:val="0"/>
                <w:sz w:val="20"/>
                <w:szCs w:val="20"/>
                <w:lang w:eastAsia="sv-SE"/>
                <w14:numSpacing w14:val="default"/>
              </w:rPr>
              <w:t>20 054</w:t>
            </w:r>
          </w:p>
        </w:tc>
      </w:tr>
      <w:tr w:rsidRPr="006000AD" w:rsidR="006000AD" w:rsidTr="00B8152F" w14:paraId="17A28B29" w14:textId="1D814F36">
        <w:trPr>
          <w:trHeight w:val="300"/>
        </w:trPr>
        <w:tc>
          <w:tcPr>
            <w:tcW w:w="8647" w:type="dxa"/>
            <w:gridSpan w:val="2"/>
            <w:tcBorders>
              <w:top w:val="nil"/>
              <w:left w:val="nil"/>
              <w:bottom w:val="nil"/>
              <w:right w:val="nil"/>
            </w:tcBorders>
            <w:shd w:val="clear" w:color="auto" w:fill="auto"/>
            <w:noWrap/>
            <w:vAlign w:val="bottom"/>
            <w:hideMark/>
          </w:tcPr>
          <w:p w:rsidRPr="006000AD" w:rsidR="006000AD" w:rsidP="00DF34E6" w:rsidRDefault="006000AD" w14:paraId="29D626FD" w14:textId="0BB7F00B">
            <w:pPr>
              <w:pStyle w:val="Klla"/>
            </w:pPr>
            <w:r w:rsidRPr="006000AD">
              <w:t xml:space="preserve">* En preliminär bedömning är att skatten kan dra in över 100 miljarder kronor om elnätsbolagen skulle genomföra planerade prishöjningar. Skatten syftar dock i första hand till att hindra elnätsföretagen från att höja elnätsavgifterna för hushållen, varför vi inte räknar med några intäkter. </w:t>
            </w:r>
          </w:p>
        </w:tc>
      </w:tr>
    </w:tbl>
    <w:sdt>
      <w:sdtPr>
        <w:alias w:val="CC_Underskrifter"/>
        <w:tag w:val="CC_Underskrifter"/>
        <w:id w:val="583496634"/>
        <w:lock w:val="sdtContentLocked"/>
        <w:placeholder>
          <w:docPart w:val="BE62F79C61F64491BC728F3D3D363D0B"/>
        </w:placeholder>
      </w:sdtPr>
      <w:sdtEndPr/>
      <w:sdtContent>
        <w:p w:rsidR="00EB22D9" w:rsidP="0074520F" w:rsidRDefault="00EB22D9" w14:paraId="2E5AB967" w14:textId="77777777"/>
        <w:p w:rsidRPr="008E0FE2" w:rsidR="004801AC" w:rsidP="0074520F" w:rsidRDefault="00B34F34" w14:paraId="2B64738A" w14:textId="67CEFAA4"/>
      </w:sdtContent>
    </w:sdt>
    <w:tbl>
      <w:tblPr>
        <w:tblW w:w="5000" w:type="pct"/>
        <w:tblLook w:val="04A0" w:firstRow="1" w:lastRow="0" w:firstColumn="1" w:lastColumn="0" w:noHBand="0" w:noVBand="1"/>
        <w:tblCaption w:val="underskrifter"/>
      </w:tblPr>
      <w:tblGrid>
        <w:gridCol w:w="4252"/>
        <w:gridCol w:w="4252"/>
      </w:tblGrid>
      <w:tr w:rsidR="00AA472C" w14:paraId="38CF52C6" w14:textId="77777777">
        <w:trPr>
          <w:cantSplit/>
        </w:trPr>
        <w:tc>
          <w:tcPr>
            <w:tcW w:w="50" w:type="pct"/>
            <w:vAlign w:val="bottom"/>
          </w:tcPr>
          <w:p w:rsidR="00AA472C" w:rsidRDefault="00672A67" w14:paraId="477E70D7" w14:textId="77777777">
            <w:pPr>
              <w:pStyle w:val="Underskrifter"/>
              <w:spacing w:after="0"/>
            </w:pPr>
            <w:r>
              <w:t>Nooshi Dadgostar (V)</w:t>
            </w:r>
          </w:p>
        </w:tc>
        <w:tc>
          <w:tcPr>
            <w:tcW w:w="50" w:type="pct"/>
            <w:vAlign w:val="bottom"/>
          </w:tcPr>
          <w:p w:rsidR="00AA472C" w:rsidRDefault="00AA472C" w14:paraId="58BBD460" w14:textId="77777777">
            <w:pPr>
              <w:pStyle w:val="Underskrifter"/>
              <w:spacing w:after="0"/>
            </w:pPr>
          </w:p>
        </w:tc>
      </w:tr>
      <w:tr w:rsidR="00AA472C" w14:paraId="6274F80A" w14:textId="77777777">
        <w:trPr>
          <w:cantSplit/>
        </w:trPr>
        <w:tc>
          <w:tcPr>
            <w:tcW w:w="50" w:type="pct"/>
            <w:vAlign w:val="bottom"/>
          </w:tcPr>
          <w:p w:rsidR="00AA472C" w:rsidRDefault="00672A67" w14:paraId="04A73EFD" w14:textId="77777777">
            <w:pPr>
              <w:pStyle w:val="Underskrifter"/>
              <w:spacing w:after="0"/>
            </w:pPr>
            <w:r>
              <w:t>Andrea Andersson Tay (V)</w:t>
            </w:r>
          </w:p>
        </w:tc>
        <w:tc>
          <w:tcPr>
            <w:tcW w:w="50" w:type="pct"/>
            <w:vAlign w:val="bottom"/>
          </w:tcPr>
          <w:p w:rsidR="00AA472C" w:rsidRDefault="00672A67" w14:paraId="1F282736" w14:textId="77777777">
            <w:pPr>
              <w:pStyle w:val="Underskrifter"/>
              <w:spacing w:after="0"/>
            </w:pPr>
            <w:r>
              <w:t>Samuel Gonzalez Westling (V)</w:t>
            </w:r>
          </w:p>
        </w:tc>
      </w:tr>
      <w:tr w:rsidR="00AA472C" w14:paraId="6E40EF57" w14:textId="77777777">
        <w:trPr>
          <w:cantSplit/>
        </w:trPr>
        <w:tc>
          <w:tcPr>
            <w:tcW w:w="50" w:type="pct"/>
            <w:vAlign w:val="bottom"/>
          </w:tcPr>
          <w:p w:rsidR="00AA472C" w:rsidRDefault="00672A67" w14:paraId="3C5C8507" w14:textId="77777777">
            <w:pPr>
              <w:pStyle w:val="Underskrifter"/>
              <w:spacing w:after="0"/>
            </w:pPr>
            <w:r>
              <w:t>Andreas Lennkvist Manriquez (V)</w:t>
            </w:r>
          </w:p>
        </w:tc>
        <w:tc>
          <w:tcPr>
            <w:tcW w:w="50" w:type="pct"/>
            <w:vAlign w:val="bottom"/>
          </w:tcPr>
          <w:p w:rsidR="00AA472C" w:rsidRDefault="00672A67" w14:paraId="44683EE0" w14:textId="77777777">
            <w:pPr>
              <w:pStyle w:val="Underskrifter"/>
              <w:spacing w:after="0"/>
            </w:pPr>
            <w:r>
              <w:t>Isabell Mixter (V)</w:t>
            </w:r>
          </w:p>
        </w:tc>
      </w:tr>
      <w:tr w:rsidR="00AA472C" w14:paraId="4BC8F47A" w14:textId="77777777">
        <w:trPr>
          <w:cantSplit/>
        </w:trPr>
        <w:tc>
          <w:tcPr>
            <w:tcW w:w="50" w:type="pct"/>
            <w:vAlign w:val="bottom"/>
          </w:tcPr>
          <w:p w:rsidR="00AA472C" w:rsidRDefault="00672A67" w14:paraId="4C2ABFE3" w14:textId="77777777">
            <w:pPr>
              <w:pStyle w:val="Underskrifter"/>
              <w:spacing w:after="0"/>
            </w:pPr>
            <w:r>
              <w:t>Daniel Riazat (V)</w:t>
            </w:r>
          </w:p>
        </w:tc>
        <w:tc>
          <w:tcPr>
            <w:tcW w:w="50" w:type="pct"/>
            <w:vAlign w:val="bottom"/>
          </w:tcPr>
          <w:p w:rsidR="00AA472C" w:rsidRDefault="00672A67" w14:paraId="1F1034DE" w14:textId="77777777">
            <w:pPr>
              <w:pStyle w:val="Underskrifter"/>
              <w:spacing w:after="0"/>
            </w:pPr>
            <w:r>
              <w:t>Vasiliki Tsouplaki (V)</w:t>
            </w:r>
          </w:p>
        </w:tc>
      </w:tr>
      <w:tr w:rsidR="00AA472C" w14:paraId="5B545A46" w14:textId="77777777">
        <w:trPr>
          <w:cantSplit/>
        </w:trPr>
        <w:tc>
          <w:tcPr>
            <w:tcW w:w="50" w:type="pct"/>
            <w:vAlign w:val="bottom"/>
          </w:tcPr>
          <w:p w:rsidR="00AA472C" w:rsidRDefault="00672A67" w14:paraId="7757BF43" w14:textId="77777777">
            <w:pPr>
              <w:pStyle w:val="Underskrifter"/>
              <w:spacing w:after="0"/>
            </w:pPr>
            <w:r>
              <w:t>Ida Gabrielsson (V)</w:t>
            </w:r>
          </w:p>
        </w:tc>
        <w:tc>
          <w:tcPr>
            <w:tcW w:w="50" w:type="pct"/>
            <w:vAlign w:val="bottom"/>
          </w:tcPr>
          <w:p w:rsidR="00AA472C" w:rsidRDefault="00AA472C" w14:paraId="7C517076" w14:textId="77777777">
            <w:pPr>
              <w:pStyle w:val="Underskrifter"/>
              <w:spacing w:after="0"/>
            </w:pPr>
          </w:p>
        </w:tc>
        <w:bookmarkEnd w:id="3"/>
      </w:tr>
    </w:tbl>
    <w:p w:rsidR="00026F85" w:rsidRDefault="00026F85" w14:paraId="7E94D032" w14:textId="77777777"/>
    <w:sectPr w:rsidR="00026F85" w:rsidSect="00DB09D7">
      <w:headerReference w:type="even" r:id="rId35"/>
      <w:headerReference w:type="default" r:id="rId36"/>
      <w:footerReference w:type="even" r:id="rId37"/>
      <w:footerReference w:type="default" r:id="rId38"/>
      <w:headerReference w:type="first" r:id="rId39"/>
      <w:footerReference w:type="first" r:id="rId40"/>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EA2DD" w14:textId="77777777" w:rsidR="00F42E48" w:rsidRDefault="00F42E48" w:rsidP="000C1CAD">
      <w:pPr>
        <w:spacing w:line="240" w:lineRule="auto"/>
      </w:pPr>
      <w:r>
        <w:separator/>
      </w:r>
    </w:p>
  </w:endnote>
  <w:endnote w:type="continuationSeparator" w:id="0">
    <w:p w14:paraId="6A01AB5D" w14:textId="77777777" w:rsidR="00F42E48" w:rsidRDefault="00F42E48" w:rsidP="000C1CAD">
      <w:pPr>
        <w:spacing w:line="240" w:lineRule="auto"/>
      </w:pPr>
      <w:r>
        <w:continuationSeparator/>
      </w:r>
    </w:p>
  </w:endnote>
  <w:endnote w:type="continuationNotice" w:id="1">
    <w:p w14:paraId="7B26FE11" w14:textId="77777777" w:rsidR="00E03FE0" w:rsidRDefault="00E03F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29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8E0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8AD0" w14:textId="57E5BCDF" w:rsidR="00262EA3" w:rsidRPr="0074520F" w:rsidRDefault="00262EA3" w:rsidP="007452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FBBC2" w14:textId="769B4E90" w:rsidR="00F42E48" w:rsidRPr="00A8632C" w:rsidRDefault="00F42E48" w:rsidP="00A8632C">
      <w:pPr>
        <w:pStyle w:val="Sidfot"/>
      </w:pPr>
    </w:p>
  </w:footnote>
  <w:footnote w:type="continuationSeparator" w:id="0">
    <w:p w14:paraId="64B21A74" w14:textId="77777777" w:rsidR="00F42E48" w:rsidRDefault="00F42E48" w:rsidP="000C1CAD">
      <w:pPr>
        <w:spacing w:line="240" w:lineRule="auto"/>
      </w:pPr>
      <w:r>
        <w:continuationSeparator/>
      </w:r>
    </w:p>
  </w:footnote>
  <w:footnote w:type="continuationNotice" w:id="1">
    <w:p w14:paraId="6742AD79" w14:textId="77777777" w:rsidR="00E03FE0" w:rsidRDefault="00E03FE0">
      <w:pPr>
        <w:spacing w:line="240" w:lineRule="auto"/>
      </w:pPr>
    </w:p>
  </w:footnote>
  <w:footnote w:id="2">
    <w:p w14:paraId="34C495D2" w14:textId="1FBEF946" w:rsidR="0028337E" w:rsidRPr="004850E7" w:rsidRDefault="0028337E" w:rsidP="0028337E">
      <w:pPr>
        <w:pStyle w:val="Fotnotstext"/>
        <w:rPr>
          <w:lang w:val="en-GB"/>
        </w:rPr>
      </w:pPr>
      <w:r>
        <w:rPr>
          <w:rStyle w:val="Fotnotsreferens"/>
        </w:rPr>
        <w:footnoteRef/>
      </w:r>
      <w:r w:rsidRPr="004850E7">
        <w:rPr>
          <w:lang w:val="en-GB"/>
        </w:rPr>
        <w:t xml:space="preserve"> </w:t>
      </w:r>
      <w:r w:rsidR="005B4BAB" w:rsidRPr="004850E7">
        <w:rPr>
          <w:lang w:val="en-GB"/>
        </w:rPr>
        <w:t>SCB.</w:t>
      </w:r>
    </w:p>
  </w:footnote>
  <w:footnote w:id="3">
    <w:p w14:paraId="74B47898" w14:textId="77777777" w:rsidR="0028337E" w:rsidRPr="004850E7" w:rsidRDefault="0028337E" w:rsidP="0028337E">
      <w:pPr>
        <w:pStyle w:val="Fotnotstext"/>
        <w:rPr>
          <w:lang w:val="en-GB"/>
        </w:rPr>
      </w:pPr>
      <w:r>
        <w:rPr>
          <w:rStyle w:val="Fotnotsreferens"/>
        </w:rPr>
        <w:footnoteRef/>
      </w:r>
      <w:r w:rsidRPr="004850E7">
        <w:rPr>
          <w:lang w:val="en-GB"/>
        </w:rPr>
        <w:t xml:space="preserve"> Swedbank Economic Outlook, </w:t>
      </w:r>
      <w:r w:rsidRPr="004850E7">
        <w:rPr>
          <w:lang w:val="en-GB"/>
        </w:rPr>
        <w:t>januari 2024.</w:t>
      </w:r>
    </w:p>
  </w:footnote>
  <w:footnote w:id="4">
    <w:p w14:paraId="7369FE6D" w14:textId="0DC954BE" w:rsidR="001E301A" w:rsidRDefault="001E301A">
      <w:pPr>
        <w:pStyle w:val="Fotnotstext"/>
      </w:pPr>
      <w:r>
        <w:rPr>
          <w:rStyle w:val="Fotnotsreferens"/>
        </w:rPr>
        <w:footnoteRef/>
      </w:r>
      <w:r>
        <w:t xml:space="preserve"> Arbetsförmedlingen (2024</w:t>
      </w:r>
      <w:r w:rsidR="00BF4591">
        <w:t>)</w:t>
      </w:r>
      <w:r w:rsidR="003142A2">
        <w:t>.</w:t>
      </w:r>
      <w:r w:rsidR="00BF4591">
        <w:t xml:space="preserve"> </w:t>
      </w:r>
      <w:r w:rsidR="00BF4591" w:rsidRPr="003142A2">
        <w:rPr>
          <w:i/>
          <w:iCs/>
        </w:rPr>
        <w:t>Arbetsmarknadsläget i Sveriges län, kvartal 1 2024</w:t>
      </w:r>
      <w:r w:rsidR="00BF4591">
        <w:t>.</w:t>
      </w:r>
    </w:p>
  </w:footnote>
  <w:footnote w:id="5">
    <w:p w14:paraId="62F46AC3" w14:textId="399F7A0F" w:rsidR="000D424E" w:rsidRDefault="000D424E" w:rsidP="000D424E">
      <w:pPr>
        <w:pStyle w:val="Fotnotstext"/>
      </w:pPr>
      <w:r>
        <w:rPr>
          <w:rStyle w:val="Fotnotsreferens"/>
        </w:rPr>
        <w:footnoteRef/>
      </w:r>
      <w:r>
        <w:t xml:space="preserve"> Riksbanken (2023)</w:t>
      </w:r>
      <w:r w:rsidR="003142A2">
        <w:t>.</w:t>
      </w:r>
      <w:r>
        <w:t xml:space="preserve"> </w:t>
      </w:r>
      <w:r w:rsidRPr="00F70A58">
        <w:rPr>
          <w:i/>
        </w:rPr>
        <w:t>Importpriser, arbetskostnader och vinster – vilken roll har de spelat i inflationsdynamiken</w:t>
      </w:r>
      <w:r w:rsidRPr="00F70A58">
        <w:rPr>
          <w:i/>
          <w:iCs/>
        </w:rPr>
        <w:t>?</w:t>
      </w:r>
    </w:p>
  </w:footnote>
  <w:footnote w:id="6">
    <w:p w14:paraId="740234D6" w14:textId="2DBBA76F" w:rsidR="000D424E" w:rsidRDefault="000D424E" w:rsidP="000D424E">
      <w:pPr>
        <w:pStyle w:val="Fotnotstext"/>
      </w:pPr>
      <w:r>
        <w:rPr>
          <w:rStyle w:val="Fotnotsreferens"/>
        </w:rPr>
        <w:footnoteRef/>
      </w:r>
      <w:r>
        <w:t xml:space="preserve"> </w:t>
      </w:r>
      <w:r w:rsidRPr="005F69BA">
        <w:t>Konkurrensverket (2018)</w:t>
      </w:r>
      <w:r w:rsidR="00CE3076">
        <w:t>.</w:t>
      </w:r>
      <w:r w:rsidRPr="005F69BA">
        <w:t xml:space="preserve"> </w:t>
      </w:r>
      <w:r w:rsidRPr="00F70A58">
        <w:rPr>
          <w:i/>
        </w:rPr>
        <w:t>Konkurrensen i den svenska livsmedelskedjan</w:t>
      </w:r>
      <w:r>
        <w:t>.</w:t>
      </w:r>
    </w:p>
  </w:footnote>
  <w:footnote w:id="7">
    <w:p w14:paraId="317CA88A" w14:textId="3F7C5E9F" w:rsidR="00B62422" w:rsidRDefault="00B62422" w:rsidP="00B62422">
      <w:pPr>
        <w:pStyle w:val="Fotnotstext"/>
      </w:pPr>
      <w:r>
        <w:rPr>
          <w:rStyle w:val="Fotnotsreferens"/>
        </w:rPr>
        <w:footnoteRef/>
      </w:r>
      <w:r>
        <w:t xml:space="preserve"> IMF har i sin artikel 4 </w:t>
      </w:r>
      <w:r w:rsidR="00BB2654">
        <w:t>K</w:t>
      </w:r>
      <w:r>
        <w:t>onsultation för Sverige bedömt att en höjning av styrräntan med 1 procentenhet påverkar KPI med endast 0,2 procentenheter efter 3–4 kvartal. Se</w:t>
      </w:r>
      <w:r w:rsidR="002526CA">
        <w:t xml:space="preserve"> </w:t>
      </w:r>
      <w:r w:rsidR="00F70A58" w:rsidRPr="00886A24">
        <w:t>https://www.imf.org/en/Publications/CR/Issues/2024/03/08/Sweden-2024-Article-IV-Consultation-Press-Release-and-Staff-Report-546063</w:t>
      </w:r>
      <w:r w:rsidR="00603041">
        <w:t>.</w:t>
      </w:r>
      <w:r w:rsidR="00F70A58">
        <w:t xml:space="preserve"> </w:t>
      </w:r>
      <w:r w:rsidR="00603041">
        <w:t>H</w:t>
      </w:r>
      <w:r w:rsidR="00F70A58">
        <w:t xml:space="preserve">ämtad </w:t>
      </w:r>
      <w:r w:rsidR="00603041">
        <w:t xml:space="preserve">den 24 april </w:t>
      </w:r>
      <w:r w:rsidR="00F70A58">
        <w:t xml:space="preserve">2024. </w:t>
      </w:r>
    </w:p>
  </w:footnote>
  <w:footnote w:id="8">
    <w:p w14:paraId="3D3FE8F1" w14:textId="44B38783" w:rsidR="00D23F2E" w:rsidRDefault="00D23F2E" w:rsidP="00D23F2E">
      <w:pPr>
        <w:pStyle w:val="Fotnotstext"/>
      </w:pPr>
      <w:r>
        <w:rPr>
          <w:rStyle w:val="Fotnotsreferens"/>
        </w:rPr>
        <w:footnoteRef/>
      </w:r>
      <w:r w:rsidRPr="00BF0FD5">
        <w:rPr>
          <w:lang w:val="en-US"/>
        </w:rPr>
        <w:t xml:space="preserve"> </w:t>
      </w:r>
      <w:r w:rsidRPr="00BF0FD5">
        <w:rPr>
          <w:lang w:val="en-US"/>
        </w:rPr>
        <w:t>Verbist, G</w:t>
      </w:r>
      <w:r w:rsidR="008C0CE4">
        <w:rPr>
          <w:lang w:val="en-US"/>
        </w:rPr>
        <w:t>.</w:t>
      </w:r>
      <w:r w:rsidRPr="00BF0FD5">
        <w:rPr>
          <w:lang w:val="en-US"/>
        </w:rPr>
        <w:t xml:space="preserve"> &amp; Figari, F. (2014)</w:t>
      </w:r>
      <w:r w:rsidR="008C0CE4">
        <w:rPr>
          <w:lang w:val="en-US"/>
        </w:rPr>
        <w:t>.</w:t>
      </w:r>
      <w:r w:rsidRPr="00BF0FD5">
        <w:rPr>
          <w:lang w:val="en-US"/>
        </w:rPr>
        <w:t xml:space="preserve"> </w:t>
      </w:r>
      <w:r w:rsidRPr="00F70A58">
        <w:rPr>
          <w:i/>
          <w:lang w:val="en-US"/>
        </w:rPr>
        <w:t>The redistributive effect and progressivity of taxes revisited: An International Comparison across the European Union</w:t>
      </w:r>
      <w:r w:rsidRPr="00BF0FD5">
        <w:rPr>
          <w:lang w:val="en-US"/>
        </w:rPr>
        <w:t xml:space="preserve">, EUROMOD Working Paper No. </w:t>
      </w:r>
      <w:r w:rsidRPr="00066F80">
        <w:t>EM 6/14.</w:t>
      </w:r>
      <w:r>
        <w:t xml:space="preserve"> Studien har 1999 och 2008 som jämförelseår. Med EU:s kärnländer avses </w:t>
      </w:r>
      <w:r w:rsidRPr="00D560C9">
        <w:t>de 15 länder som ingick i EU 1998.</w:t>
      </w:r>
    </w:p>
  </w:footnote>
  <w:footnote w:id="9">
    <w:p w14:paraId="74B0D910" w14:textId="62C3D2ED" w:rsidR="00841CEB" w:rsidRDefault="00841CEB" w:rsidP="00841CEB">
      <w:pPr>
        <w:pStyle w:val="Fotnotstext"/>
      </w:pPr>
      <w:r>
        <w:rPr>
          <w:rStyle w:val="Fotnotsreferens"/>
        </w:rPr>
        <w:footnoteRef/>
      </w:r>
      <w:r>
        <w:t xml:space="preserve"> </w:t>
      </w:r>
      <w:r w:rsidRPr="00027DB4">
        <w:t>SNS (2018)</w:t>
      </w:r>
      <w:r w:rsidR="00D8398D">
        <w:t>.</w:t>
      </w:r>
      <w:r w:rsidRPr="00027DB4">
        <w:t xml:space="preserve"> </w:t>
      </w:r>
      <w:r w:rsidRPr="00B834CE">
        <w:rPr>
          <w:i/>
          <w:iCs/>
        </w:rPr>
        <w:t xml:space="preserve">Konjunkturrådets rapport 2018 </w:t>
      </w:r>
      <w:r w:rsidR="00B834CE">
        <w:rPr>
          <w:i/>
          <w:iCs/>
        </w:rPr>
        <w:t xml:space="preserve">– </w:t>
      </w:r>
      <w:r w:rsidRPr="00B834CE">
        <w:rPr>
          <w:i/>
          <w:iCs/>
        </w:rPr>
        <w:t>Kapitalbeskattningens</w:t>
      </w:r>
      <w:r w:rsidRPr="00F70A58">
        <w:rPr>
          <w:i/>
        </w:rPr>
        <w:t xml:space="preserve"> förutsättningar</w:t>
      </w:r>
      <w:r w:rsidRPr="00027DB4">
        <w:t>.</w:t>
      </w:r>
    </w:p>
  </w:footnote>
  <w:footnote w:id="10">
    <w:p w14:paraId="3F84382B" w14:textId="75F056F6" w:rsidR="00841CEB" w:rsidRPr="00290916" w:rsidRDefault="00841CEB" w:rsidP="00841CEB">
      <w:pPr>
        <w:pStyle w:val="Fotnotstext"/>
      </w:pPr>
      <w:r>
        <w:rPr>
          <w:rStyle w:val="Fotnotsreferens"/>
        </w:rPr>
        <w:footnoteRef/>
      </w:r>
      <w:r w:rsidRPr="00290916">
        <w:t xml:space="preserve"> </w:t>
      </w:r>
      <w:r w:rsidRPr="00290916">
        <w:t>Ownershift (2019)</w:t>
      </w:r>
      <w:r w:rsidR="00D8398D">
        <w:t>.</w:t>
      </w:r>
      <w:r w:rsidRPr="00290916">
        <w:t xml:space="preserve"> </w:t>
      </w:r>
      <w:r w:rsidRPr="00766D18">
        <w:rPr>
          <w:i/>
          <w:iCs/>
        </w:rPr>
        <w:t>Vem äger Sverige?</w:t>
      </w:r>
    </w:p>
  </w:footnote>
  <w:footnote w:id="11">
    <w:p w14:paraId="6E466131" w14:textId="012BEA3E" w:rsidR="007E135D" w:rsidRPr="00B1199F" w:rsidRDefault="007E135D">
      <w:pPr>
        <w:pStyle w:val="Fotnotstext"/>
        <w:rPr>
          <w:lang w:val="en-GB"/>
        </w:rPr>
      </w:pPr>
      <w:r w:rsidRPr="00704198">
        <w:rPr>
          <w:rStyle w:val="Fotnotsreferens"/>
        </w:rPr>
        <w:footnoteRef/>
      </w:r>
      <w:r w:rsidR="00704198" w:rsidRPr="00F8250A">
        <w:t xml:space="preserve"> </w:t>
      </w:r>
      <w:r w:rsidR="00C27561" w:rsidRPr="00F8250A">
        <w:t>Wilkinson</w:t>
      </w:r>
      <w:r w:rsidR="00704198" w:rsidRPr="00F8250A">
        <w:t>, R.</w:t>
      </w:r>
      <w:r w:rsidR="00C27561" w:rsidRPr="00F8250A">
        <w:t xml:space="preserve"> </w:t>
      </w:r>
      <w:r w:rsidR="00704198" w:rsidRPr="00F8250A">
        <w:t>&amp;</w:t>
      </w:r>
      <w:r w:rsidR="00C27561" w:rsidRPr="00F8250A">
        <w:t xml:space="preserve"> Pickett</w:t>
      </w:r>
      <w:r w:rsidR="00704198" w:rsidRPr="00F8250A">
        <w:t>, K.</w:t>
      </w:r>
      <w:r w:rsidR="00C27561" w:rsidRPr="00F8250A">
        <w:t xml:space="preserve"> (</w:t>
      </w:r>
      <w:r w:rsidR="00704198" w:rsidRPr="00F8250A">
        <w:t>2011</w:t>
      </w:r>
      <w:r w:rsidR="00C27561" w:rsidRPr="00F8250A">
        <w:t>)</w:t>
      </w:r>
      <w:r w:rsidR="00704198" w:rsidRPr="00F8250A">
        <w:t>.</w:t>
      </w:r>
      <w:r w:rsidR="00C27561" w:rsidRPr="00F8250A">
        <w:t xml:space="preserve"> </w:t>
      </w:r>
      <w:r w:rsidR="00704198" w:rsidRPr="00F8250A">
        <w:rPr>
          <w:i/>
          <w:iCs/>
        </w:rPr>
        <w:t>Jämlikhetsanden: därför är mer jämlika samhällen nästan alltid bättre samhällen</w:t>
      </w:r>
      <w:r w:rsidR="00704198" w:rsidRPr="00F8250A">
        <w:t xml:space="preserve">. </w:t>
      </w:r>
      <w:r w:rsidR="00704198" w:rsidRPr="00704198">
        <w:rPr>
          <w:lang w:val="en-GB"/>
        </w:rPr>
        <w:t xml:space="preserve">Karneval </w:t>
      </w:r>
      <w:r w:rsidR="00704198" w:rsidRPr="00704198">
        <w:rPr>
          <w:lang w:val="en-GB"/>
        </w:rPr>
        <w:t>förlag.</w:t>
      </w:r>
    </w:p>
  </w:footnote>
  <w:footnote w:id="12">
    <w:p w14:paraId="36E4C4B3" w14:textId="622E6C37" w:rsidR="00EB0ECC" w:rsidRPr="00973801" w:rsidRDefault="00EB0ECC" w:rsidP="00EB0ECC">
      <w:pPr>
        <w:pStyle w:val="Fotnotstext"/>
        <w:rPr>
          <w:lang w:val="en-GB"/>
        </w:rPr>
      </w:pPr>
      <w:r>
        <w:rPr>
          <w:rStyle w:val="Fotnotsreferens"/>
        </w:rPr>
        <w:footnoteRef/>
      </w:r>
      <w:r w:rsidRPr="00973801">
        <w:rPr>
          <w:lang w:val="en-GB"/>
        </w:rPr>
        <w:t xml:space="preserve"> </w:t>
      </w:r>
      <w:r w:rsidRPr="00973801">
        <w:rPr>
          <w:lang w:val="en-GB"/>
        </w:rPr>
        <w:t>Cingano, F. (2014)</w:t>
      </w:r>
      <w:r w:rsidR="00F25241">
        <w:rPr>
          <w:lang w:val="en-GB"/>
        </w:rPr>
        <w:t>.</w:t>
      </w:r>
      <w:r w:rsidRPr="00973801">
        <w:rPr>
          <w:lang w:val="en-GB"/>
        </w:rPr>
        <w:t xml:space="preserve"> </w:t>
      </w:r>
      <w:r w:rsidRPr="00704198">
        <w:rPr>
          <w:i/>
          <w:lang w:val="en-GB"/>
        </w:rPr>
        <w:t>Trends in Income Inequality and its Impact on Economic Growth</w:t>
      </w:r>
      <w:r w:rsidRPr="00973801">
        <w:rPr>
          <w:lang w:val="en-GB"/>
        </w:rPr>
        <w:t>, OECD Social, Employment and Migration Working Paper.</w:t>
      </w:r>
    </w:p>
  </w:footnote>
  <w:footnote w:id="13">
    <w:p w14:paraId="671D573C" w14:textId="0C6B67CD" w:rsidR="0009785C" w:rsidRDefault="0009785C">
      <w:pPr>
        <w:pStyle w:val="Fotnotstext"/>
      </w:pPr>
      <w:r>
        <w:rPr>
          <w:rStyle w:val="Fotnotsreferens"/>
        </w:rPr>
        <w:footnoteRef/>
      </w:r>
      <w:r>
        <w:t xml:space="preserve"> </w:t>
      </w:r>
      <w:r w:rsidRPr="0009785C">
        <w:t>SOU 2023:92</w:t>
      </w:r>
      <w:r>
        <w:t xml:space="preserve">, </w:t>
      </w:r>
      <w:r w:rsidR="009401D0">
        <w:t>b</w:t>
      </w:r>
      <w:r w:rsidRPr="0009785C">
        <w:t>ilaga 7</w:t>
      </w:r>
      <w:r w:rsidR="00704198">
        <w:t>,</w:t>
      </w:r>
      <w:r w:rsidRPr="0009785C">
        <w:t xml:space="preserve"> </w:t>
      </w:r>
      <w:r w:rsidRPr="00704198">
        <w:rPr>
          <w:i/>
        </w:rPr>
        <w:t>Nytt ramverk för finanspolitiken</w:t>
      </w:r>
      <w:r>
        <w:t>.</w:t>
      </w:r>
    </w:p>
  </w:footnote>
  <w:footnote w:id="14">
    <w:p w14:paraId="5C6BBC31" w14:textId="68BDA7C6" w:rsidR="007E5CE3" w:rsidRDefault="007E5CE3" w:rsidP="007E5CE3">
      <w:pPr>
        <w:pStyle w:val="Fotnotstext"/>
      </w:pPr>
      <w:r>
        <w:rPr>
          <w:rStyle w:val="Fotnotsreferens"/>
        </w:rPr>
        <w:footnoteRef/>
      </w:r>
      <w:r>
        <w:t xml:space="preserve"> Katalys (2024)</w:t>
      </w:r>
      <w:r w:rsidR="005138D4">
        <w:t>.</w:t>
      </w:r>
      <w:r>
        <w:t xml:space="preserve"> </w:t>
      </w:r>
      <w:r w:rsidRPr="00704198">
        <w:rPr>
          <w:i/>
        </w:rPr>
        <w:t>Stoppa smygnedskärningarna i välfärden</w:t>
      </w:r>
      <w:r>
        <w:t>.</w:t>
      </w:r>
    </w:p>
  </w:footnote>
  <w:footnote w:id="15">
    <w:p w14:paraId="46D2D148" w14:textId="20B3987E" w:rsidR="00512D6B" w:rsidRDefault="00512D6B" w:rsidP="00512D6B">
      <w:pPr>
        <w:pStyle w:val="Fotnotstext"/>
      </w:pPr>
      <w:r>
        <w:rPr>
          <w:rStyle w:val="Fotnotsreferens"/>
        </w:rPr>
        <w:footnoteRef/>
      </w:r>
      <w:r>
        <w:t xml:space="preserve"> </w:t>
      </w:r>
      <w:r w:rsidRPr="006F28A4">
        <w:t>Synnerliga skäl innebär att kommunen eller regionen har en så stark finansiell ställning att ett underskott kan hanteras. Andra anledningar att hänvisa till synnerliga skäl är omstruktureringskostnader av engångskaraktär (i samband med större strukturförändringar av verksamheten som på sikt leder till ett effektivare resursutnyttjande och god ekonomisk hushållning).</w:t>
      </w:r>
    </w:p>
  </w:footnote>
  <w:footnote w:id="16">
    <w:p w14:paraId="03A7CA44" w14:textId="2D07B2B1" w:rsidR="00BB4E53" w:rsidRDefault="00BB4E53" w:rsidP="00BB4E53">
      <w:pPr>
        <w:pStyle w:val="Fotnotstext"/>
      </w:pPr>
      <w:r>
        <w:rPr>
          <w:rStyle w:val="Fotnotsreferens"/>
        </w:rPr>
        <w:footnoteRef/>
      </w:r>
      <w:r>
        <w:t xml:space="preserve"> SKR (2023)</w:t>
      </w:r>
      <w:r w:rsidR="005E0D8B">
        <w:t>.</w:t>
      </w:r>
      <w:r>
        <w:t xml:space="preserve"> </w:t>
      </w:r>
      <w:r w:rsidRPr="00704198">
        <w:rPr>
          <w:i/>
        </w:rPr>
        <w:t xml:space="preserve">Ekonomirapporten, </w:t>
      </w:r>
      <w:r w:rsidR="00F5324A" w:rsidRPr="00704198">
        <w:rPr>
          <w:i/>
        </w:rPr>
        <w:t>oktober</w:t>
      </w:r>
      <w:r w:rsidRPr="00704198">
        <w:rPr>
          <w:i/>
        </w:rPr>
        <w:t xml:space="preserve"> 2023</w:t>
      </w:r>
      <w:r>
        <w:t>.</w:t>
      </w:r>
    </w:p>
  </w:footnote>
  <w:footnote w:id="17">
    <w:p w14:paraId="50804767" w14:textId="189FF447" w:rsidR="00F5324A" w:rsidRDefault="00F5324A">
      <w:pPr>
        <w:pStyle w:val="Fotnotstext"/>
      </w:pPr>
      <w:r>
        <w:rPr>
          <w:rStyle w:val="Fotnotsreferens"/>
        </w:rPr>
        <w:footnoteRef/>
      </w:r>
      <w:r>
        <w:t xml:space="preserve"> </w:t>
      </w:r>
      <w:r w:rsidR="005A2402">
        <w:t>Region Östergötland (2024)</w:t>
      </w:r>
      <w:r w:rsidR="00974BA0">
        <w:t>.</w:t>
      </w:r>
      <w:r w:rsidR="005A2402">
        <w:t xml:space="preserve"> </w:t>
      </w:r>
      <w:r w:rsidR="005A2402" w:rsidRPr="005A2402">
        <w:rPr>
          <w:i/>
          <w:iCs/>
        </w:rPr>
        <w:t>Region Östergötland varslar 900 om uppsägning</w:t>
      </w:r>
      <w:r w:rsidR="00415F25">
        <w:t>.</w:t>
      </w:r>
      <w:r w:rsidR="005A2402">
        <w:t xml:space="preserve"> </w:t>
      </w:r>
      <w:r w:rsidR="005A2402" w:rsidRPr="00886A24">
        <w:t>https://www.regionostergotland.se/ro/nyheter/nyheter/2024-02-28-region-ostergotland-varslar-900-om-uppsagning</w:t>
      </w:r>
      <w:r w:rsidR="00974BA0">
        <w:t>.</w:t>
      </w:r>
      <w:r w:rsidR="00095481">
        <w:t xml:space="preserve"> </w:t>
      </w:r>
      <w:r w:rsidR="00704198">
        <w:t xml:space="preserve">Hämtad </w:t>
      </w:r>
      <w:r w:rsidR="00974BA0">
        <w:t xml:space="preserve">den 24 april </w:t>
      </w:r>
      <w:r w:rsidR="00704198">
        <w:t xml:space="preserve">2024. </w:t>
      </w:r>
    </w:p>
  </w:footnote>
  <w:footnote w:id="18">
    <w:p w14:paraId="1C5A8BF0" w14:textId="4888E542" w:rsidR="008F631F" w:rsidRDefault="008F631F">
      <w:pPr>
        <w:pStyle w:val="Fotnotstext"/>
      </w:pPr>
      <w:bookmarkStart w:id="25" w:name="_Hlk164694770"/>
      <w:r>
        <w:rPr>
          <w:rStyle w:val="Fotnotsreferens"/>
        </w:rPr>
        <w:footnoteRef/>
      </w:r>
      <w:r>
        <w:t xml:space="preserve"> </w:t>
      </w:r>
      <w:r w:rsidR="005A2402">
        <w:t xml:space="preserve">Gustafsson, A. &amp; Ewald </w:t>
      </w:r>
      <w:r w:rsidR="005A2402">
        <w:t>Hurinsky, H.</w:t>
      </w:r>
      <w:r w:rsidR="00095481">
        <w:t xml:space="preserve"> (2023)</w:t>
      </w:r>
      <w:r w:rsidR="00974BA0">
        <w:t>.</w:t>
      </w:r>
      <w:r w:rsidR="005A2402">
        <w:t xml:space="preserve"> </w:t>
      </w:r>
      <w:r w:rsidR="005A2402" w:rsidRPr="00095481">
        <w:t>Regionerna tvingas spara – över 5 000 tjänster ska bort</w:t>
      </w:r>
      <w:r w:rsidR="00415F25">
        <w:t>,</w:t>
      </w:r>
      <w:r w:rsidR="005A2402" w:rsidRPr="00095481">
        <w:t xml:space="preserve"> </w:t>
      </w:r>
      <w:r w:rsidR="00095481" w:rsidRPr="00095481">
        <w:rPr>
          <w:i/>
          <w:iCs/>
        </w:rPr>
        <w:t>Dagens Nyheter</w:t>
      </w:r>
      <w:r w:rsidR="00095481">
        <w:t xml:space="preserve">, </w:t>
      </w:r>
      <w:r w:rsidR="00415F25">
        <w:t xml:space="preserve">den </w:t>
      </w:r>
      <w:r w:rsidR="00095481">
        <w:t xml:space="preserve">22 december, uppdaterad </w:t>
      </w:r>
      <w:r w:rsidR="00415F25">
        <w:t>den 9 januari 20</w:t>
      </w:r>
      <w:r w:rsidR="00095481">
        <w:t>24</w:t>
      </w:r>
      <w:r w:rsidR="00415F25">
        <w:t>.</w:t>
      </w:r>
      <w:r w:rsidR="00095481">
        <w:t xml:space="preserve"> </w:t>
      </w:r>
      <w:r w:rsidR="00095481" w:rsidRPr="00886A24">
        <w:t>https://www.dn.se/sverige/regionerna-tvingas-spara-over-5-000-tjanster-ska-bort/</w:t>
      </w:r>
      <w:bookmarkEnd w:id="25"/>
      <w:r w:rsidR="00974BA0">
        <w:t>.</w:t>
      </w:r>
      <w:r w:rsidR="00095481">
        <w:t xml:space="preserve"> Hämtad </w:t>
      </w:r>
      <w:r w:rsidR="00974BA0">
        <w:t xml:space="preserve">den 24 april </w:t>
      </w:r>
      <w:r w:rsidR="00095481">
        <w:t xml:space="preserve">2024. </w:t>
      </w:r>
    </w:p>
  </w:footnote>
  <w:footnote w:id="19">
    <w:p w14:paraId="57075730" w14:textId="0579A66E" w:rsidR="00BB4E53" w:rsidRPr="00095481" w:rsidRDefault="00BB4E53" w:rsidP="00BB4E53">
      <w:pPr>
        <w:pStyle w:val="Fotnotstext"/>
        <w:rPr>
          <w:i/>
        </w:rPr>
      </w:pPr>
      <w:r>
        <w:rPr>
          <w:rStyle w:val="Fotnotsreferens"/>
        </w:rPr>
        <w:footnoteRef/>
      </w:r>
      <w:r>
        <w:t xml:space="preserve"> </w:t>
      </w:r>
      <w:r w:rsidRPr="003128F8">
        <w:t>Socialstyrelsen (2023)</w:t>
      </w:r>
      <w:r w:rsidR="00974BA0">
        <w:t>.</w:t>
      </w:r>
      <w:r>
        <w:t xml:space="preserve"> </w:t>
      </w:r>
      <w:r w:rsidRPr="00095481">
        <w:rPr>
          <w:i/>
        </w:rPr>
        <w:t>Bedömning av tillgång och efterfrågan på legitimerad personal i hälso- och</w:t>
      </w:r>
    </w:p>
    <w:p w14:paraId="4FA8A706" w14:textId="31302C2C" w:rsidR="00BB4E53" w:rsidRDefault="00BB4E53" w:rsidP="00BB4E53">
      <w:pPr>
        <w:pStyle w:val="Fotnotstext"/>
      </w:pPr>
      <w:r w:rsidRPr="00095481">
        <w:rPr>
          <w:i/>
        </w:rPr>
        <w:t>sjukvård samt tandvård</w:t>
      </w:r>
      <w:r w:rsidR="00974BA0">
        <w:rPr>
          <w:i/>
        </w:rPr>
        <w:t xml:space="preserve"> –</w:t>
      </w:r>
      <w:r w:rsidRPr="00095481">
        <w:rPr>
          <w:i/>
        </w:rPr>
        <w:t xml:space="preserve"> Nationella planeringsstödet 2023</w:t>
      </w:r>
      <w:r>
        <w:t>.</w:t>
      </w:r>
    </w:p>
  </w:footnote>
  <w:footnote w:id="20">
    <w:p w14:paraId="2E62340E" w14:textId="3A336A30" w:rsidR="00341024" w:rsidRDefault="00341024" w:rsidP="00341024">
      <w:pPr>
        <w:pStyle w:val="Fotnotstext"/>
      </w:pPr>
      <w:r>
        <w:rPr>
          <w:rStyle w:val="Fotnotsreferens"/>
        </w:rPr>
        <w:footnoteRef/>
      </w:r>
      <w:r>
        <w:t xml:space="preserve"> SKR</w:t>
      </w:r>
      <w:r w:rsidR="00CA59F7">
        <w:t xml:space="preserve"> (2024)</w:t>
      </w:r>
      <w:r w:rsidR="00174C89">
        <w:t>.</w:t>
      </w:r>
      <w:r>
        <w:t xml:space="preserve"> </w:t>
      </w:r>
      <w:r w:rsidRPr="00CA59F7">
        <w:rPr>
          <w:i/>
        </w:rPr>
        <w:t>Kostnader för inhyrd personal i hälso- och sjukvården 2023</w:t>
      </w:r>
      <w:r w:rsidR="00D725EB">
        <w:t>.</w:t>
      </w:r>
    </w:p>
  </w:footnote>
  <w:footnote w:id="21">
    <w:p w14:paraId="02282020" w14:textId="18D7DF46" w:rsidR="00AB11AD" w:rsidRPr="00A60C2B" w:rsidRDefault="00AB11AD">
      <w:pPr>
        <w:pStyle w:val="Fotnotstext"/>
      </w:pPr>
      <w:r>
        <w:rPr>
          <w:rStyle w:val="Fotnotsreferens"/>
        </w:rPr>
        <w:footnoteRef/>
      </w:r>
      <w:r w:rsidRPr="00A60C2B">
        <w:t xml:space="preserve"> I</w:t>
      </w:r>
      <w:r w:rsidR="00E74D38" w:rsidRPr="00A60C2B">
        <w:t>b</w:t>
      </w:r>
      <w:r w:rsidRPr="00A60C2B">
        <w:t>i</w:t>
      </w:r>
      <w:r w:rsidR="00E74D38" w:rsidRPr="00A60C2B">
        <w:t>d</w:t>
      </w:r>
      <w:r w:rsidRPr="00A60C2B">
        <w:t>.</w:t>
      </w:r>
    </w:p>
  </w:footnote>
  <w:footnote w:id="22">
    <w:p w14:paraId="098661D7" w14:textId="210CEBD0" w:rsidR="00602D68" w:rsidRPr="00F8250A" w:rsidRDefault="00602D68">
      <w:pPr>
        <w:pStyle w:val="Fotnotstext"/>
      </w:pPr>
      <w:r>
        <w:rPr>
          <w:rStyle w:val="Fotnotsreferens"/>
        </w:rPr>
        <w:footnoteRef/>
      </w:r>
      <w:r w:rsidRPr="00F8250A">
        <w:t xml:space="preserve"> </w:t>
      </w:r>
      <w:r w:rsidR="00CA59F7" w:rsidRPr="00F8250A">
        <w:t>Region Skåne (2024)</w:t>
      </w:r>
      <w:r w:rsidR="0054275F">
        <w:t>.</w:t>
      </w:r>
      <w:r w:rsidR="00CA59F7" w:rsidRPr="00F8250A">
        <w:t xml:space="preserve"> </w:t>
      </w:r>
      <w:r w:rsidR="00CA59F7" w:rsidRPr="00F8250A">
        <w:rPr>
          <w:i/>
          <w:iCs/>
        </w:rPr>
        <w:t>Region Skånes hyrkostnader minskar efter hyrstoppet</w:t>
      </w:r>
      <w:r w:rsidR="00CA59F7" w:rsidRPr="00F8250A">
        <w:t xml:space="preserve">. </w:t>
      </w:r>
      <w:r w:rsidR="00CA59F7" w:rsidRPr="00886A24">
        <w:t>https://www.skane.se/om-region-skane/nyheter/2024/region-skanes-hyrkostnader-minskar-efter-hyrstoppet/?parentQueryReferer=true</w:t>
      </w:r>
      <w:r w:rsidR="0054275F">
        <w:t>.</w:t>
      </w:r>
      <w:r w:rsidR="00044D1F" w:rsidRPr="00F8250A">
        <w:t xml:space="preserve"> </w:t>
      </w:r>
      <w:r w:rsidR="00CA59F7" w:rsidRPr="00F8250A">
        <w:t>Hämtad</w:t>
      </w:r>
      <w:r w:rsidR="0054275F">
        <w:t xml:space="preserve"> den 24 april </w:t>
      </w:r>
      <w:r w:rsidR="00CA59F7" w:rsidRPr="00F8250A">
        <w:t>2024.</w:t>
      </w:r>
    </w:p>
  </w:footnote>
  <w:footnote w:id="23">
    <w:p w14:paraId="119504D2" w14:textId="33B36CE4" w:rsidR="0079043D" w:rsidRPr="00F8250A" w:rsidRDefault="0079043D">
      <w:pPr>
        <w:pStyle w:val="Fotnotstext"/>
      </w:pPr>
      <w:r>
        <w:rPr>
          <w:rStyle w:val="Fotnotsreferens"/>
        </w:rPr>
        <w:footnoteRef/>
      </w:r>
      <w:r w:rsidRPr="00F8250A">
        <w:t xml:space="preserve"> </w:t>
      </w:r>
      <w:r w:rsidR="00CA59F7" w:rsidRPr="00F8250A">
        <w:t>Osterberger, P</w:t>
      </w:r>
      <w:r w:rsidR="0054275F">
        <w:t>.</w:t>
      </w:r>
      <w:r w:rsidR="00CA59F7" w:rsidRPr="00F8250A">
        <w:t xml:space="preserve"> (2023)</w:t>
      </w:r>
      <w:r w:rsidR="0054275F">
        <w:t>.</w:t>
      </w:r>
      <w:r w:rsidR="00CA59F7" w:rsidRPr="00F8250A">
        <w:t xml:space="preserve"> Stopp för hyrläkare på Region Hallands vårdcentraler. </w:t>
      </w:r>
      <w:r w:rsidR="00CA59F7" w:rsidRPr="00F8250A">
        <w:rPr>
          <w:i/>
          <w:iCs/>
        </w:rPr>
        <w:t>SVT</w:t>
      </w:r>
      <w:r w:rsidR="00F43BCE">
        <w:t xml:space="preserve">, </w:t>
      </w:r>
      <w:r w:rsidR="0054275F">
        <w:t xml:space="preserve">den </w:t>
      </w:r>
      <w:r w:rsidR="00CA59F7" w:rsidRPr="00F8250A">
        <w:t xml:space="preserve">27 september. </w:t>
      </w:r>
      <w:r w:rsidR="00CA59F7" w:rsidRPr="00886A24">
        <w:t>https://www.svt.se/nyheter/lokalt/halland/stopp-for-hyrlakare-pa-region-hallands-vardcentraler--ifu3dr</w:t>
      </w:r>
      <w:r w:rsidR="0054275F">
        <w:t>.</w:t>
      </w:r>
      <w:r w:rsidRPr="00F8250A">
        <w:t xml:space="preserve"> </w:t>
      </w:r>
      <w:r w:rsidR="00CA59F7" w:rsidRPr="00F8250A">
        <w:t>Hämtad</w:t>
      </w:r>
      <w:r w:rsidR="0054275F">
        <w:t xml:space="preserve"> den 24 april </w:t>
      </w:r>
      <w:r w:rsidR="00CA59F7" w:rsidRPr="00F8250A">
        <w:t>2024.</w:t>
      </w:r>
    </w:p>
  </w:footnote>
  <w:footnote w:id="24">
    <w:p w14:paraId="36A9F642" w14:textId="06EEFA86" w:rsidR="00D725EB" w:rsidRDefault="00D725EB">
      <w:pPr>
        <w:pStyle w:val="Fotnotstext"/>
      </w:pPr>
      <w:r>
        <w:rPr>
          <w:rStyle w:val="Fotnotsreferens"/>
        </w:rPr>
        <w:footnoteRef/>
      </w:r>
      <w:r>
        <w:t xml:space="preserve"> SKR</w:t>
      </w:r>
      <w:r w:rsidR="00CA59F7">
        <w:t xml:space="preserve"> (2024)</w:t>
      </w:r>
      <w:r w:rsidR="00CE0D52">
        <w:t>.</w:t>
      </w:r>
      <w:r>
        <w:t xml:space="preserve"> </w:t>
      </w:r>
      <w:r w:rsidRPr="00CA59F7">
        <w:rPr>
          <w:i/>
        </w:rPr>
        <w:t>Kostnader för inhyrd personal i hälso- och sjukvården 2023</w:t>
      </w:r>
      <w:r>
        <w:t>.</w:t>
      </w:r>
    </w:p>
  </w:footnote>
  <w:footnote w:id="25">
    <w:p w14:paraId="229B31F9" w14:textId="3BF94A05" w:rsidR="004E19B5" w:rsidRDefault="004E19B5">
      <w:pPr>
        <w:pStyle w:val="Fotnotstext"/>
      </w:pPr>
      <w:r>
        <w:rPr>
          <w:rStyle w:val="Fotnotsreferens"/>
        </w:rPr>
        <w:footnoteRef/>
      </w:r>
      <w:r>
        <w:t xml:space="preserve"> Riksdagens utredningstjänst (</w:t>
      </w:r>
      <w:r w:rsidR="00CE0D52">
        <w:t>d</w:t>
      </w:r>
      <w:r w:rsidRPr="004E19B5">
        <w:t>nr 2024:488</w:t>
      </w:r>
      <w:r>
        <w:t xml:space="preserve">) och egna uträkningar. </w:t>
      </w:r>
    </w:p>
  </w:footnote>
  <w:footnote w:id="26">
    <w:p w14:paraId="6BB6C5BE" w14:textId="6D6955D3" w:rsidR="00CE3B4B" w:rsidRDefault="00CE3B4B">
      <w:pPr>
        <w:pStyle w:val="Fotnotstext"/>
      </w:pPr>
      <w:r>
        <w:rPr>
          <w:rStyle w:val="Fotnotsreferens"/>
        </w:rPr>
        <w:footnoteRef/>
      </w:r>
      <w:r>
        <w:t xml:space="preserve"> Det nuvarande avtalet har flera gånger överklagats av bemanningsföretag</w:t>
      </w:r>
      <w:r w:rsidR="00056752">
        <w:t xml:space="preserve"> som påverkas</w:t>
      </w:r>
      <w:r>
        <w:t xml:space="preserve">. </w:t>
      </w:r>
      <w:r w:rsidR="00056752">
        <w:t xml:space="preserve">Den 16 november 2023 meddelade </w:t>
      </w:r>
      <w:r w:rsidR="00707395">
        <w:t>K</w:t>
      </w:r>
      <w:r w:rsidR="00056752">
        <w:t xml:space="preserve">ammarrätten i Göteborg att man beslutat </w:t>
      </w:r>
      <w:r w:rsidR="008D3236">
        <w:t xml:space="preserve">att </w:t>
      </w:r>
      <w:r w:rsidR="00056752">
        <w:t xml:space="preserve">inte ingripa mot regionernas gemensamma upphandling av hyrpersonal. </w:t>
      </w:r>
      <w:r>
        <w:t xml:space="preserve">Även om det nu finns ett gemensamt avtal på plats har processen inneburit ett onödigt förhalande från bemanningsföretagen. </w:t>
      </w:r>
    </w:p>
  </w:footnote>
  <w:footnote w:id="27">
    <w:p w14:paraId="201A1DDF" w14:textId="4936F4A3" w:rsidR="00A714D4" w:rsidRDefault="00A714D4" w:rsidP="00A714D4">
      <w:pPr>
        <w:pStyle w:val="Fotnotstext"/>
      </w:pPr>
      <w:r>
        <w:rPr>
          <w:rStyle w:val="Fotnotsreferens"/>
        </w:rPr>
        <w:footnoteRef/>
      </w:r>
      <w:r>
        <w:t xml:space="preserve"> </w:t>
      </w:r>
      <w:r w:rsidR="00CA59F7">
        <w:t>Byggnads (2024)</w:t>
      </w:r>
      <w:r w:rsidR="00F20134">
        <w:t>.</w:t>
      </w:r>
      <w:r w:rsidR="00CA59F7">
        <w:t xml:space="preserve"> </w:t>
      </w:r>
      <w:r w:rsidR="00CA59F7" w:rsidRPr="00CA59F7">
        <w:rPr>
          <w:i/>
          <w:iCs/>
        </w:rPr>
        <w:t>Byggnads kommenterar uteblivna byggsatsningar i vårbudgeten</w:t>
      </w:r>
      <w:r w:rsidR="00CA59F7">
        <w:t xml:space="preserve">. </w:t>
      </w:r>
      <w:r w:rsidR="00CA59F7" w:rsidRPr="00886A24">
        <w:t>https://www.byggnads.se/aktuellt/2024/byggnads-kommenterar-uteblivna-byggsatsningar-i-varbudgeten/</w:t>
      </w:r>
      <w:r w:rsidR="00F20134">
        <w:t>.</w:t>
      </w:r>
      <w:r w:rsidR="00CA59F7">
        <w:t xml:space="preserve"> Hämtad </w:t>
      </w:r>
      <w:r w:rsidR="00F20134">
        <w:t xml:space="preserve">den 19 april </w:t>
      </w:r>
      <w:r w:rsidR="00CA59F7">
        <w:t xml:space="preserve">2024. </w:t>
      </w:r>
    </w:p>
  </w:footnote>
  <w:footnote w:id="28">
    <w:p w14:paraId="36451300" w14:textId="74058E9E" w:rsidR="00F22B7E" w:rsidRPr="00F33CDD" w:rsidRDefault="00F22B7E">
      <w:pPr>
        <w:pStyle w:val="Fotnotstext"/>
      </w:pPr>
      <w:r>
        <w:rPr>
          <w:rStyle w:val="Fotnotsreferens"/>
        </w:rPr>
        <w:footnoteRef/>
      </w:r>
      <w:r w:rsidRPr="00F33CDD">
        <w:t xml:space="preserve"> </w:t>
      </w:r>
      <w:r w:rsidR="004D092F" w:rsidRPr="00F33CDD">
        <w:t>SCB</w:t>
      </w:r>
      <w:r w:rsidR="00E11C61">
        <w:t xml:space="preserve"> (2024)</w:t>
      </w:r>
      <w:r w:rsidR="003C2F57">
        <w:t>.</w:t>
      </w:r>
      <w:r w:rsidR="00E11C61">
        <w:t xml:space="preserve"> </w:t>
      </w:r>
      <w:r w:rsidR="00E11C61" w:rsidRPr="00E11C61">
        <w:rPr>
          <w:i/>
          <w:iCs/>
        </w:rPr>
        <w:t>Minskad byggtakt under 2023.</w:t>
      </w:r>
      <w:r w:rsidR="00E11C61">
        <w:t xml:space="preserve"> </w:t>
      </w:r>
      <w:r w:rsidR="00E11C61" w:rsidRPr="00886A24">
        <w:t>https://www.scb.se/hitta-statistik/statistik-efter-amne/boende-byggande-och-bebyggelse/bostadsbyggande-och-ombyggnad/bygglov-nybyggnad-och-ombyggnad/pong/statistiknyhet/paborjad-nybyggnation-av-bostadslagenheter-2023-preliminara-uppgifter/</w:t>
      </w:r>
      <w:r w:rsidR="00F20134">
        <w:t>.</w:t>
      </w:r>
      <w:r w:rsidR="00E11C61">
        <w:t xml:space="preserve"> Hämtad </w:t>
      </w:r>
      <w:r w:rsidR="00F20134">
        <w:t xml:space="preserve">den 18 april </w:t>
      </w:r>
      <w:r w:rsidR="00E11C61">
        <w:t xml:space="preserve">2024. </w:t>
      </w:r>
    </w:p>
  </w:footnote>
  <w:footnote w:id="29">
    <w:p w14:paraId="79DD54A6" w14:textId="0A889D07" w:rsidR="00F22B7E" w:rsidRPr="00F33CDD" w:rsidRDefault="00F22B7E">
      <w:pPr>
        <w:pStyle w:val="Fotnotstext"/>
      </w:pPr>
      <w:r>
        <w:rPr>
          <w:rStyle w:val="Fotnotsreferens"/>
        </w:rPr>
        <w:footnoteRef/>
      </w:r>
      <w:r w:rsidRPr="00F33CDD">
        <w:t xml:space="preserve"> </w:t>
      </w:r>
      <w:r w:rsidR="00046542">
        <w:t>Byggföretagen</w:t>
      </w:r>
      <w:r w:rsidR="00CA59F7">
        <w:t xml:space="preserve"> (2024)</w:t>
      </w:r>
      <w:r w:rsidR="00F20134">
        <w:t>.</w:t>
      </w:r>
      <w:r w:rsidR="00046542">
        <w:t xml:space="preserve"> </w:t>
      </w:r>
      <w:r w:rsidR="00046542" w:rsidRPr="00CA59F7">
        <w:rPr>
          <w:i/>
        </w:rPr>
        <w:t>Byggkonjunkturen #1 2024</w:t>
      </w:r>
      <w:r w:rsidR="00A056DE">
        <w:t>.</w:t>
      </w:r>
    </w:p>
  </w:footnote>
  <w:footnote w:id="30">
    <w:p w14:paraId="4102347B" w14:textId="77282355" w:rsidR="00F22B7E" w:rsidRPr="00F33CDD" w:rsidRDefault="00F22B7E">
      <w:pPr>
        <w:pStyle w:val="Fotnotstext"/>
      </w:pPr>
      <w:r>
        <w:rPr>
          <w:rStyle w:val="Fotnotsreferens"/>
        </w:rPr>
        <w:footnoteRef/>
      </w:r>
      <w:r w:rsidRPr="00F33CDD">
        <w:t xml:space="preserve"> </w:t>
      </w:r>
      <w:r w:rsidR="00246179">
        <w:t>Boverket (2023)</w:t>
      </w:r>
      <w:r w:rsidR="00F20134">
        <w:t>.</w:t>
      </w:r>
      <w:r w:rsidR="00246179">
        <w:t xml:space="preserve"> </w:t>
      </w:r>
      <w:r w:rsidR="00246179" w:rsidRPr="00CA59F7">
        <w:rPr>
          <w:i/>
        </w:rPr>
        <w:t>Byggprognos revidering oktober 2023</w:t>
      </w:r>
      <w:r w:rsidR="00246179">
        <w:t>.</w:t>
      </w:r>
    </w:p>
  </w:footnote>
  <w:footnote w:id="31">
    <w:p w14:paraId="4964B068" w14:textId="0F99206C" w:rsidR="00F22B7E" w:rsidRDefault="00F22B7E">
      <w:pPr>
        <w:pStyle w:val="Fotnotstext"/>
      </w:pPr>
      <w:r>
        <w:rPr>
          <w:rStyle w:val="Fotnotsreferens"/>
        </w:rPr>
        <w:footnoteRef/>
      </w:r>
      <w:r>
        <w:t xml:space="preserve"> </w:t>
      </w:r>
      <w:r w:rsidR="00246179">
        <w:t>Ib</w:t>
      </w:r>
      <w:r w:rsidR="009B5353">
        <w:t>id</w:t>
      </w:r>
      <w:r w:rsidR="00246179">
        <w:t>.</w:t>
      </w:r>
    </w:p>
  </w:footnote>
  <w:footnote w:id="32">
    <w:p w14:paraId="1550519F" w14:textId="010FCDA9" w:rsidR="003E0582" w:rsidRDefault="003E0582">
      <w:pPr>
        <w:pStyle w:val="Fotnotstext"/>
      </w:pPr>
      <w:r>
        <w:rPr>
          <w:rStyle w:val="Fotnotsreferens"/>
        </w:rPr>
        <w:footnoteRef/>
      </w:r>
      <w:r>
        <w:t xml:space="preserve"> </w:t>
      </w:r>
      <w:r w:rsidR="00F92F6A">
        <w:t>Byggföretagen</w:t>
      </w:r>
      <w:r w:rsidR="00665938">
        <w:t xml:space="preserve"> (2024)</w:t>
      </w:r>
      <w:r w:rsidR="0013737C">
        <w:t>.</w:t>
      </w:r>
      <w:r w:rsidR="00F92F6A">
        <w:t xml:space="preserve"> </w:t>
      </w:r>
      <w:r w:rsidR="00F92F6A" w:rsidRPr="00665938">
        <w:rPr>
          <w:i/>
        </w:rPr>
        <w:t>Byggkonjunkturen #1 2024.</w:t>
      </w:r>
    </w:p>
  </w:footnote>
  <w:footnote w:id="33">
    <w:p w14:paraId="6CCB3486" w14:textId="75CA6539" w:rsidR="009344F0" w:rsidRDefault="009344F0">
      <w:pPr>
        <w:pStyle w:val="Fotnotstext"/>
      </w:pPr>
      <w:r>
        <w:rPr>
          <w:rStyle w:val="Fotnotsreferens"/>
        </w:rPr>
        <w:footnoteRef/>
      </w:r>
      <w:r>
        <w:t xml:space="preserve"> </w:t>
      </w:r>
      <w:r w:rsidR="00665938">
        <w:t>Arbetsförmedlingen (2024)</w:t>
      </w:r>
      <w:r w:rsidR="0013737C">
        <w:t>.</w:t>
      </w:r>
      <w:r w:rsidR="00665938">
        <w:t xml:space="preserve"> </w:t>
      </w:r>
      <w:r w:rsidR="00665938" w:rsidRPr="00665938">
        <w:rPr>
          <w:i/>
          <w:iCs/>
        </w:rPr>
        <w:t>Statistik om varsel</w:t>
      </w:r>
      <w:r w:rsidR="00665938">
        <w:t xml:space="preserve">. </w:t>
      </w:r>
      <w:r w:rsidR="00665938" w:rsidRPr="00886A24">
        <w:t>https://arbetsformedlingen.se/statistik/statistik-om-varsel</w:t>
      </w:r>
      <w:r w:rsidR="0013737C">
        <w:t>.</w:t>
      </w:r>
      <w:r w:rsidR="00665938">
        <w:t xml:space="preserve"> Hämtad </w:t>
      </w:r>
      <w:r w:rsidR="0013737C">
        <w:t xml:space="preserve">den 20 april </w:t>
      </w:r>
      <w:r w:rsidR="00665938">
        <w:t>2024.</w:t>
      </w:r>
    </w:p>
  </w:footnote>
  <w:footnote w:id="34">
    <w:p w14:paraId="6B58E0F9" w14:textId="0BB17730" w:rsidR="003E0582" w:rsidRDefault="003E0582">
      <w:pPr>
        <w:pStyle w:val="Fotnotstext"/>
      </w:pPr>
      <w:r>
        <w:rPr>
          <w:rStyle w:val="Fotnotsreferens"/>
        </w:rPr>
        <w:footnoteRef/>
      </w:r>
      <w:r>
        <w:t xml:space="preserve"> </w:t>
      </w:r>
      <w:r w:rsidR="00F92F6A">
        <w:t>Stockholms Handelskammare (2024)</w:t>
      </w:r>
      <w:r w:rsidR="00E2524A">
        <w:t>.</w:t>
      </w:r>
      <w:r w:rsidR="00F92F6A">
        <w:t xml:space="preserve"> </w:t>
      </w:r>
      <w:r w:rsidR="00F92F6A" w:rsidRPr="002948BC">
        <w:rPr>
          <w:i/>
        </w:rPr>
        <w:t>Notan för byggkrisen</w:t>
      </w:r>
      <w:r w:rsidR="00F92F6A">
        <w:t>.</w:t>
      </w:r>
    </w:p>
  </w:footnote>
  <w:footnote w:id="35">
    <w:p w14:paraId="0144B75B" w14:textId="639B0CD9" w:rsidR="003E0582" w:rsidRDefault="003E0582">
      <w:pPr>
        <w:pStyle w:val="Fotnotstext"/>
      </w:pPr>
      <w:r>
        <w:rPr>
          <w:rStyle w:val="Fotnotsreferens"/>
        </w:rPr>
        <w:footnoteRef/>
      </w:r>
      <w:r w:rsidR="00682A1D">
        <w:t xml:space="preserve"> Tillväxtanalys (2024)</w:t>
      </w:r>
      <w:r w:rsidR="00E2524A">
        <w:t>.</w:t>
      </w:r>
      <w:r w:rsidR="00682A1D">
        <w:t xml:space="preserve"> </w:t>
      </w:r>
      <w:r w:rsidR="00682A1D" w:rsidRPr="002948BC">
        <w:rPr>
          <w:i/>
        </w:rPr>
        <w:t>Konkurser och offentliga ackord 2023. Statistik 2024:02</w:t>
      </w:r>
      <w:r w:rsidR="00682A1D">
        <w:t>.</w:t>
      </w:r>
      <w:r w:rsidRPr="003E0582">
        <w:t xml:space="preserve"> </w:t>
      </w:r>
    </w:p>
  </w:footnote>
  <w:footnote w:id="36">
    <w:p w14:paraId="58B927E4" w14:textId="66FBB2D6" w:rsidR="003E0582" w:rsidRDefault="003E0582">
      <w:pPr>
        <w:pStyle w:val="Fotnotstext"/>
      </w:pPr>
      <w:r>
        <w:rPr>
          <w:rStyle w:val="Fotnotsreferens"/>
        </w:rPr>
        <w:footnoteRef/>
      </w:r>
      <w:r>
        <w:t xml:space="preserve"> </w:t>
      </w:r>
      <w:r w:rsidR="002948BC">
        <w:t>Stockholms Handelskammare (2024)</w:t>
      </w:r>
      <w:r w:rsidR="00E2524A">
        <w:t>.</w:t>
      </w:r>
      <w:r w:rsidR="002948BC">
        <w:t xml:space="preserve"> </w:t>
      </w:r>
      <w:r w:rsidR="002948BC" w:rsidRPr="002948BC">
        <w:rPr>
          <w:i/>
          <w:iCs/>
        </w:rPr>
        <w:t>Notan för byggkrisen</w:t>
      </w:r>
      <w:r w:rsidR="002948BC">
        <w:t>.</w:t>
      </w:r>
    </w:p>
  </w:footnote>
  <w:footnote w:id="37">
    <w:p w14:paraId="3FCD2586" w14:textId="228C0A1F" w:rsidR="0076441D" w:rsidRDefault="0076441D">
      <w:pPr>
        <w:pStyle w:val="Fotnotstext"/>
      </w:pPr>
      <w:r>
        <w:rPr>
          <w:rStyle w:val="Fotnotsreferens"/>
        </w:rPr>
        <w:footnoteRef/>
      </w:r>
      <w:r>
        <w:t xml:space="preserve"> Kommuninvest</w:t>
      </w:r>
      <w:r w:rsidR="00FD1244">
        <w:t xml:space="preserve"> (202</w:t>
      </w:r>
      <w:r w:rsidR="006D5FE3">
        <w:t>4</w:t>
      </w:r>
      <w:r w:rsidR="00FD1244">
        <w:t>)</w:t>
      </w:r>
      <w:r w:rsidR="00977E25">
        <w:t>.</w:t>
      </w:r>
      <w:r>
        <w:t xml:space="preserve"> </w:t>
      </w:r>
      <w:r w:rsidRPr="002948BC">
        <w:rPr>
          <w:i/>
        </w:rPr>
        <w:t>Den kommunala låneskulden</w:t>
      </w:r>
      <w:r w:rsidR="006D5FE3" w:rsidRPr="002948BC">
        <w:rPr>
          <w:i/>
        </w:rPr>
        <w:t xml:space="preserve"> 2023</w:t>
      </w:r>
      <w:r w:rsidR="006D5FE3">
        <w:t>.</w:t>
      </w:r>
      <w:r w:rsidRPr="0076441D">
        <w:t xml:space="preserve"> </w:t>
      </w:r>
    </w:p>
  </w:footnote>
  <w:footnote w:id="38">
    <w:p w14:paraId="52D98851" w14:textId="7162A393" w:rsidR="00046542" w:rsidRDefault="00046542">
      <w:pPr>
        <w:pStyle w:val="Fotnotstext"/>
      </w:pPr>
      <w:r>
        <w:rPr>
          <w:rStyle w:val="Fotnotsreferens"/>
        </w:rPr>
        <w:footnoteRef/>
      </w:r>
      <w:r>
        <w:t xml:space="preserve"> Boverket (2023)</w:t>
      </w:r>
      <w:r w:rsidR="00977E25">
        <w:t>.</w:t>
      </w:r>
      <w:r>
        <w:t xml:space="preserve"> </w:t>
      </w:r>
      <w:r w:rsidRPr="002948BC">
        <w:rPr>
          <w:i/>
        </w:rPr>
        <w:t>Byggprognos revidering oktober 2023</w:t>
      </w:r>
      <w:r w:rsidR="008A0F60">
        <w:t>.</w:t>
      </w:r>
    </w:p>
  </w:footnote>
  <w:footnote w:id="39">
    <w:p w14:paraId="39F777F3" w14:textId="2078591B" w:rsidR="00470579" w:rsidRDefault="00470579">
      <w:pPr>
        <w:pStyle w:val="Fotnotstext"/>
      </w:pPr>
      <w:r>
        <w:rPr>
          <w:rStyle w:val="Fotnotsreferens"/>
        </w:rPr>
        <w:footnoteRef/>
      </w:r>
      <w:r>
        <w:t xml:space="preserve"> </w:t>
      </w:r>
      <w:r w:rsidRPr="00470579">
        <w:t>Boverket (2020)</w:t>
      </w:r>
      <w:r w:rsidR="00977E25">
        <w:t>.</w:t>
      </w:r>
      <w:r w:rsidRPr="00470579">
        <w:t xml:space="preserve"> </w:t>
      </w:r>
      <w:r w:rsidRPr="002948BC">
        <w:rPr>
          <w:i/>
        </w:rPr>
        <w:t>Bygga om, bygga till eller bygga nytt – flera faktorer påverkar valet</w:t>
      </w:r>
      <w:r w:rsidR="008A0F60">
        <w:t>.</w:t>
      </w:r>
    </w:p>
  </w:footnote>
  <w:footnote w:id="40">
    <w:p w14:paraId="4C1F2DD0" w14:textId="304ED16D" w:rsidR="000D393C" w:rsidRDefault="000D393C" w:rsidP="000D393C">
      <w:pPr>
        <w:pStyle w:val="Fotnotstext"/>
      </w:pPr>
      <w:r>
        <w:rPr>
          <w:rStyle w:val="Fotnotsreferens"/>
        </w:rPr>
        <w:footnoteRef/>
      </w:r>
      <w:r>
        <w:t xml:space="preserve"> Svenskt Vatten</w:t>
      </w:r>
      <w:r w:rsidR="00CD3412">
        <w:t xml:space="preserve"> (2023)</w:t>
      </w:r>
      <w:r w:rsidR="00977E25">
        <w:t>.</w:t>
      </w:r>
      <w:r>
        <w:t xml:space="preserve"> </w:t>
      </w:r>
      <w:r w:rsidRPr="002948BC">
        <w:rPr>
          <w:i/>
        </w:rPr>
        <w:t>Investeringsbehov och framtida kostnader för kommunalt vatten och avlopp – en analys av investeringsbehov 2022–2040</w:t>
      </w:r>
      <w:r w:rsidR="008A0F60">
        <w:t>.</w:t>
      </w:r>
    </w:p>
  </w:footnote>
  <w:footnote w:id="41">
    <w:p w14:paraId="77A033D5" w14:textId="3A581CAD" w:rsidR="00EC67FC" w:rsidRDefault="00EC67FC">
      <w:pPr>
        <w:pStyle w:val="Fotnotstext"/>
      </w:pPr>
      <w:r>
        <w:rPr>
          <w:rStyle w:val="Fotnotsreferens"/>
        </w:rPr>
        <w:footnoteRef/>
      </w:r>
      <w:r>
        <w:t xml:space="preserve"> SKR</w:t>
      </w:r>
      <w:r w:rsidR="00EA728B">
        <w:t xml:space="preserve"> (2023)</w:t>
      </w:r>
      <w:r w:rsidR="00536A75">
        <w:t>.</w:t>
      </w:r>
      <w:r>
        <w:t xml:space="preserve"> </w:t>
      </w:r>
      <w:r w:rsidRPr="002948BC">
        <w:rPr>
          <w:i/>
        </w:rPr>
        <w:t>Ekonomirapporten 2023</w:t>
      </w:r>
      <w:r w:rsidR="002948BC">
        <w:rPr>
          <w:i/>
          <w:iCs/>
        </w:rPr>
        <w:t>.</w:t>
      </w:r>
    </w:p>
  </w:footnote>
  <w:footnote w:id="42">
    <w:p w14:paraId="5ADB6589" w14:textId="78392A17" w:rsidR="003A1258" w:rsidRDefault="003A1258" w:rsidP="003A1258">
      <w:pPr>
        <w:pStyle w:val="Fotnotstext"/>
      </w:pPr>
      <w:r>
        <w:rPr>
          <w:rStyle w:val="Fotnotsreferens"/>
        </w:rPr>
        <w:footnoteRef/>
      </w:r>
      <w:r>
        <w:t xml:space="preserve"> SKR</w:t>
      </w:r>
      <w:r w:rsidR="00470579">
        <w:t xml:space="preserve"> (2020)</w:t>
      </w:r>
      <w:r w:rsidR="00536A75">
        <w:t>.</w:t>
      </w:r>
      <w:r>
        <w:t xml:space="preserve"> </w:t>
      </w:r>
      <w:r w:rsidRPr="002948BC">
        <w:rPr>
          <w:i/>
        </w:rPr>
        <w:t xml:space="preserve">Hemställan – Staten måste öka och förbättra sitt stöd till klimatanpassning i kommuner och regioner, </w:t>
      </w:r>
      <w:r w:rsidRPr="002948BC">
        <w:rPr>
          <w:i/>
        </w:rPr>
        <w:t>ärendenr: 19/01550</w:t>
      </w:r>
      <w:r w:rsidR="002948BC">
        <w:rPr>
          <w:i/>
          <w:iCs/>
        </w:rPr>
        <w:t>.</w:t>
      </w:r>
    </w:p>
  </w:footnote>
  <w:footnote w:id="43">
    <w:p w14:paraId="5DE8F4A0" w14:textId="4410B54F" w:rsidR="003A1258" w:rsidRDefault="003A1258">
      <w:pPr>
        <w:pStyle w:val="Fotnotstext"/>
      </w:pPr>
      <w:r>
        <w:rPr>
          <w:rStyle w:val="Fotnotsreferens"/>
        </w:rPr>
        <w:footnoteRef/>
      </w:r>
      <w:r>
        <w:t xml:space="preserve"> </w:t>
      </w:r>
      <w:r w:rsidR="00EA728B" w:rsidRPr="003A1258">
        <w:t>SOU 2017:42</w:t>
      </w:r>
      <w:r>
        <w:t xml:space="preserve"> </w:t>
      </w:r>
      <w:r w:rsidRPr="002948BC">
        <w:rPr>
          <w:i/>
        </w:rPr>
        <w:t>Betänkande av Klimatanpassningsutredningen</w:t>
      </w:r>
      <w:r>
        <w:t xml:space="preserve">. </w:t>
      </w:r>
    </w:p>
  </w:footnote>
  <w:footnote w:id="44">
    <w:p w14:paraId="0BC97DF8" w14:textId="1047F221" w:rsidR="003A1258" w:rsidRDefault="003A1258">
      <w:pPr>
        <w:pStyle w:val="Fotnotstext"/>
      </w:pPr>
      <w:r>
        <w:rPr>
          <w:rStyle w:val="Fotnotsreferens"/>
        </w:rPr>
        <w:footnoteRef/>
      </w:r>
      <w:r>
        <w:t xml:space="preserve"> Svenska </w:t>
      </w:r>
      <w:r w:rsidR="000214CD">
        <w:t>M</w:t>
      </w:r>
      <w:r>
        <w:t>iljöinstitutet</w:t>
      </w:r>
      <w:r w:rsidR="00A3572E">
        <w:t xml:space="preserve"> (2023)</w:t>
      </w:r>
      <w:r w:rsidR="00536A75">
        <w:t>.</w:t>
      </w:r>
      <w:r>
        <w:t xml:space="preserve"> </w:t>
      </w:r>
      <w:r w:rsidRPr="002948BC">
        <w:rPr>
          <w:i/>
        </w:rPr>
        <w:t>Klimatanpassning 2023</w:t>
      </w:r>
      <w:r w:rsidR="00536A75">
        <w:rPr>
          <w:i/>
        </w:rPr>
        <w:t xml:space="preserve"> –</w:t>
      </w:r>
      <w:r w:rsidRPr="002948BC">
        <w:rPr>
          <w:i/>
        </w:rPr>
        <w:t xml:space="preserve"> så långt har Sveriges kommuner kommit</w:t>
      </w:r>
      <w:r w:rsidR="002948BC">
        <w:rPr>
          <w:i/>
          <w:iCs/>
        </w:rPr>
        <w:t>.</w:t>
      </w:r>
    </w:p>
  </w:footnote>
  <w:footnote w:id="45">
    <w:p w14:paraId="273129CE" w14:textId="2BB8A38A" w:rsidR="00FE0F8D" w:rsidRDefault="00FE0F8D" w:rsidP="00FE0F8D">
      <w:pPr>
        <w:pStyle w:val="Fotnotstext"/>
      </w:pPr>
      <w:r>
        <w:rPr>
          <w:rStyle w:val="Fotnotsreferens"/>
        </w:rPr>
        <w:footnoteRef/>
      </w:r>
      <w:r>
        <w:t xml:space="preserve"> SKR (2016)</w:t>
      </w:r>
      <w:r w:rsidR="000214CD">
        <w:t>.</w:t>
      </w:r>
      <w:r>
        <w:t xml:space="preserve"> </w:t>
      </w:r>
      <w:r w:rsidRPr="002948BC">
        <w:rPr>
          <w:i/>
        </w:rPr>
        <w:t xml:space="preserve">Skulden till underhåll </w:t>
      </w:r>
      <w:r w:rsidR="002D0AE3">
        <w:rPr>
          <w:i/>
        </w:rPr>
        <w:t xml:space="preserve">– </w:t>
      </w:r>
      <w:r w:rsidRPr="002948BC">
        <w:rPr>
          <w:i/>
        </w:rPr>
        <w:t>Det kommunala underhållsbehovet för gator, broar och belysning</w:t>
      </w:r>
      <w:r>
        <w:t>.</w:t>
      </w:r>
    </w:p>
  </w:footnote>
  <w:footnote w:id="46">
    <w:p w14:paraId="675FB8DE" w14:textId="2CD6C063" w:rsidR="00D566AD" w:rsidRDefault="00D566AD">
      <w:pPr>
        <w:pStyle w:val="Fotnotstext"/>
      </w:pPr>
      <w:r>
        <w:rPr>
          <w:rStyle w:val="Fotnotsreferens"/>
        </w:rPr>
        <w:footnoteRef/>
      </w:r>
      <w:r>
        <w:t xml:space="preserve"> Trafikverket (2023)</w:t>
      </w:r>
      <w:r w:rsidR="002D0AE3">
        <w:t>.</w:t>
      </w:r>
      <w:r>
        <w:t xml:space="preserve"> </w:t>
      </w:r>
      <w:r w:rsidRPr="002948BC">
        <w:rPr>
          <w:i/>
        </w:rPr>
        <w:t>Inriktningsunderlag för infrastrukturplaneringen – för perioden 2026–2037</w:t>
      </w:r>
      <w:r>
        <w:t>.</w:t>
      </w:r>
    </w:p>
  </w:footnote>
  <w:footnote w:id="47">
    <w:p w14:paraId="1CDCEB9D" w14:textId="27D4AC23" w:rsidR="006503CC" w:rsidRDefault="006503CC">
      <w:pPr>
        <w:pStyle w:val="Fotnotstext"/>
      </w:pPr>
      <w:r>
        <w:rPr>
          <w:rStyle w:val="Fotnotsreferens"/>
        </w:rPr>
        <w:footnoteRef/>
      </w:r>
      <w:r>
        <w:t xml:space="preserve"> </w:t>
      </w:r>
      <w:r w:rsidR="002948BC">
        <w:t>SCB (2023)</w:t>
      </w:r>
      <w:r w:rsidR="00D83268">
        <w:t>.</w:t>
      </w:r>
      <w:r w:rsidR="002948BC">
        <w:t xml:space="preserve"> </w:t>
      </w:r>
      <w:r w:rsidR="002948BC" w:rsidRPr="002948BC">
        <w:rPr>
          <w:i/>
          <w:iCs/>
        </w:rPr>
        <w:t>Hälften av alla ensamstående föräldrar saknar kontantmarginal</w:t>
      </w:r>
      <w:r w:rsidR="002948BC">
        <w:t xml:space="preserve">. </w:t>
      </w:r>
      <w:r w:rsidR="002948BC" w:rsidRPr="00886A24">
        <w:t>https://www.scb.se/pressmeddelande/halften-av-alla-ensamstaende-foraldrar-saknar-kontantmarginal/</w:t>
      </w:r>
      <w:r w:rsidR="00D83268">
        <w:t>.</w:t>
      </w:r>
      <w:r w:rsidR="002948BC">
        <w:t xml:space="preserve"> Hämtad </w:t>
      </w:r>
      <w:r w:rsidR="00D83268">
        <w:t xml:space="preserve">den 24 april </w:t>
      </w:r>
      <w:r w:rsidR="002948BC">
        <w:t xml:space="preserve">2024. </w:t>
      </w:r>
    </w:p>
  </w:footnote>
  <w:footnote w:id="48">
    <w:p w14:paraId="65C5C9ED" w14:textId="0DDA1104" w:rsidR="00384072" w:rsidRDefault="00384072">
      <w:pPr>
        <w:pStyle w:val="Fotnotstext"/>
      </w:pPr>
      <w:r>
        <w:rPr>
          <w:rStyle w:val="Fotnotsreferens"/>
        </w:rPr>
        <w:footnoteRef/>
      </w:r>
      <w:r>
        <w:t xml:space="preserve"> </w:t>
      </w:r>
      <w:r w:rsidR="00925F35">
        <w:t>Hyresgästföreningen m.fl. (2024)</w:t>
      </w:r>
      <w:r w:rsidR="00235AAE">
        <w:t>.</w:t>
      </w:r>
      <w:r w:rsidR="00925F35">
        <w:t xml:space="preserve"> </w:t>
      </w:r>
      <w:r w:rsidR="00925F35" w:rsidRPr="00925F35">
        <w:rPr>
          <w:i/>
          <w:iCs/>
        </w:rPr>
        <w:t>Barnfamiljers ekonomiska svårigheter 2024</w:t>
      </w:r>
      <w:r w:rsidR="00925F35">
        <w:t xml:space="preserve">. </w:t>
      </w:r>
    </w:p>
  </w:footnote>
  <w:footnote w:id="49">
    <w:p w14:paraId="41ADE01C" w14:textId="6BEA74DC" w:rsidR="00632D2A" w:rsidRDefault="00632D2A">
      <w:pPr>
        <w:pStyle w:val="Fotnotstext"/>
      </w:pPr>
      <w:r>
        <w:rPr>
          <w:rStyle w:val="Fotnotsreferens"/>
        </w:rPr>
        <w:footnoteRef/>
      </w:r>
      <w:r w:rsidR="00235AAE">
        <w:t xml:space="preserve"> </w:t>
      </w:r>
      <w:r w:rsidR="00235AAE" w:rsidRPr="00235AAE">
        <w:t>Vänsterpartiet (2023)</w:t>
      </w:r>
      <w:r w:rsidR="002B37E0">
        <w:t>.</w:t>
      </w:r>
      <w:r w:rsidR="00235AAE" w:rsidRPr="00235AAE">
        <w:t xml:space="preserve"> </w:t>
      </w:r>
      <w:r w:rsidR="00235AAE" w:rsidRPr="00235AAE">
        <w:rPr>
          <w:i/>
          <w:iCs/>
        </w:rPr>
        <w:t>Billigare mat med lagstiftning mot överpriserna</w:t>
      </w:r>
      <w:r w:rsidR="00235AAE" w:rsidRPr="00235AAE">
        <w:t>.</w:t>
      </w:r>
      <w:r w:rsidR="00235AAE">
        <w:t xml:space="preserve"> </w:t>
      </w:r>
      <w:r w:rsidR="00235AAE" w:rsidRPr="00886A24">
        <w:t>https:/www.vansterpartiet.se/nyheter/billigare-mat-med-lagstiftning-mot-overpriserna/</w:t>
      </w:r>
      <w:r w:rsidR="002B37E0">
        <w:t>.</w:t>
      </w:r>
      <w:r w:rsidR="00235AAE">
        <w:t xml:space="preserve"> </w:t>
      </w:r>
      <w:r w:rsidR="007933C4">
        <w:t xml:space="preserve">Hämtad </w:t>
      </w:r>
      <w:r w:rsidR="002B37E0">
        <w:t xml:space="preserve">den 24 april </w:t>
      </w:r>
      <w:r w:rsidR="007933C4">
        <w:t>2024.</w:t>
      </w:r>
    </w:p>
  </w:footnote>
  <w:footnote w:id="50">
    <w:p w14:paraId="3D417871" w14:textId="3EBF9475" w:rsidR="00B275B7" w:rsidRDefault="00B275B7" w:rsidP="00235AAE">
      <w:pPr>
        <w:pStyle w:val="Fotnotstext"/>
      </w:pPr>
      <w:r>
        <w:rPr>
          <w:rStyle w:val="Fotnotsreferens"/>
        </w:rPr>
        <w:footnoteRef/>
      </w:r>
      <w:r w:rsidR="00235AAE">
        <w:t xml:space="preserve"> Vänsterpartiet (2023)</w:t>
      </w:r>
      <w:r w:rsidR="002B37E0">
        <w:t>.</w:t>
      </w:r>
      <w:r w:rsidR="00235AAE">
        <w:t xml:space="preserve"> </w:t>
      </w:r>
      <w:r w:rsidR="00235AAE" w:rsidRPr="00235AAE">
        <w:rPr>
          <w:i/>
          <w:iCs/>
        </w:rPr>
        <w:t>Använd statens bank för att sänka boräntorna</w:t>
      </w:r>
      <w:r w:rsidR="00235AAE">
        <w:t>.</w:t>
      </w:r>
      <w:r>
        <w:t xml:space="preserve"> </w:t>
      </w:r>
      <w:r w:rsidR="00235AAE" w:rsidRPr="00886A24">
        <w:t>https://www.vansterpartiet.se/nyheter/anvand-statens-bank-for-att-sanka-borantorna/</w:t>
      </w:r>
      <w:r w:rsidR="002B37E0">
        <w:t>.</w:t>
      </w:r>
      <w:r w:rsidR="00235AAE">
        <w:t xml:space="preserve"> </w:t>
      </w:r>
      <w:r w:rsidR="007933C4">
        <w:t xml:space="preserve">Hämtad </w:t>
      </w:r>
      <w:r w:rsidR="002B37E0">
        <w:t xml:space="preserve">den 24 april </w:t>
      </w:r>
      <w:r w:rsidR="007933C4">
        <w:t>2024.</w:t>
      </w:r>
    </w:p>
  </w:footnote>
  <w:footnote w:id="51">
    <w:p w14:paraId="01468D10" w14:textId="24283BEF" w:rsidR="00B275B7" w:rsidRDefault="00B275B7">
      <w:pPr>
        <w:pStyle w:val="Fotnotstext"/>
      </w:pPr>
      <w:r>
        <w:rPr>
          <w:rStyle w:val="Fotnotsreferens"/>
        </w:rPr>
        <w:footnoteRef/>
      </w:r>
      <w:r>
        <w:t xml:space="preserve"> </w:t>
      </w:r>
      <w:r w:rsidR="00235AAE">
        <w:t>Vänsterpartiet (2023)</w:t>
      </w:r>
      <w:r w:rsidR="002B37E0">
        <w:t>.</w:t>
      </w:r>
      <w:r w:rsidR="00235AAE">
        <w:t xml:space="preserve"> Rädda välfärden – för ett tryggare Sverige (mot. </w:t>
      </w:r>
      <w:r w:rsidR="00235AAE" w:rsidRPr="007430F0">
        <w:t>2023/24:2385</w:t>
      </w:r>
      <w:r w:rsidR="00235AAE">
        <w:t xml:space="preserve">). </w:t>
      </w:r>
    </w:p>
  </w:footnote>
  <w:footnote w:id="52">
    <w:p w14:paraId="17D360C4" w14:textId="64830F58" w:rsidR="00560B38" w:rsidRDefault="00560B38">
      <w:pPr>
        <w:pStyle w:val="Fotnotstext"/>
      </w:pPr>
      <w:r>
        <w:rPr>
          <w:rStyle w:val="Fotnotsreferens"/>
        </w:rPr>
        <w:footnoteRef/>
      </w:r>
      <w:r>
        <w:t xml:space="preserve"> Individer i </w:t>
      </w:r>
      <w:r>
        <w:t>inkomstdecil 6 har inkomster efter skatt och ersättningar mellan ca 310</w:t>
      </w:r>
      <w:r w:rsidR="00F66BAB">
        <w:t> </w:t>
      </w:r>
      <w:r>
        <w:t>000</w:t>
      </w:r>
      <w:r w:rsidR="00F66BAB">
        <w:t xml:space="preserve"> och </w:t>
      </w:r>
      <w:r>
        <w:t>350 000 kronor. I inkoms</w:t>
      </w:r>
      <w:r w:rsidR="00015CB5">
        <w:t>t</w:t>
      </w:r>
      <w:r>
        <w:t>decil 10 är de disponibla inkomsterna 570 000 kronor och uppåt.</w:t>
      </w:r>
    </w:p>
  </w:footnote>
  <w:footnote w:id="53">
    <w:p w14:paraId="5B6C88CC" w14:textId="74180DAF" w:rsidR="00F2421B" w:rsidRDefault="00F2421B" w:rsidP="00F2421B">
      <w:pPr>
        <w:pStyle w:val="Fotnotstext"/>
      </w:pPr>
      <w:r>
        <w:rPr>
          <w:rStyle w:val="Fotnotsreferens"/>
        </w:rPr>
        <w:footnoteRef/>
      </w:r>
      <w:r>
        <w:t xml:space="preserve"> SCB (2024)</w:t>
      </w:r>
      <w:r w:rsidR="00E905A7">
        <w:t>.</w:t>
      </w:r>
      <w:r>
        <w:t xml:space="preserve"> </w:t>
      </w:r>
      <w:r w:rsidRPr="00722E25">
        <w:rPr>
          <w:i/>
          <w:iCs/>
        </w:rPr>
        <w:t xml:space="preserve">Växthusgasutsläppen från Sveriges ekonomi minskar med 3 procent 2022. </w:t>
      </w:r>
      <w:r w:rsidRPr="00886A24">
        <w:t>https://www.scb.se/hitta-statistik/statistik-efter-amne/miljo/miljoekonomi-och-hallbar-utveckling/miljorakenskaper/pong/statistiknyhet/utslapp-till-luft-2022/</w:t>
      </w:r>
      <w:r w:rsidR="00E905A7">
        <w:t>.</w:t>
      </w:r>
      <w:r>
        <w:t xml:space="preserve"> Hämtad</w:t>
      </w:r>
      <w:r w:rsidR="00E905A7">
        <w:t xml:space="preserve"> den 15 april</w:t>
      </w:r>
      <w:r>
        <w:t xml:space="preserve"> </w:t>
      </w:r>
      <w:r w:rsidR="00E905A7">
        <w:t>20</w:t>
      </w:r>
      <w:r>
        <w:t xml:space="preserve">24. </w:t>
      </w:r>
    </w:p>
  </w:footnote>
  <w:footnote w:id="54">
    <w:p w14:paraId="5FE28F6A" w14:textId="5DBF63A4" w:rsidR="00480FA4" w:rsidRDefault="00480FA4" w:rsidP="00480FA4">
      <w:pPr>
        <w:pStyle w:val="Fotnotstext"/>
      </w:pPr>
      <w:r>
        <w:rPr>
          <w:rStyle w:val="Fotnotsreferens"/>
        </w:rPr>
        <w:footnoteRef/>
      </w:r>
      <w:r>
        <w:t xml:space="preserve"> </w:t>
      </w:r>
      <w:r w:rsidR="001560D6">
        <w:t>E</w:t>
      </w:r>
      <w:r w:rsidR="00722E25">
        <w:t>nergi</w:t>
      </w:r>
      <w:r w:rsidR="001560D6">
        <w:t>marknadsinspektionen</w:t>
      </w:r>
      <w:r w:rsidR="00015CB5">
        <w:t xml:space="preserve"> (2024)</w:t>
      </w:r>
      <w:r w:rsidR="00E905A7">
        <w:t>.</w:t>
      </w:r>
      <w:r w:rsidR="00015CB5">
        <w:t xml:space="preserve"> </w:t>
      </w:r>
      <w:r w:rsidR="00015CB5" w:rsidRPr="00015CB5">
        <w:rPr>
          <w:i/>
          <w:iCs/>
        </w:rPr>
        <w:t>Nu har E</w:t>
      </w:r>
      <w:r w:rsidR="00B00A8A">
        <w:rPr>
          <w:i/>
          <w:iCs/>
        </w:rPr>
        <w:t>I</w:t>
      </w:r>
      <w:r w:rsidR="00015CB5" w:rsidRPr="00015CB5">
        <w:rPr>
          <w:i/>
          <w:iCs/>
        </w:rPr>
        <w:t xml:space="preserve"> beslutat om elnätsföretagens intäktsramar för perioden 2024–2027</w:t>
      </w:r>
      <w:r w:rsidR="00015CB5">
        <w:t>.</w:t>
      </w:r>
      <w:r w:rsidR="001560D6">
        <w:t xml:space="preserve"> </w:t>
      </w:r>
      <w:r w:rsidR="001560D6" w:rsidRPr="00886A24">
        <w:t>https://ei.se/om-oss/nyheter/2024/2024-04-03-nu-har-ei-beslutat-om-elnatsforetagens-intaktsramar-for-perioden-2024-2027</w:t>
      </w:r>
      <w:r w:rsidR="00E905A7">
        <w:t>.</w:t>
      </w:r>
      <w:r>
        <w:t xml:space="preserve"> </w:t>
      </w:r>
      <w:r w:rsidR="001560D6">
        <w:t xml:space="preserve">Hämtad </w:t>
      </w:r>
      <w:r w:rsidR="00E905A7">
        <w:t>den 22 april 20</w:t>
      </w:r>
      <w:r w:rsidR="001560D6">
        <w:t>24.</w:t>
      </w:r>
    </w:p>
  </w:footnote>
  <w:footnote w:id="55">
    <w:p w14:paraId="11A4D1D1" w14:textId="68B6EA5F" w:rsidR="00480FA4" w:rsidRDefault="00480FA4" w:rsidP="00480FA4">
      <w:pPr>
        <w:pStyle w:val="Fotnotstext"/>
      </w:pPr>
      <w:r>
        <w:rPr>
          <w:rStyle w:val="Fotnotsreferens"/>
        </w:rPr>
        <w:footnoteRef/>
      </w:r>
      <w:r w:rsidR="00722E25">
        <w:t>Energimarknadsinspektionen (2024)</w:t>
      </w:r>
      <w:r w:rsidR="00E905A7">
        <w:t>.</w:t>
      </w:r>
      <w:r w:rsidR="00722E25" w:rsidRPr="00722E25">
        <w:rPr>
          <w:i/>
          <w:iCs/>
        </w:rPr>
        <w:t xml:space="preserve"> Elmarknaden</w:t>
      </w:r>
      <w:r w:rsidR="00722E25">
        <w:t>.</w:t>
      </w:r>
      <w:r>
        <w:t xml:space="preserve"> </w:t>
      </w:r>
      <w:r w:rsidR="001560D6" w:rsidRPr="00886A24">
        <w:t>https://ei.se/konsument/el/elmarknaden</w:t>
      </w:r>
      <w:r w:rsidR="00E905A7">
        <w:t>.</w:t>
      </w:r>
      <w:r w:rsidR="001560D6">
        <w:t xml:space="preserve"> </w:t>
      </w:r>
      <w:r w:rsidR="00206533">
        <w:t>(</w:t>
      </w:r>
      <w:r w:rsidR="001560D6" w:rsidRPr="001560D6">
        <w:t xml:space="preserve">Hämtad </w:t>
      </w:r>
      <w:r w:rsidR="00206533">
        <w:t>20-04-22.)</w:t>
      </w:r>
    </w:p>
  </w:footnote>
  <w:footnote w:id="56">
    <w:p w14:paraId="7C843474" w14:textId="1E13B3F1" w:rsidR="00480FA4" w:rsidRDefault="00480FA4" w:rsidP="00480FA4">
      <w:pPr>
        <w:pStyle w:val="Fotnotstext"/>
      </w:pPr>
      <w:r>
        <w:rPr>
          <w:rStyle w:val="Fotnotsreferens"/>
        </w:rPr>
        <w:footnoteRef/>
      </w:r>
      <w:r w:rsidR="00722E25">
        <w:t xml:space="preserve"> Fröberg, J</w:t>
      </w:r>
      <w:r w:rsidR="00E905A7">
        <w:t>.</w:t>
      </w:r>
      <w:r w:rsidR="00722E25">
        <w:t xml:space="preserve"> &amp; </w:t>
      </w:r>
      <w:r w:rsidR="00722E25">
        <w:t>Björkland, S. (2023)</w:t>
      </w:r>
      <w:r w:rsidR="00E905A7">
        <w:t>.</w:t>
      </w:r>
      <w:r w:rsidR="00722E25">
        <w:t xml:space="preserve"> </w:t>
      </w:r>
      <w:r w:rsidR="00722E25" w:rsidRPr="00722E25">
        <w:t>Mitt i elkrisen: Elbolag höjer nätavgifterna – myndigheterna maktlösa</w:t>
      </w:r>
      <w:r w:rsidR="00722E25">
        <w:t xml:space="preserve">. </w:t>
      </w:r>
      <w:r w:rsidR="00722E25" w:rsidRPr="00722E25">
        <w:rPr>
          <w:i/>
          <w:iCs/>
        </w:rPr>
        <w:t>Dagens nyheter</w:t>
      </w:r>
      <w:r w:rsidR="00E905A7">
        <w:t>, den</w:t>
      </w:r>
      <w:r w:rsidR="00722E25">
        <w:t xml:space="preserve"> 31 januari, uppdaterad </w:t>
      </w:r>
      <w:r w:rsidR="00E905A7">
        <w:t xml:space="preserve">den </w:t>
      </w:r>
      <w:r w:rsidR="00722E25">
        <w:t>24 mars.</w:t>
      </w:r>
      <w:r>
        <w:t xml:space="preserve"> </w:t>
      </w:r>
      <w:r w:rsidRPr="00886A24">
        <w:t>https://www.dn.se/ekonomi/mitt-i-elkrisen-elbolag-hojer-natavgifterna-myndigheterna-maktlosa/</w:t>
      </w:r>
      <w:r w:rsidR="00E905A7">
        <w:t>.</w:t>
      </w:r>
      <w:r>
        <w:t xml:space="preserve"> </w:t>
      </w:r>
      <w:r w:rsidR="00722E25">
        <w:t xml:space="preserve">Hämtad </w:t>
      </w:r>
      <w:r w:rsidR="00E905A7">
        <w:t>den 15 april 20</w:t>
      </w:r>
      <w:r w:rsidR="00722E25">
        <w:t>24</w:t>
      </w:r>
      <w:r w:rsidR="001560D6">
        <w:t>.</w:t>
      </w:r>
      <w:r w:rsidR="00DB18D4" w:rsidRPr="00DB18D4">
        <w:t xml:space="preserve"> </w:t>
      </w:r>
    </w:p>
  </w:footnote>
  <w:footnote w:id="57">
    <w:p w14:paraId="76DD4DAF" w14:textId="45EE1832" w:rsidR="00480FA4" w:rsidRDefault="00480FA4">
      <w:pPr>
        <w:pStyle w:val="Fotnotstext"/>
      </w:pPr>
      <w:r>
        <w:rPr>
          <w:rStyle w:val="Fotnotsreferens"/>
        </w:rPr>
        <w:footnoteRef/>
      </w:r>
      <w:r>
        <w:t xml:space="preserve"> </w:t>
      </w:r>
      <w:r w:rsidR="00431B9A">
        <w:t>Nils Holgersson</w:t>
      </w:r>
      <w:r w:rsidR="00E905A7">
        <w:t>-g</w:t>
      </w:r>
      <w:r w:rsidR="00431B9A">
        <w:t>ruppen (2023)</w:t>
      </w:r>
      <w:r w:rsidR="00E905A7">
        <w:t>.</w:t>
      </w:r>
      <w:r w:rsidR="00431B9A">
        <w:t xml:space="preserve"> </w:t>
      </w:r>
      <w:r w:rsidR="00DB18D4" w:rsidRPr="00431B9A">
        <w:rPr>
          <w:i/>
        </w:rPr>
        <w:t>Nils Holgersson</w:t>
      </w:r>
      <w:r w:rsidR="00E905A7">
        <w:rPr>
          <w:i/>
        </w:rPr>
        <w:t>-</w:t>
      </w:r>
      <w:r w:rsidR="00DB18D4" w:rsidRPr="00431B9A">
        <w:rPr>
          <w:i/>
        </w:rPr>
        <w:t>rapporten 2023</w:t>
      </w:r>
      <w:r w:rsidR="00DB18D4">
        <w:t>.</w:t>
      </w:r>
    </w:p>
  </w:footnote>
  <w:footnote w:id="58">
    <w:p w14:paraId="22FA230B" w14:textId="137F81BF" w:rsidR="00480FA4" w:rsidRDefault="00480FA4" w:rsidP="00480FA4">
      <w:pPr>
        <w:pStyle w:val="Fotnotstext"/>
      </w:pPr>
      <w:r>
        <w:rPr>
          <w:rStyle w:val="Fotnotsreferens"/>
        </w:rPr>
        <w:footnoteRef/>
      </w:r>
      <w:r w:rsidR="00431B9A">
        <w:t xml:space="preserve"> Fröberg, J</w:t>
      </w:r>
      <w:r w:rsidR="00206533">
        <w:t>.</w:t>
      </w:r>
      <w:r w:rsidR="00431B9A">
        <w:t xml:space="preserve"> (2024)</w:t>
      </w:r>
      <w:r w:rsidR="00206533">
        <w:t>.</w:t>
      </w:r>
      <w:r w:rsidR="00431B9A">
        <w:t xml:space="preserve"> Elnätsbolagen hotar med höjda avgifter. </w:t>
      </w:r>
      <w:r w:rsidR="00431B9A" w:rsidRPr="00555EDC">
        <w:rPr>
          <w:i/>
          <w:iCs/>
        </w:rPr>
        <w:t>Dagens Nyheter</w:t>
      </w:r>
      <w:r w:rsidR="00206533">
        <w:t>, den</w:t>
      </w:r>
      <w:r w:rsidR="00431B9A">
        <w:t xml:space="preserve"> 25 mars.</w:t>
      </w:r>
      <w:r>
        <w:t xml:space="preserve"> </w:t>
      </w:r>
      <w:r w:rsidRPr="00886A24">
        <w:t>https://www.dn.se/ekonomi/elnatsbolagen-hotar-med-hojda-avgifter/</w:t>
      </w:r>
      <w:r w:rsidR="00206533">
        <w:t>.</w:t>
      </w:r>
      <w:r>
        <w:t xml:space="preserve"> </w:t>
      </w:r>
      <w:r w:rsidR="00431B9A">
        <w:t>(Hämtad 24-24-15</w:t>
      </w:r>
      <w:r w:rsidR="00206533">
        <w:t>.</w:t>
      </w:r>
      <w:r w:rsidR="00431B9A">
        <w:t xml:space="preserve">) </w:t>
      </w:r>
    </w:p>
  </w:footnote>
  <w:footnote w:id="59">
    <w:p w14:paraId="711F2932" w14:textId="433E2A99" w:rsidR="00480FA4" w:rsidRDefault="00480FA4" w:rsidP="00480FA4">
      <w:pPr>
        <w:pStyle w:val="Fotnotstext"/>
      </w:pPr>
      <w:r>
        <w:rPr>
          <w:rStyle w:val="Fotnotsreferens"/>
        </w:rPr>
        <w:footnoteRef/>
      </w:r>
      <w:r w:rsidR="00D70787">
        <w:t xml:space="preserve"> </w:t>
      </w:r>
      <w:r w:rsidR="00D70787" w:rsidRPr="00D70787">
        <w:t>SOU 2023:64</w:t>
      </w:r>
      <w:r w:rsidR="00D70787">
        <w:t xml:space="preserve"> </w:t>
      </w:r>
      <w:r w:rsidR="00D70787" w:rsidRPr="00D70787">
        <w:rPr>
          <w:i/>
          <w:iCs/>
        </w:rPr>
        <w:t>Ett förändrat regelverk för framtidens el- och gasnät.</w:t>
      </w:r>
    </w:p>
  </w:footnote>
  <w:footnote w:id="60">
    <w:p w14:paraId="537C58F3" w14:textId="6E281BAC" w:rsidR="00480FA4" w:rsidRDefault="00480FA4" w:rsidP="00480FA4">
      <w:pPr>
        <w:pStyle w:val="Fotnotstext"/>
      </w:pPr>
      <w:r>
        <w:rPr>
          <w:rStyle w:val="Fotnotsreferens"/>
        </w:rPr>
        <w:footnoteRef/>
      </w:r>
      <w:r w:rsidR="00D70787">
        <w:t xml:space="preserve"> Fröberg</w:t>
      </w:r>
      <w:r w:rsidR="00BE6CD4">
        <w:t>,</w:t>
      </w:r>
      <w:r w:rsidR="00D70787">
        <w:t xml:space="preserve"> J</w:t>
      </w:r>
      <w:r w:rsidR="00BE6CD4">
        <w:t>.</w:t>
      </w:r>
      <w:r w:rsidR="00D70787">
        <w:t xml:space="preserve"> &amp; </w:t>
      </w:r>
      <w:r w:rsidR="00D70787">
        <w:t>Björkland, S. (2023)</w:t>
      </w:r>
      <w:r w:rsidR="00BE6CD4">
        <w:t>.</w:t>
      </w:r>
      <w:r w:rsidR="00D70787">
        <w:t xml:space="preserve"> </w:t>
      </w:r>
      <w:r w:rsidR="00D70787" w:rsidRPr="00D70787">
        <w:t>Elnätsbolagen skyller höjda priser på utbyggnad – men miljarder går till ägarna</w:t>
      </w:r>
      <w:r w:rsidR="00D70787">
        <w:t xml:space="preserve">. </w:t>
      </w:r>
      <w:r w:rsidR="00D70787" w:rsidRPr="00D70787">
        <w:rPr>
          <w:i/>
          <w:iCs/>
        </w:rPr>
        <w:t>Dagens Nyheter</w:t>
      </w:r>
      <w:r w:rsidR="00BE6CD4">
        <w:t>,</w:t>
      </w:r>
      <w:r w:rsidR="00D70787">
        <w:t xml:space="preserve"> </w:t>
      </w:r>
      <w:r w:rsidR="00BE6CD4">
        <w:t xml:space="preserve">den </w:t>
      </w:r>
      <w:r w:rsidR="00D70787">
        <w:t xml:space="preserve">4 februari, uppdaterad </w:t>
      </w:r>
      <w:r w:rsidR="00BE6CD4">
        <w:t xml:space="preserve">den </w:t>
      </w:r>
      <w:r w:rsidR="00D70787">
        <w:t>17 februari.</w:t>
      </w:r>
      <w:r>
        <w:t xml:space="preserve"> </w:t>
      </w:r>
      <w:r w:rsidRPr="00886A24">
        <w:t>https://www.dn.se/ekonomi/elnatsbolagen-skyller-hojda-priser-pa-utbyggnad-men-miljarder-gar-till-agarna/</w:t>
      </w:r>
      <w:r w:rsidR="00BE6CD4">
        <w:t>.</w:t>
      </w:r>
      <w:r>
        <w:t xml:space="preserve"> </w:t>
      </w:r>
      <w:r w:rsidR="00D70787">
        <w:t xml:space="preserve">Hämtad </w:t>
      </w:r>
      <w:r w:rsidR="00BE6CD4">
        <w:t xml:space="preserve">den 8 april </w:t>
      </w:r>
      <w:r w:rsidR="00D70787">
        <w:t xml:space="preserve">2024. </w:t>
      </w:r>
    </w:p>
  </w:footnote>
  <w:footnote w:id="61">
    <w:p w14:paraId="646D50CB" w14:textId="50E64C1B" w:rsidR="00480FA4" w:rsidRDefault="00480FA4" w:rsidP="00480FA4">
      <w:pPr>
        <w:pStyle w:val="Fotnotstext"/>
      </w:pPr>
      <w:r>
        <w:rPr>
          <w:rStyle w:val="Fotnotsreferens"/>
        </w:rPr>
        <w:footnoteRef/>
      </w:r>
      <w:r>
        <w:t xml:space="preserve"> </w:t>
      </w:r>
      <w:r w:rsidR="00D70787">
        <w:t>Energimarknadsinspektionen (2024)</w:t>
      </w:r>
      <w:r w:rsidR="00BE6CD4">
        <w:t>.</w:t>
      </w:r>
      <w:r w:rsidR="00D70787">
        <w:t xml:space="preserve"> </w:t>
      </w:r>
      <w:r w:rsidR="00D70787" w:rsidRPr="00015CB5">
        <w:rPr>
          <w:i/>
          <w:iCs/>
        </w:rPr>
        <w:t>Nu har E</w:t>
      </w:r>
      <w:r w:rsidR="00BE6CD4">
        <w:rPr>
          <w:i/>
          <w:iCs/>
        </w:rPr>
        <w:t>I</w:t>
      </w:r>
      <w:r w:rsidR="00D70787" w:rsidRPr="00015CB5">
        <w:rPr>
          <w:i/>
          <w:iCs/>
        </w:rPr>
        <w:t xml:space="preserve"> beslutat om elnätsföretagens intäktsramar för perioden 2024–2027</w:t>
      </w:r>
      <w:r w:rsidR="00D70787">
        <w:t xml:space="preserve">. </w:t>
      </w:r>
      <w:hyperlink r:id="rId1" w:history="1">
        <w:r w:rsidR="00BE6CD4" w:rsidRPr="00242EBE">
          <w:rPr>
            <w:rStyle w:val="Hyperlnk"/>
            <w:color w:val="auto"/>
            <w:u w:val="none"/>
          </w:rPr>
          <w:t>https://ei.se/om-oss/nyheter/2024/2024-04-03-nu-har-ei-beslutat-om-elnatsforetagens-intaktsramar-for-perioden-2024-2027</w:t>
        </w:r>
      </w:hyperlink>
      <w:r w:rsidR="00BE6CD4" w:rsidRPr="00242EBE">
        <w:t>.</w:t>
      </w:r>
      <w:r w:rsidR="00BE6CD4">
        <w:t xml:space="preserve"> </w:t>
      </w:r>
      <w:r w:rsidR="00D70787">
        <w:t xml:space="preserve">Hämtad </w:t>
      </w:r>
      <w:r w:rsidR="00BE6CD4">
        <w:t>den 22 april 20</w:t>
      </w:r>
      <w:r w:rsidR="00D70787">
        <w:t>24.</w:t>
      </w:r>
    </w:p>
  </w:footnote>
  <w:footnote w:id="62">
    <w:p w14:paraId="7ACE2A3F" w14:textId="01C8836E" w:rsidR="002F4BAB" w:rsidRDefault="002F4BAB" w:rsidP="002F4BAB">
      <w:pPr>
        <w:pStyle w:val="Fotnotstext"/>
      </w:pPr>
      <w:r>
        <w:rPr>
          <w:rStyle w:val="Fotnotsreferens"/>
        </w:rPr>
        <w:footnoteRef/>
      </w:r>
      <w:r>
        <w:t xml:space="preserve"> Budgetpropositionen för 2024</w:t>
      </w:r>
      <w:r w:rsidR="00F8566C">
        <w:t xml:space="preserve"> (prop. 2023/24:1)</w:t>
      </w:r>
      <w:r w:rsidRPr="005201AE">
        <w:t>.</w:t>
      </w:r>
    </w:p>
  </w:footnote>
  <w:footnote w:id="63">
    <w:p w14:paraId="27F2CC4A" w14:textId="081D4757" w:rsidR="001D18E9" w:rsidRDefault="001D18E9">
      <w:pPr>
        <w:pStyle w:val="Fotnotstext"/>
      </w:pPr>
      <w:r>
        <w:rPr>
          <w:rStyle w:val="Fotnotsreferens"/>
        </w:rPr>
        <w:footnoteRef/>
      </w:r>
      <w:r>
        <w:t xml:space="preserve"> Se t.ex. Riksgälden (2024)</w:t>
      </w:r>
      <w:r w:rsidR="00230D38">
        <w:t>.</w:t>
      </w:r>
      <w:r>
        <w:t xml:space="preserve"> </w:t>
      </w:r>
      <w:r w:rsidRPr="00F8566C">
        <w:rPr>
          <w:i/>
        </w:rPr>
        <w:t>Makroekonomiska förutsättningar för statsskuldens utveckling</w:t>
      </w:r>
      <w:r>
        <w:t>.</w:t>
      </w:r>
    </w:p>
  </w:footnote>
  <w:footnote w:id="64">
    <w:p w14:paraId="4634AC5A" w14:textId="39611080" w:rsidR="002C5593" w:rsidRDefault="002C5593" w:rsidP="002C5593">
      <w:pPr>
        <w:pStyle w:val="Fotnotstext"/>
      </w:pPr>
      <w:r>
        <w:rPr>
          <w:rStyle w:val="Fotnotsreferens"/>
        </w:rPr>
        <w:footnoteRef/>
      </w:r>
      <w:r>
        <w:t xml:space="preserve"> </w:t>
      </w:r>
      <w:r w:rsidRPr="002C5593">
        <w:t>Riksgälden (2016</w:t>
      </w:r>
      <w:r w:rsidR="009C326E">
        <w:t>)</w:t>
      </w:r>
      <w:r w:rsidR="00230D38">
        <w:t>.</w:t>
      </w:r>
      <w:r w:rsidRPr="002C5593">
        <w:t xml:space="preserve"> </w:t>
      </w:r>
      <w:r w:rsidRPr="00F8566C">
        <w:rPr>
          <w:i/>
        </w:rPr>
        <w:t>Statsskuldens roll i ekonomin</w:t>
      </w:r>
      <w:r w:rsidRPr="00F8566C">
        <w:rPr>
          <w:i/>
          <w:iCs/>
        </w:rPr>
        <w:t>.</w:t>
      </w:r>
    </w:p>
  </w:footnote>
  <w:footnote w:id="65">
    <w:p w14:paraId="3B69E528" w14:textId="5E87A10A" w:rsidR="002C5593" w:rsidRDefault="002C5593" w:rsidP="002C5593">
      <w:pPr>
        <w:pStyle w:val="Fotnotstext"/>
      </w:pPr>
      <w:r>
        <w:rPr>
          <w:rStyle w:val="Fotnotsreferens"/>
        </w:rPr>
        <w:footnoteRef/>
      </w:r>
      <w:r>
        <w:t xml:space="preserve"> R</w:t>
      </w:r>
      <w:r w:rsidR="00F8566C">
        <w:t>iksdagens utredningstjänst</w:t>
      </w:r>
      <w:r>
        <w:t xml:space="preserve"> </w:t>
      </w:r>
      <w:r w:rsidR="00F8566C">
        <w:t>(d</w:t>
      </w:r>
      <w:r>
        <w:t xml:space="preserve">nr </w:t>
      </w:r>
      <w:r w:rsidR="00C84152">
        <w:t>2024:542</w:t>
      </w:r>
      <w:r w:rsidR="00F8566C">
        <w:t>)</w:t>
      </w:r>
      <w:r>
        <w:t>.</w:t>
      </w:r>
    </w:p>
  </w:footnote>
  <w:footnote w:id="66">
    <w:p w14:paraId="6BF7E8D0" w14:textId="59A4E23B" w:rsidR="005056D4" w:rsidRDefault="005056D4">
      <w:pPr>
        <w:pStyle w:val="Fotnotstext"/>
      </w:pPr>
      <w:r>
        <w:rPr>
          <w:rStyle w:val="Fotnotsreferens"/>
        </w:rPr>
        <w:footnoteRef/>
      </w:r>
      <w:r>
        <w:t xml:space="preserve"> Vi föreslår att regeringen använder den definition av ”bibehåll</w:t>
      </w:r>
      <w:r w:rsidR="00CC3D25">
        <w:t>e</w:t>
      </w:r>
      <w:r>
        <w:t>t offentligt åtagande” som Konjunkturinstitutet använder</w:t>
      </w:r>
      <w:r w:rsidR="00CC3D25">
        <w:t>.</w:t>
      </w:r>
      <w:r>
        <w:t xml:space="preserve"> </w:t>
      </w:r>
      <w:r w:rsidR="00CC3D25">
        <w:t>S</w:t>
      </w:r>
      <w:r>
        <w:t>e t.ex. Konjunkturinstitutet (2024)</w:t>
      </w:r>
      <w:r w:rsidR="00CC3D25">
        <w:t>.</w:t>
      </w:r>
      <w:r>
        <w:t xml:space="preserve"> </w:t>
      </w:r>
      <w:r w:rsidRPr="00F8566C">
        <w:rPr>
          <w:i/>
        </w:rPr>
        <w:t>Hållbarhetsrapport för de offentliga finanserna</w:t>
      </w:r>
      <w:r>
        <w:t>, bilaga 2, s</w:t>
      </w:r>
      <w:r w:rsidR="00CC3D25">
        <w:t>.</w:t>
      </w:r>
      <w:r>
        <w:t xml:space="preserve"> 39. </w:t>
      </w:r>
    </w:p>
  </w:footnote>
  <w:footnote w:id="67">
    <w:p w14:paraId="5EB2DEED" w14:textId="1CC4F4BE" w:rsidR="00136B11" w:rsidRPr="00B53CC1" w:rsidRDefault="00136B11">
      <w:pPr>
        <w:pStyle w:val="Fotnotstext"/>
      </w:pPr>
      <w:r w:rsidRPr="00B53CC1">
        <w:rPr>
          <w:rStyle w:val="Fotnotsreferens"/>
        </w:rPr>
        <w:footnoteRef/>
      </w:r>
      <w:r w:rsidRPr="00B53CC1">
        <w:t xml:space="preserve"> </w:t>
      </w:r>
      <w:r w:rsidR="00B53CC1" w:rsidRPr="00B53CC1">
        <w:t>Riksrevisionen (2023)</w:t>
      </w:r>
      <w:r w:rsidR="00CC3D25">
        <w:t>.</w:t>
      </w:r>
      <w:r w:rsidR="00B53CC1" w:rsidRPr="00B53CC1">
        <w:t xml:space="preserve"> </w:t>
      </w:r>
      <w:r w:rsidR="00B53CC1" w:rsidRPr="007A2E3D">
        <w:rPr>
          <w:i/>
          <w:iCs/>
        </w:rPr>
        <w:t>Det finanspolitiska ramverket – regeringens tillämpning 2022</w:t>
      </w:r>
      <w:r w:rsidR="00B53CC1" w:rsidRPr="00B53CC1">
        <w:t xml:space="preserve"> (</w:t>
      </w:r>
      <w:r w:rsidR="00B53CC1" w:rsidRPr="00B53CC1">
        <w:t>RiR 2023:3).</w:t>
      </w:r>
    </w:p>
  </w:footnote>
  <w:footnote w:id="68">
    <w:p w14:paraId="73EF60BD" w14:textId="6C876F5F" w:rsidR="00877C5D" w:rsidRPr="00B53CC1" w:rsidRDefault="00877C5D">
      <w:pPr>
        <w:pStyle w:val="Fotnotstext"/>
      </w:pPr>
      <w:r w:rsidRPr="00B53CC1">
        <w:rPr>
          <w:rStyle w:val="Fotnotsreferens"/>
        </w:rPr>
        <w:footnoteRef/>
      </w:r>
      <w:r w:rsidRPr="00B53CC1">
        <w:t xml:space="preserve"> ESV (2021)</w:t>
      </w:r>
      <w:r w:rsidR="007A2E3D">
        <w:t>.</w:t>
      </w:r>
      <w:r w:rsidRPr="00B53CC1">
        <w:t xml:space="preserve"> </w:t>
      </w:r>
      <w:r w:rsidRPr="00B53CC1">
        <w:rPr>
          <w:i/>
        </w:rPr>
        <w:t>Automatisk budgetförstärkning (ABF) – Förändring av det konjunkturjusterade sparandet vid oförändrade regler</w:t>
      </w:r>
      <w:r w:rsidRPr="00B53CC1">
        <w:rPr>
          <w:i/>
          <w:iCs/>
        </w:rPr>
        <w:t>.</w:t>
      </w:r>
    </w:p>
  </w:footnote>
  <w:footnote w:id="69">
    <w:p w14:paraId="68147854" w14:textId="1F33B3D6" w:rsidR="002C1D75" w:rsidRDefault="002C1D75">
      <w:pPr>
        <w:pStyle w:val="Fotnotstext"/>
      </w:pPr>
      <w:r w:rsidRPr="00B53CC1">
        <w:rPr>
          <w:rStyle w:val="Fotnotsreferens"/>
        </w:rPr>
        <w:footnoteRef/>
      </w:r>
      <w:r w:rsidRPr="00B53CC1">
        <w:t xml:space="preserve"> Se t.ex. figur </w:t>
      </w:r>
      <w:r w:rsidR="00FB6A27">
        <w:t>10</w:t>
      </w:r>
      <w:r w:rsidRPr="00B53CC1">
        <w:t xml:space="preserve"> i avsnitt </w:t>
      </w:r>
      <w:r w:rsidR="00FB6A27">
        <w:t>5</w:t>
      </w:r>
      <w:r>
        <w:t xml:space="preserve"> i denna motion.</w:t>
      </w:r>
    </w:p>
  </w:footnote>
  <w:footnote w:id="70">
    <w:p w14:paraId="59D5D230" w14:textId="42154E24" w:rsidR="0098601C" w:rsidRDefault="0098601C">
      <w:pPr>
        <w:pStyle w:val="Fotnotstext"/>
      </w:pPr>
      <w:r>
        <w:rPr>
          <w:rStyle w:val="Fotnotsreferens"/>
        </w:rPr>
        <w:footnoteRef/>
      </w:r>
      <w:r>
        <w:t xml:space="preserve"> </w:t>
      </w:r>
      <w:r w:rsidRPr="0098601C">
        <w:t>SKR</w:t>
      </w:r>
      <w:r w:rsidR="0009061F">
        <w:t xml:space="preserve"> (2023)</w:t>
      </w:r>
      <w:r w:rsidR="004317EA">
        <w:t>.</w:t>
      </w:r>
      <w:r w:rsidRPr="0098601C">
        <w:t xml:space="preserve"> </w:t>
      </w:r>
      <w:r w:rsidRPr="005A459D">
        <w:rPr>
          <w:i/>
        </w:rPr>
        <w:t>Ekonomirapporten, oktober 2023</w:t>
      </w:r>
      <w:r w:rsidR="00762B57">
        <w:t>.</w:t>
      </w:r>
    </w:p>
  </w:footnote>
  <w:footnote w:id="71">
    <w:p w14:paraId="3769DDD8" w14:textId="0980A8A8" w:rsidR="0098601C" w:rsidRDefault="0098601C">
      <w:pPr>
        <w:pStyle w:val="Fotnotstext"/>
      </w:pPr>
      <w:r>
        <w:rPr>
          <w:rStyle w:val="Fotnotsreferens"/>
        </w:rPr>
        <w:footnoteRef/>
      </w:r>
      <w:r>
        <w:t xml:space="preserve"> </w:t>
      </w:r>
      <w:r w:rsidR="005A459D">
        <w:t>Karlsson, R. (2024)</w:t>
      </w:r>
      <w:r w:rsidR="004317EA">
        <w:t>.</w:t>
      </w:r>
      <w:r w:rsidR="005A459D">
        <w:t xml:space="preserve"> Statsministern: Människor inom sjukvården ska inte behöva sägas upp. </w:t>
      </w:r>
      <w:r w:rsidR="005A459D" w:rsidRPr="00242EBE">
        <w:rPr>
          <w:i/>
          <w:iCs/>
        </w:rPr>
        <w:t>TV4</w:t>
      </w:r>
      <w:r w:rsidR="004317EA">
        <w:t xml:space="preserve">, den </w:t>
      </w:r>
      <w:r w:rsidR="005A459D">
        <w:t xml:space="preserve">10 februari. </w:t>
      </w:r>
      <w:r w:rsidR="005A459D" w:rsidRPr="00886A24">
        <w:t>https://www.tv4.se/artikel/nBzfCYsIMsx3dLTRHJv9w/loeftet-kommer-inte-att-saega-upp-maenniskor-i-den-svenska-sjukvarden</w:t>
      </w:r>
      <w:r w:rsidR="004317EA">
        <w:t>.</w:t>
      </w:r>
      <w:r w:rsidR="005A459D">
        <w:t xml:space="preserve"> Hämtad</w:t>
      </w:r>
      <w:r w:rsidR="004317EA">
        <w:t xml:space="preserve"> den 8 april </w:t>
      </w:r>
      <w:r w:rsidR="005A459D">
        <w:t>2024.</w:t>
      </w:r>
      <w:r w:rsidRPr="0098601C">
        <w:t xml:space="preserve"> </w:t>
      </w:r>
    </w:p>
  </w:footnote>
  <w:footnote w:id="72">
    <w:p w14:paraId="32840D0A" w14:textId="55B6A814" w:rsidR="0098601C" w:rsidRDefault="0098601C">
      <w:pPr>
        <w:pStyle w:val="Fotnotstext"/>
      </w:pPr>
      <w:r>
        <w:rPr>
          <w:rStyle w:val="Fotnotsreferens"/>
        </w:rPr>
        <w:footnoteRef/>
      </w:r>
      <w:r>
        <w:t xml:space="preserve"> </w:t>
      </w:r>
      <w:r w:rsidRPr="0098601C">
        <w:t>Inspektionen för vård och omsorg</w:t>
      </w:r>
      <w:r w:rsidR="0017559D">
        <w:t xml:space="preserve"> (2023)</w:t>
      </w:r>
      <w:r w:rsidR="004D17BC">
        <w:t>.</w:t>
      </w:r>
      <w:r w:rsidRPr="0098601C">
        <w:t xml:space="preserve"> </w:t>
      </w:r>
      <w:r w:rsidRPr="0017559D">
        <w:rPr>
          <w:i/>
        </w:rPr>
        <w:t>Delredovisning av den nationella sjukhustillsynen, 2023</w:t>
      </w:r>
      <w:r w:rsidR="00762B57" w:rsidRPr="0017559D">
        <w:rPr>
          <w:i/>
        </w:rPr>
        <w:t>.</w:t>
      </w:r>
    </w:p>
  </w:footnote>
  <w:footnote w:id="73">
    <w:p w14:paraId="2C47CB84" w14:textId="5F4EBFD4" w:rsidR="00B2528F" w:rsidRDefault="00B2528F">
      <w:pPr>
        <w:pStyle w:val="Fotnotstext"/>
      </w:pPr>
      <w:r>
        <w:rPr>
          <w:rStyle w:val="Fotnotsreferens"/>
        </w:rPr>
        <w:footnoteRef/>
      </w:r>
      <w:r>
        <w:t xml:space="preserve"> </w:t>
      </w:r>
      <w:r w:rsidR="0017559D">
        <w:t xml:space="preserve">Englund, </w:t>
      </w:r>
      <w:r w:rsidR="00690E2D">
        <w:t>P</w:t>
      </w:r>
      <w:r w:rsidR="0017559D">
        <w:t>. (2024)</w:t>
      </w:r>
      <w:r w:rsidR="004D17BC">
        <w:t>.</w:t>
      </w:r>
      <w:r w:rsidR="0017559D">
        <w:t xml:space="preserve"> </w:t>
      </w:r>
      <w:r w:rsidRPr="00B2528F">
        <w:t xml:space="preserve">Sveriges Lärares krav: Fyra miljarder extra till skolan. </w:t>
      </w:r>
      <w:r w:rsidR="0017559D" w:rsidRPr="0017559D">
        <w:rPr>
          <w:i/>
          <w:iCs/>
        </w:rPr>
        <w:t>Vi Lärare</w:t>
      </w:r>
      <w:r w:rsidR="0017559D" w:rsidRPr="00B2528F">
        <w:t xml:space="preserve">, </w:t>
      </w:r>
      <w:r w:rsidR="004D17BC">
        <w:t xml:space="preserve">den </w:t>
      </w:r>
      <w:r w:rsidR="0017559D" w:rsidRPr="00B2528F">
        <w:t>11 mars</w:t>
      </w:r>
      <w:r w:rsidR="0017559D">
        <w:t>.</w:t>
      </w:r>
      <w:r w:rsidR="0017559D" w:rsidRPr="00B2528F">
        <w:t xml:space="preserve"> </w:t>
      </w:r>
      <w:r w:rsidR="0017559D" w:rsidRPr="00886A24">
        <w:t>https://www.vilarare.se/nyheter/skolbudget/sveriges-larares-krav-fyra-miljarder-extra-till-skolan/</w:t>
      </w:r>
      <w:r w:rsidR="004D17BC">
        <w:t>.</w:t>
      </w:r>
      <w:r w:rsidR="0017559D">
        <w:t xml:space="preserve"> </w:t>
      </w:r>
      <w:r w:rsidRPr="00B2528F">
        <w:t xml:space="preserve">Hämtad </w:t>
      </w:r>
      <w:r w:rsidR="004D17BC">
        <w:t xml:space="preserve">den 22 april </w:t>
      </w:r>
      <w:r w:rsidR="0017559D">
        <w:t>20</w:t>
      </w:r>
      <w:r w:rsidRPr="00B2528F">
        <w:t>24.</w:t>
      </w:r>
    </w:p>
  </w:footnote>
  <w:footnote w:id="74">
    <w:p w14:paraId="3DCA923E" w14:textId="497FEC22" w:rsidR="007430F0" w:rsidRDefault="007430F0">
      <w:pPr>
        <w:pStyle w:val="Fotnotstext"/>
      </w:pPr>
      <w:r>
        <w:rPr>
          <w:rStyle w:val="Fotnotsreferens"/>
        </w:rPr>
        <w:footnoteRef/>
      </w:r>
      <w:r>
        <w:t xml:space="preserve"> Vänsterpartiet (2023)</w:t>
      </w:r>
      <w:r w:rsidR="0039319B">
        <w:t>.</w:t>
      </w:r>
      <w:r>
        <w:t xml:space="preserve"> Rädda välfärden – för ett tryggare Sverige (mot. </w:t>
      </w:r>
      <w:r w:rsidRPr="007430F0">
        <w:t>2023/24:2385</w:t>
      </w:r>
      <w:r>
        <w:t>).</w:t>
      </w:r>
    </w:p>
  </w:footnote>
  <w:footnote w:id="75">
    <w:p w14:paraId="6F0A3549" w14:textId="687A57D0" w:rsidR="008E3773" w:rsidRDefault="008E3773">
      <w:pPr>
        <w:pStyle w:val="Fotnotstext"/>
      </w:pPr>
      <w:r>
        <w:rPr>
          <w:rStyle w:val="Fotnotsreferens"/>
        </w:rPr>
        <w:footnoteRef/>
      </w:r>
      <w:r>
        <w:t xml:space="preserve"> </w:t>
      </w:r>
      <w:r w:rsidR="00090992">
        <w:t>Björkman, S. (2024)</w:t>
      </w:r>
      <w:r w:rsidR="0039319B">
        <w:t>.</w:t>
      </w:r>
      <w:r w:rsidR="00090992">
        <w:t xml:space="preserve"> </w:t>
      </w:r>
      <w:r w:rsidR="00090992" w:rsidRPr="00090992">
        <w:t>Politikerna vill inte kommentera SKR:s Nato-krav</w:t>
      </w:r>
      <w:r w:rsidR="0039319B">
        <w:t>.</w:t>
      </w:r>
      <w:r w:rsidR="00090992">
        <w:t xml:space="preserve"> </w:t>
      </w:r>
      <w:r w:rsidR="00090992" w:rsidRPr="00090992">
        <w:rPr>
          <w:i/>
          <w:iCs/>
        </w:rPr>
        <w:t>Vårdfokus</w:t>
      </w:r>
      <w:r w:rsidR="00090992" w:rsidRPr="00242EBE">
        <w:t>,</w:t>
      </w:r>
      <w:r w:rsidR="00090992">
        <w:t xml:space="preserve"> </w:t>
      </w:r>
      <w:r w:rsidR="0039319B">
        <w:t xml:space="preserve">den </w:t>
      </w:r>
      <w:r w:rsidR="00090992">
        <w:t xml:space="preserve">11 april. </w:t>
      </w:r>
      <w:r w:rsidR="00090992" w:rsidRPr="00886A24">
        <w:t>https://www.vardfokus.se/nyheter/politikerna-vill-inte-kommentera-skrs-nato-krav/</w:t>
      </w:r>
      <w:r w:rsidR="0039319B">
        <w:t>.</w:t>
      </w:r>
      <w:r w:rsidR="00090992">
        <w:t xml:space="preserve"> Hämtad </w:t>
      </w:r>
      <w:r w:rsidR="0039319B">
        <w:t xml:space="preserve">den 16 april </w:t>
      </w:r>
      <w:r w:rsidR="00090992">
        <w:t>2024.</w:t>
      </w:r>
    </w:p>
  </w:footnote>
  <w:footnote w:id="76">
    <w:p w14:paraId="281A9899" w14:textId="617AB081" w:rsidR="0098601C" w:rsidRDefault="0098601C">
      <w:pPr>
        <w:pStyle w:val="Fotnotstext"/>
      </w:pPr>
      <w:r>
        <w:rPr>
          <w:rStyle w:val="Fotnotsreferens"/>
        </w:rPr>
        <w:footnoteRef/>
      </w:r>
      <w:r>
        <w:t xml:space="preserve"> </w:t>
      </w:r>
      <w:r w:rsidR="00090992">
        <w:t>Björkman, S. (2024)</w:t>
      </w:r>
      <w:r w:rsidR="0039319B">
        <w:t>.</w:t>
      </w:r>
      <w:r w:rsidR="00090992">
        <w:t xml:space="preserve"> </w:t>
      </w:r>
      <w:r w:rsidR="00090992" w:rsidRPr="00090992">
        <w:t>Politikerna vill inte kommentera SKR:s Nato-krav</w:t>
      </w:r>
      <w:r w:rsidR="0039319B">
        <w:t>.</w:t>
      </w:r>
      <w:r w:rsidR="00090992">
        <w:t xml:space="preserve"> </w:t>
      </w:r>
      <w:r w:rsidR="00090992" w:rsidRPr="00090992">
        <w:rPr>
          <w:i/>
          <w:iCs/>
        </w:rPr>
        <w:t>Vårdfokus</w:t>
      </w:r>
      <w:r w:rsidR="00090992" w:rsidRPr="00444FCF">
        <w:t>,</w:t>
      </w:r>
      <w:r w:rsidR="00090992">
        <w:t xml:space="preserve"> </w:t>
      </w:r>
      <w:r w:rsidR="0039319B">
        <w:t xml:space="preserve">den </w:t>
      </w:r>
      <w:r w:rsidR="00090992">
        <w:t xml:space="preserve">11 april. </w:t>
      </w:r>
      <w:r w:rsidR="00090992" w:rsidRPr="00886A24">
        <w:t>https://www.vardfokus.se/nyheter/politikerna-vill-inte-kommentera-skrs-nato-krav/</w:t>
      </w:r>
      <w:r w:rsidR="0039319B">
        <w:t>.</w:t>
      </w:r>
      <w:r w:rsidR="00090992">
        <w:t xml:space="preserve"> Hämtad </w:t>
      </w:r>
      <w:r w:rsidR="0039319B">
        <w:t xml:space="preserve">den 16 april </w:t>
      </w:r>
      <w:r w:rsidR="00090992">
        <w:t>2024.</w:t>
      </w:r>
    </w:p>
  </w:footnote>
  <w:footnote w:id="77">
    <w:p w14:paraId="63C0DB2B" w14:textId="3AD23AA7" w:rsidR="00BE7B97" w:rsidRDefault="00BE7B97" w:rsidP="00BE7B97">
      <w:pPr>
        <w:pStyle w:val="Fotnotstext"/>
      </w:pPr>
      <w:r>
        <w:rPr>
          <w:rStyle w:val="Fotnotsreferens"/>
        </w:rPr>
        <w:footnoteRef/>
      </w:r>
      <w:r>
        <w:t xml:space="preserve"> </w:t>
      </w:r>
      <w:r w:rsidR="00090992">
        <w:t>Budgetpropositionen för 2024 (prop. 2023/24:1)</w:t>
      </w:r>
      <w:r w:rsidR="00090992" w:rsidRPr="005201AE">
        <w:t>.</w:t>
      </w:r>
    </w:p>
  </w:footnote>
  <w:footnote w:id="78">
    <w:p w14:paraId="77AA0F22" w14:textId="294337A0" w:rsidR="00A64D68" w:rsidRDefault="00A64D68" w:rsidP="00A64D68">
      <w:pPr>
        <w:pStyle w:val="Fotnotstext"/>
      </w:pPr>
      <w:r>
        <w:rPr>
          <w:rStyle w:val="Fotnotsreferens"/>
        </w:rPr>
        <w:footnoteRef/>
      </w:r>
      <w:r>
        <w:t xml:space="preserve"> </w:t>
      </w:r>
      <w:r w:rsidR="00090992">
        <w:t xml:space="preserve">Hyresgästföreningen m.fl. (2024). </w:t>
      </w:r>
      <w:r w:rsidR="00090992" w:rsidRPr="00925F35">
        <w:rPr>
          <w:i/>
        </w:rPr>
        <w:t>Barnfamiljers ekonomiska svårigheter</w:t>
      </w:r>
      <w:r w:rsidR="00090992" w:rsidRPr="00925F35">
        <w:rPr>
          <w:i/>
          <w:iCs/>
        </w:rPr>
        <w:t xml:space="preserve"> 2024</w:t>
      </w:r>
      <w:r w:rsidR="00090992">
        <w:t xml:space="preserve">. </w:t>
      </w:r>
    </w:p>
  </w:footnote>
  <w:footnote w:id="79">
    <w:p w14:paraId="12DA0C40" w14:textId="3F736563" w:rsidR="00D45CE2" w:rsidRDefault="00D45CE2">
      <w:pPr>
        <w:pStyle w:val="Fotnotstext"/>
      </w:pPr>
      <w:r>
        <w:rPr>
          <w:rStyle w:val="Fotnotsreferens"/>
        </w:rPr>
        <w:footnoteRef/>
      </w:r>
      <w:r>
        <w:t xml:space="preserve"> SCB (2024).</w:t>
      </w:r>
    </w:p>
  </w:footnote>
  <w:footnote w:id="80">
    <w:p w14:paraId="5F2961EF" w14:textId="777A2F75" w:rsidR="003D7651" w:rsidRDefault="003D7651" w:rsidP="003D7651">
      <w:pPr>
        <w:pStyle w:val="Fotnotstext"/>
      </w:pPr>
      <w:r>
        <w:rPr>
          <w:rStyle w:val="Fotnotsreferens"/>
        </w:rPr>
        <w:footnoteRef/>
      </w:r>
      <w:r>
        <w:t xml:space="preserve"> </w:t>
      </w:r>
      <w:r w:rsidRPr="00F31574">
        <w:t xml:space="preserve">Riksdagens utredningstjänst </w:t>
      </w:r>
      <w:r w:rsidR="001B6A98">
        <w:t>(d</w:t>
      </w:r>
      <w:r w:rsidRPr="00F31574">
        <w:t>nr 2024:482</w:t>
      </w:r>
      <w:r w:rsidR="001B6A98">
        <w:t>)</w:t>
      </w:r>
      <w:r w:rsidR="005E697B">
        <w:t>.</w:t>
      </w:r>
    </w:p>
  </w:footnote>
  <w:footnote w:id="81">
    <w:p w14:paraId="668E9623" w14:textId="17A17B98" w:rsidR="00D2168B" w:rsidRDefault="00D2168B">
      <w:pPr>
        <w:pStyle w:val="Fotnotstext"/>
      </w:pPr>
      <w:r>
        <w:rPr>
          <w:rStyle w:val="Fotnotsreferens"/>
        </w:rPr>
        <w:footnoteRef/>
      </w:r>
      <w:r>
        <w:t xml:space="preserve"> </w:t>
      </w:r>
      <w:r w:rsidRPr="00D2168B">
        <w:t>Arbetsförmedlingens verksamhetsstatistik i mars 2024.</w:t>
      </w:r>
    </w:p>
  </w:footnote>
  <w:footnote w:id="82">
    <w:p w14:paraId="5C804D32" w14:textId="0C4B35AF" w:rsidR="00C4484F" w:rsidRDefault="00C4484F">
      <w:pPr>
        <w:pStyle w:val="Fotnotstext"/>
      </w:pPr>
      <w:r>
        <w:rPr>
          <w:rStyle w:val="Fotnotsreferens"/>
        </w:rPr>
        <w:footnoteRef/>
      </w:r>
      <w:r w:rsidR="001B6A98">
        <w:t xml:space="preserve"> Prahl, R. (2024)</w:t>
      </w:r>
      <w:r w:rsidR="0036069E">
        <w:t>.</w:t>
      </w:r>
      <w:r w:rsidR="001B6A98">
        <w:t xml:space="preserve"> Efter besparingen: ”Hög risk” att Arbetsförmedlingen inte klarar sitt uppdrag. </w:t>
      </w:r>
      <w:r w:rsidR="001B6A98" w:rsidRPr="001B6A98">
        <w:rPr>
          <w:i/>
          <w:iCs/>
        </w:rPr>
        <w:t>Altinget</w:t>
      </w:r>
      <w:r w:rsidR="0036069E">
        <w:t>, den</w:t>
      </w:r>
      <w:r w:rsidR="001B6A98">
        <w:t xml:space="preserve"> 1 april.</w:t>
      </w:r>
      <w:r>
        <w:t xml:space="preserve"> </w:t>
      </w:r>
      <w:r w:rsidRPr="00886A24">
        <w:t>https://www.altinget.se/arbetsmarknad/artikel/efter-besparingen-hog-risk-att-arbetsformedlingen-inte-klarar-sitt-uppdrag</w:t>
      </w:r>
      <w:r w:rsidR="0036069E">
        <w:t>.</w:t>
      </w:r>
      <w:r>
        <w:t xml:space="preserve"> </w:t>
      </w:r>
      <w:r w:rsidR="001B6A98">
        <w:t xml:space="preserve">Hämtad </w:t>
      </w:r>
      <w:r w:rsidR="0036069E">
        <w:t xml:space="preserve">den 16 april </w:t>
      </w:r>
      <w:r w:rsidR="001B6A98">
        <w:t xml:space="preserve">2024. </w:t>
      </w:r>
    </w:p>
  </w:footnote>
  <w:footnote w:id="83">
    <w:p w14:paraId="3FE197F4" w14:textId="2AC90D05" w:rsidR="00A36EEA" w:rsidRDefault="00A36EEA">
      <w:pPr>
        <w:pStyle w:val="Fotnotstext"/>
      </w:pPr>
      <w:r>
        <w:rPr>
          <w:rStyle w:val="Fotnotsreferens"/>
        </w:rPr>
        <w:footnoteRef/>
      </w:r>
      <w:r>
        <w:t xml:space="preserve"> </w:t>
      </w:r>
      <w:r w:rsidR="00C44698">
        <w:t>K</w:t>
      </w:r>
      <w:r w:rsidRPr="00A36EEA">
        <w:t>limatpolitiska rådet</w:t>
      </w:r>
      <w:r w:rsidR="001B6A98">
        <w:t xml:space="preserve"> (2024)</w:t>
      </w:r>
      <w:r w:rsidR="005315DF">
        <w:t>.</w:t>
      </w:r>
      <w:r w:rsidR="00C44698">
        <w:t xml:space="preserve"> </w:t>
      </w:r>
      <w:r w:rsidR="005315DF">
        <w:rPr>
          <w:i/>
        </w:rPr>
        <w:t>Å</w:t>
      </w:r>
      <w:r w:rsidR="00C44698" w:rsidRPr="001B6A98">
        <w:rPr>
          <w:i/>
        </w:rPr>
        <w:t xml:space="preserve">rlig </w:t>
      </w:r>
      <w:r w:rsidRPr="001B6A98">
        <w:rPr>
          <w:i/>
        </w:rPr>
        <w:t>rapport</w:t>
      </w:r>
      <w:r w:rsidR="00C44698" w:rsidRPr="001B6A98">
        <w:rPr>
          <w:i/>
        </w:rPr>
        <w:t>, 2024</w:t>
      </w:r>
      <w:r w:rsidR="001B6A98">
        <w:t>.</w:t>
      </w:r>
    </w:p>
  </w:footnote>
  <w:footnote w:id="84">
    <w:p w14:paraId="17AF0B2F" w14:textId="1E6D749A" w:rsidR="00C44698" w:rsidRDefault="00C44698">
      <w:pPr>
        <w:pStyle w:val="Fotnotstext"/>
      </w:pPr>
      <w:r>
        <w:rPr>
          <w:rStyle w:val="Fotnotsreferens"/>
        </w:rPr>
        <w:footnoteRef/>
      </w:r>
      <w:r>
        <w:t xml:space="preserve"> </w:t>
      </w:r>
      <w:r w:rsidR="001B6A98">
        <w:t>Alestig, P., Röstlund, L. &amp; Rosén, H. (2024)</w:t>
      </w:r>
      <w:r w:rsidR="005315DF">
        <w:t>.</w:t>
      </w:r>
      <w:r w:rsidR="001B6A98">
        <w:t xml:space="preserve"> Klimatkalkylen som regeringen inte visade. </w:t>
      </w:r>
      <w:r w:rsidR="001B6A98" w:rsidRPr="001B6A98">
        <w:rPr>
          <w:i/>
          <w:iCs/>
        </w:rPr>
        <w:t>Dagens Nyheter</w:t>
      </w:r>
      <w:r w:rsidR="005315DF">
        <w:t>, den</w:t>
      </w:r>
      <w:r w:rsidR="001B6A98">
        <w:t xml:space="preserve"> 20 februari.</w:t>
      </w:r>
      <w:r>
        <w:t xml:space="preserve"> </w:t>
      </w:r>
      <w:r w:rsidRPr="00886A24">
        <w:t>https://www.dn.se/sverige/klimatkalkylen-som-regeringen-inte-visade/</w:t>
      </w:r>
      <w:r w:rsidR="005315DF">
        <w:t>.</w:t>
      </w:r>
      <w:r>
        <w:t xml:space="preserve"> </w:t>
      </w:r>
      <w:r w:rsidR="001B6A98">
        <w:t xml:space="preserve">Hämtad </w:t>
      </w:r>
      <w:r w:rsidR="005315DF">
        <w:t xml:space="preserve">den 24 april </w:t>
      </w:r>
      <w:r w:rsidR="001B6A98">
        <w:t>2024</w:t>
      </w:r>
      <w:r w:rsidR="005315DF">
        <w:t>.</w:t>
      </w:r>
    </w:p>
  </w:footnote>
  <w:footnote w:id="85">
    <w:p w14:paraId="40C1B320" w14:textId="300CA4A6" w:rsidR="009D0916" w:rsidRDefault="009D0916" w:rsidP="009D0916">
      <w:pPr>
        <w:pStyle w:val="Fotnotstext"/>
      </w:pPr>
      <w:r>
        <w:rPr>
          <w:rStyle w:val="Fotnotsreferens"/>
        </w:rPr>
        <w:footnoteRef/>
      </w:r>
      <w:r>
        <w:t xml:space="preserve"> Naturvårdsverket (2024)</w:t>
      </w:r>
      <w:r w:rsidR="000A146A">
        <w:t>.</w:t>
      </w:r>
      <w:r>
        <w:t xml:space="preserve"> </w:t>
      </w:r>
      <w:r w:rsidRPr="001B6A98">
        <w:rPr>
          <w:i/>
        </w:rPr>
        <w:t>Naturvårdsverkets underlag till regeringens klimatredovisning 2024</w:t>
      </w:r>
      <w:r w:rsidR="001B6A98" w:rsidRPr="000A146A">
        <w:t>.</w:t>
      </w:r>
    </w:p>
  </w:footnote>
  <w:footnote w:id="86">
    <w:p w14:paraId="5466DC54" w14:textId="51D654A7" w:rsidR="00C47B7D" w:rsidRDefault="00C47B7D" w:rsidP="00C47B7D">
      <w:pPr>
        <w:pStyle w:val="Fotnotstext"/>
      </w:pPr>
      <w:r>
        <w:rPr>
          <w:rStyle w:val="Fotnotsreferens"/>
        </w:rPr>
        <w:footnoteRef/>
      </w:r>
      <w:r>
        <w:t xml:space="preserve"> </w:t>
      </w:r>
      <w:r w:rsidR="0010725C">
        <w:t>SCB (2024)</w:t>
      </w:r>
      <w:r w:rsidR="001F72D4">
        <w:t>.</w:t>
      </w:r>
      <w:r w:rsidR="0010725C">
        <w:t xml:space="preserve"> </w:t>
      </w:r>
      <w:r w:rsidR="0010725C" w:rsidRPr="00722E25">
        <w:rPr>
          <w:i/>
          <w:iCs/>
        </w:rPr>
        <w:t xml:space="preserve">Växthusgasutsläppen från Sveriges ekonomi minskar med 3 procent 2022. </w:t>
      </w:r>
      <w:r w:rsidR="0010725C" w:rsidRPr="00886A24">
        <w:t>https://www.scb.se/hitta-statistik/statistik-efter-amne/miljo/miljoekonomi-och-hallbar-utveckling/miljorakenskaper/pong/statistiknyhet/utslapp-till-luft-2022/</w:t>
      </w:r>
      <w:r w:rsidR="001F72D4">
        <w:t>.</w:t>
      </w:r>
      <w:r w:rsidR="0010725C">
        <w:t xml:space="preserve"> Hämtad </w:t>
      </w:r>
      <w:r w:rsidR="001F72D4">
        <w:t>den 15 april 20</w:t>
      </w:r>
      <w:r w:rsidR="0010725C">
        <w:t xml:space="preserve">24. </w:t>
      </w:r>
    </w:p>
  </w:footnote>
  <w:footnote w:id="87">
    <w:p w14:paraId="7BE46F70" w14:textId="01629618" w:rsidR="003D00F3" w:rsidRDefault="003D00F3">
      <w:pPr>
        <w:pStyle w:val="Fotnotstext"/>
      </w:pPr>
      <w:r>
        <w:rPr>
          <w:rStyle w:val="Fotnotsreferens"/>
        </w:rPr>
        <w:footnoteRef/>
      </w:r>
      <w:r>
        <w:t xml:space="preserve"> Vänsterpartiet (2023)</w:t>
      </w:r>
      <w:r w:rsidR="00191608">
        <w:t>.</w:t>
      </w:r>
      <w:r>
        <w:t xml:space="preserve"> Rädda välfärden – för ett tryggare Sverige (mot. </w:t>
      </w:r>
      <w:r w:rsidRPr="007430F0">
        <w:t>2023/24:2385</w:t>
      </w:r>
      <w:r>
        <w:t>).</w:t>
      </w:r>
    </w:p>
  </w:footnote>
  <w:footnote w:id="88">
    <w:p w14:paraId="75842AAD" w14:textId="470575FC" w:rsidR="008F1339" w:rsidRDefault="008F1339">
      <w:pPr>
        <w:pStyle w:val="Fotnotstext"/>
      </w:pPr>
      <w:r>
        <w:rPr>
          <w:rStyle w:val="Fotnotsreferens"/>
        </w:rPr>
        <w:footnoteRef/>
      </w:r>
      <w:r w:rsidRPr="00276843">
        <w:rPr>
          <w:lang w:val="en-GB"/>
        </w:rPr>
        <w:t xml:space="preserve"> Kiel Institute for the World Economy</w:t>
      </w:r>
      <w:r w:rsidR="0010725C">
        <w:rPr>
          <w:lang w:val="en-GB"/>
        </w:rPr>
        <w:t xml:space="preserve"> (2024)</w:t>
      </w:r>
      <w:r w:rsidR="000B2646">
        <w:rPr>
          <w:lang w:val="en-GB"/>
        </w:rPr>
        <w:t>.</w:t>
      </w:r>
      <w:r w:rsidRPr="00276843">
        <w:rPr>
          <w:lang w:val="en-GB"/>
        </w:rPr>
        <w:t xml:space="preserve"> </w:t>
      </w:r>
      <w:r w:rsidRPr="0010725C">
        <w:rPr>
          <w:i/>
          <w:lang w:val="en-GB"/>
        </w:rPr>
        <w:t>Ukraine Support Tracker</w:t>
      </w:r>
      <w:r w:rsidRPr="00276843">
        <w:rPr>
          <w:lang w:val="en-GB"/>
        </w:rPr>
        <w:t xml:space="preserve">. </w:t>
      </w:r>
      <w:r>
        <w:t xml:space="preserve">Update </w:t>
      </w:r>
      <w:r>
        <w:t>Feb</w:t>
      </w:r>
      <w:r w:rsidR="000B2646">
        <w:t>.</w:t>
      </w:r>
      <w:r>
        <w:t xml:space="preserve"> 16, 2024.</w:t>
      </w:r>
      <w:r w:rsidR="0010725C">
        <w:t xml:space="preserve"> </w:t>
      </w:r>
      <w:r w:rsidR="0010725C" w:rsidRPr="00886A24">
        <w:t>https://www.ifw-kiel.de/topics/war-against-ukraine/ukraine-support-tracker/</w:t>
      </w:r>
      <w:r w:rsidR="000B2646">
        <w:t>.</w:t>
      </w:r>
      <w:r w:rsidR="0010725C">
        <w:t xml:space="preserve"> Hämtad </w:t>
      </w:r>
      <w:r w:rsidR="000B2646">
        <w:t xml:space="preserve">den 22 april </w:t>
      </w:r>
      <w:r w:rsidR="0010725C">
        <w:t>2024.</w:t>
      </w:r>
    </w:p>
  </w:footnote>
  <w:footnote w:id="89">
    <w:p w14:paraId="330BAF11" w14:textId="65E96D9D" w:rsidR="00F20DF2" w:rsidRDefault="00F20DF2" w:rsidP="00F20DF2">
      <w:pPr>
        <w:pStyle w:val="Fotnotstext"/>
      </w:pPr>
      <w:r>
        <w:rPr>
          <w:rStyle w:val="Fotnotsreferens"/>
        </w:rPr>
        <w:footnoteRef/>
      </w:r>
      <w:r>
        <w:t xml:space="preserve"> Se exempelvis </w:t>
      </w:r>
      <w:r w:rsidRPr="008B77D4">
        <w:t xml:space="preserve">LO </w:t>
      </w:r>
      <w:r>
        <w:t>(</w:t>
      </w:r>
      <w:r w:rsidRPr="008B77D4">
        <w:t>2020</w:t>
      </w:r>
      <w:r>
        <w:t>)</w:t>
      </w:r>
      <w:r w:rsidR="00203CB5">
        <w:t>.</w:t>
      </w:r>
      <w:r w:rsidRPr="008B77D4">
        <w:t xml:space="preserve"> </w:t>
      </w:r>
      <w:r w:rsidRPr="00415D09">
        <w:rPr>
          <w:i/>
        </w:rPr>
        <w:t>Den aktiva arbetsmarknadspolitikens tillbakagång</w:t>
      </w:r>
      <w:r>
        <w:t>.</w:t>
      </w:r>
    </w:p>
  </w:footnote>
  <w:footnote w:id="90">
    <w:p w14:paraId="6247EF7F" w14:textId="5B416D0F" w:rsidR="00F20DF2" w:rsidRPr="00415D09" w:rsidRDefault="00F20DF2" w:rsidP="00F20DF2">
      <w:pPr>
        <w:pStyle w:val="Fotnotstext"/>
        <w:rPr>
          <w:i/>
        </w:rPr>
      </w:pPr>
      <w:r>
        <w:rPr>
          <w:rStyle w:val="Fotnotsreferens"/>
        </w:rPr>
        <w:footnoteRef/>
      </w:r>
      <w:r>
        <w:t xml:space="preserve"> </w:t>
      </w:r>
      <w:r w:rsidRPr="00EF0B2A">
        <w:t xml:space="preserve">LO </w:t>
      </w:r>
      <w:r>
        <w:t>(</w:t>
      </w:r>
      <w:r w:rsidRPr="00EF0B2A">
        <w:t>2022</w:t>
      </w:r>
      <w:r>
        <w:t>)</w:t>
      </w:r>
      <w:r w:rsidR="007C61F4">
        <w:t>.</w:t>
      </w:r>
      <w:r w:rsidRPr="00EF0B2A">
        <w:t xml:space="preserve"> </w:t>
      </w:r>
      <w:r w:rsidRPr="00415D09">
        <w:rPr>
          <w:i/>
        </w:rPr>
        <w:t>Hur fungerar a-kassan – för den enskilde och hur lite får du?</w:t>
      </w:r>
      <w:r w:rsidRPr="00EF0B2A">
        <w:t xml:space="preserve"> </w:t>
      </w:r>
      <w:r>
        <w:t xml:space="preserve">Samt </w:t>
      </w:r>
      <w:r w:rsidRPr="00EF0B2A">
        <w:t xml:space="preserve">LO </w:t>
      </w:r>
      <w:r>
        <w:t>(</w:t>
      </w:r>
      <w:r w:rsidRPr="00EF0B2A">
        <w:t>2022</w:t>
      </w:r>
      <w:r>
        <w:t>)</w:t>
      </w:r>
      <w:r w:rsidR="007C61F4">
        <w:t>.</w:t>
      </w:r>
      <w:r w:rsidRPr="00EF0B2A">
        <w:t xml:space="preserve"> </w:t>
      </w:r>
      <w:r w:rsidRPr="00415D09">
        <w:rPr>
          <w:i/>
        </w:rPr>
        <w:t>Vilken roll spelar arbetslöshetsförsäkringen i samhällsekonomin?</w:t>
      </w:r>
    </w:p>
  </w:footnote>
  <w:footnote w:id="91">
    <w:p w14:paraId="5F668A15" w14:textId="3C2CAC4F" w:rsidR="00C14B8E" w:rsidRDefault="00C14B8E">
      <w:pPr>
        <w:pStyle w:val="Fotnotstext"/>
      </w:pPr>
      <w:r>
        <w:rPr>
          <w:rStyle w:val="Fotnotsreferens"/>
        </w:rPr>
        <w:footnoteRef/>
      </w:r>
      <w:r w:rsidR="00415D09">
        <w:t xml:space="preserve"> </w:t>
      </w:r>
      <w:r w:rsidR="00415D09" w:rsidRPr="00415D09">
        <w:t>SCB (202</w:t>
      </w:r>
      <w:r w:rsidR="00415D09">
        <w:t>3</w:t>
      </w:r>
      <w:r w:rsidR="00415D09" w:rsidRPr="00415D09">
        <w:t>)</w:t>
      </w:r>
      <w:r w:rsidR="00DD67B9">
        <w:t>.</w:t>
      </w:r>
      <w:r w:rsidR="00415D09" w:rsidRPr="00415D09">
        <w:t xml:space="preserve"> </w:t>
      </w:r>
      <w:r w:rsidR="00415D09" w:rsidRPr="00415D09">
        <w:rPr>
          <w:i/>
          <w:iCs/>
        </w:rPr>
        <w:t>Sveriges framtida befolkning 2022–2070 (demografiska rapporter 2023:2)</w:t>
      </w:r>
      <w:r w:rsidR="00415D09" w:rsidRPr="00DD67B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BFA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3E436BCF" wp14:editId="3B8BBF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119704" w14:textId="56C8D516" w:rsidR="00262EA3" w:rsidRDefault="00B34F34" w:rsidP="008103B5">
                          <w:pPr>
                            <w:jc w:val="right"/>
                          </w:pPr>
                          <w:sdt>
                            <w:sdtPr>
                              <w:alias w:val="CC_Noformat_Partikod"/>
                              <w:tag w:val="CC_Noformat_Partikod"/>
                              <w:id w:val="-53464382"/>
                              <w:text/>
                            </w:sdtPr>
                            <w:sdtEndPr/>
                            <w:sdtContent>
                              <w:r w:rsidR="00F42E48">
                                <w:t>V</w:t>
                              </w:r>
                            </w:sdtContent>
                          </w:sdt>
                          <w:sdt>
                            <w:sdtPr>
                              <w:alias w:val="CC_Noformat_Partinummer"/>
                              <w:tag w:val="CC_Noformat_Partinummer"/>
                              <w:id w:val="-1709555926"/>
                              <w:text/>
                            </w:sdtPr>
                            <w:sdtEndPr/>
                            <w:sdtContent>
                              <w:r w:rsidR="003D140C">
                                <w:t>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436B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119704" w14:textId="56C8D516" w:rsidR="00262EA3" w:rsidRDefault="00773AAA" w:rsidP="008103B5">
                    <w:pPr>
                      <w:jc w:val="right"/>
                    </w:pPr>
                    <w:sdt>
                      <w:sdtPr>
                        <w:alias w:val="CC_Noformat_Partikod"/>
                        <w:tag w:val="CC_Noformat_Partikod"/>
                        <w:id w:val="-53464382"/>
                        <w:text/>
                      </w:sdtPr>
                      <w:sdtEndPr/>
                      <w:sdtContent>
                        <w:r w:rsidR="00F42E48">
                          <w:t>V</w:t>
                        </w:r>
                      </w:sdtContent>
                    </w:sdt>
                    <w:sdt>
                      <w:sdtPr>
                        <w:alias w:val="CC_Noformat_Partinummer"/>
                        <w:tag w:val="CC_Noformat_Partinummer"/>
                        <w:id w:val="-1709555926"/>
                        <w:text/>
                      </w:sdtPr>
                      <w:sdtEndPr/>
                      <w:sdtContent>
                        <w:r w:rsidR="003D140C">
                          <w:t>040</w:t>
                        </w:r>
                      </w:sdtContent>
                    </w:sdt>
                  </w:p>
                </w:txbxContent>
              </v:textbox>
              <w10:wrap anchorx="page"/>
            </v:shape>
          </w:pict>
        </mc:Fallback>
      </mc:AlternateContent>
    </w:r>
  </w:p>
  <w:p w14:paraId="39C9AE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6EEB1" w14:textId="77777777" w:rsidR="00262EA3" w:rsidRDefault="00262EA3" w:rsidP="008563AC">
    <w:pPr>
      <w:jc w:val="right"/>
    </w:pPr>
  </w:p>
  <w:p w14:paraId="30C00B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22" w:name="_Hlk165283633"/>
  <w:bookmarkStart w:id="123" w:name="_Hlk165283634"/>
  <w:p w14:paraId="74E061B6" w14:textId="77777777" w:rsidR="00262EA3" w:rsidRDefault="00B34F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7B4E3411" wp14:editId="02307B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117E39" w14:textId="291C6F31" w:rsidR="00262EA3" w:rsidRDefault="00B34F34" w:rsidP="00A314CF">
    <w:pPr>
      <w:pStyle w:val="FSHNormal"/>
      <w:spacing w:before="40"/>
    </w:pPr>
    <w:sdt>
      <w:sdtPr>
        <w:alias w:val="CC_Noformat_Motionstyp"/>
        <w:tag w:val="CC_Noformat_Motionstyp"/>
        <w:id w:val="1162973129"/>
        <w:lock w:val="sdtContentLocked"/>
        <w15:appearance w15:val="hidden"/>
        <w:text/>
      </w:sdtPr>
      <w:sdtEndPr/>
      <w:sdtContent>
        <w:r w:rsidR="0074520F">
          <w:t>Partimotion</w:t>
        </w:r>
      </w:sdtContent>
    </w:sdt>
    <w:r w:rsidR="00821B36">
      <w:t xml:space="preserve"> </w:t>
    </w:r>
    <w:sdt>
      <w:sdtPr>
        <w:alias w:val="CC_Noformat_Partikod"/>
        <w:tag w:val="CC_Noformat_Partikod"/>
        <w:id w:val="1471015553"/>
        <w:text/>
      </w:sdtPr>
      <w:sdtEndPr/>
      <w:sdtContent>
        <w:r w:rsidR="00F42E48">
          <w:t>V</w:t>
        </w:r>
      </w:sdtContent>
    </w:sdt>
    <w:sdt>
      <w:sdtPr>
        <w:alias w:val="CC_Noformat_Partinummer"/>
        <w:tag w:val="CC_Noformat_Partinummer"/>
        <w:id w:val="-2014525982"/>
        <w:text/>
      </w:sdtPr>
      <w:sdtEndPr/>
      <w:sdtContent>
        <w:r w:rsidR="003D140C">
          <w:t>040</w:t>
        </w:r>
      </w:sdtContent>
    </w:sdt>
  </w:p>
  <w:p w14:paraId="3D243B55" w14:textId="77777777" w:rsidR="00262EA3" w:rsidRPr="008227B3" w:rsidRDefault="00B34F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04F190" w14:textId="233DBFD6" w:rsidR="00262EA3" w:rsidRPr="008227B3" w:rsidRDefault="00B34F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520F">
          <w:t>2023/24</w:t>
        </w:r>
      </w:sdtContent>
    </w:sdt>
    <w:sdt>
      <w:sdtPr>
        <w:rPr>
          <w:rStyle w:val="BeteckningChar"/>
        </w:rPr>
        <w:alias w:val="CC_Noformat_Partibet"/>
        <w:tag w:val="CC_Noformat_Partibet"/>
        <w:id w:val="405810658"/>
        <w:lock w:val="sdtContentLocked"/>
        <w:placeholder>
          <w:docPart w:val="61AE7F8FDC79430E8CA0FE2B387CCDB8"/>
        </w:placeholder>
        <w:showingPlcHdr/>
        <w15:appearance w15:val="hidden"/>
        <w:text/>
      </w:sdtPr>
      <w:sdtEndPr>
        <w:rPr>
          <w:rStyle w:val="Rubrik1Char"/>
          <w:rFonts w:asciiTheme="majorHAnsi" w:hAnsiTheme="majorHAnsi"/>
          <w:sz w:val="38"/>
        </w:rPr>
      </w:sdtEndPr>
      <w:sdtContent>
        <w:r w:rsidR="0074520F">
          <w:t>:2891</w:t>
        </w:r>
      </w:sdtContent>
    </w:sdt>
  </w:p>
  <w:p w14:paraId="02B3F84F" w14:textId="54FA37CD" w:rsidR="00262EA3" w:rsidRDefault="00B34F34" w:rsidP="00E03A3D">
    <w:pPr>
      <w:pStyle w:val="Motionr"/>
    </w:pPr>
    <w:sdt>
      <w:sdtPr>
        <w:alias w:val="CC_Noformat_Avtext"/>
        <w:tag w:val="CC_Noformat_Avtext"/>
        <w:id w:val="-2020768203"/>
        <w:lock w:val="sdtContentLocked"/>
        <w15:appearance w15:val="hidden"/>
        <w:text/>
      </w:sdtPr>
      <w:sdtEndPr/>
      <w:sdtContent>
        <w:r w:rsidR="0074520F">
          <w:t>av Nooshi Dadgostar m.fl. (V)</w:t>
        </w:r>
      </w:sdtContent>
    </w:sdt>
  </w:p>
  <w:sdt>
    <w:sdtPr>
      <w:alias w:val="CC_Noformat_Rubtext"/>
      <w:tag w:val="CC_Noformat_Rubtext"/>
      <w:id w:val="-218060500"/>
      <w:lock w:val="sdtLocked"/>
      <w:text/>
    </w:sdtPr>
    <w:sdtEndPr/>
    <w:sdtContent>
      <w:p w14:paraId="4D499DC1" w14:textId="4006C86F" w:rsidR="00262EA3" w:rsidRDefault="0032472D" w:rsidP="00283E0F">
        <w:pPr>
          <w:pStyle w:val="FSHRub2"/>
        </w:pPr>
        <w:r>
          <w:t>med anledning av prop. 2023/24:100 2024 års ekonomiska vårproposition</w:t>
        </w:r>
      </w:p>
    </w:sdtContent>
  </w:sdt>
  <w:sdt>
    <w:sdtPr>
      <w:alias w:val="CC_Boilerplate_3"/>
      <w:tag w:val="CC_Boilerplate_3"/>
      <w:id w:val="1606463544"/>
      <w:lock w:val="sdtContentLocked"/>
      <w15:appearance w15:val="hidden"/>
      <w:text w:multiLine="1"/>
    </w:sdtPr>
    <w:sdtEndPr/>
    <w:sdtContent>
      <w:p w14:paraId="1C35D1A8" w14:textId="77777777" w:rsidR="00262EA3" w:rsidRDefault="00262EA3" w:rsidP="00283E0F">
        <w:pPr>
          <w:pStyle w:val="FSHNormL"/>
        </w:pPr>
        <w:r>
          <w:br/>
        </w:r>
      </w:p>
    </w:sdtContent>
  </w:sdt>
  <w:bookmarkEnd w:id="123" w:displacedByCustomXml="prev"/>
  <w:bookmarkEnd w:id="12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881D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D294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564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EE37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3054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F036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4CB4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B4D5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BF55D3B"/>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1BBE0A41"/>
    <w:multiLevelType w:val="hybridMultilevel"/>
    <w:tmpl w:val="10084E6A"/>
    <w:lvl w:ilvl="0" w:tplc="041D0001">
      <w:start w:val="1"/>
      <w:numFmt w:val="bullet"/>
      <w:lvlText w:val=""/>
      <w:lvlJc w:val="left"/>
      <w:pPr>
        <w:ind w:left="720" w:hanging="38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C1D4B76"/>
    <w:multiLevelType w:val="hybridMultilevel"/>
    <w:tmpl w:val="48426924"/>
    <w:lvl w:ilvl="0" w:tplc="041D0001">
      <w:start w:val="1"/>
      <w:numFmt w:val="bullet"/>
      <w:lvlText w:val=""/>
      <w:lvlJc w:val="left"/>
      <w:pPr>
        <w:ind w:left="720" w:hanging="38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A3F1D13"/>
    <w:multiLevelType w:val="multilevel"/>
    <w:tmpl w:val="4AB46E4C"/>
    <w:lvl w:ilvl="0">
      <w:start w:val="1"/>
      <w:numFmt w:val="bullet"/>
      <w:lvlText w:val=""/>
      <w:lvlJc w:val="left"/>
      <w:pPr>
        <w:ind w:left="0" w:firstLine="0"/>
      </w:pPr>
      <w:rPr>
        <w:rFonts w:ascii="Symbol" w:hAnsi="Symbol"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A8265B"/>
    <w:multiLevelType w:val="multilevel"/>
    <w:tmpl w:val="4AB46E4C"/>
    <w:lvl w:ilvl="0">
      <w:start w:val="1"/>
      <w:numFmt w:val="bullet"/>
      <w:lvlText w:val=""/>
      <w:lvlJc w:val="left"/>
      <w:pPr>
        <w:ind w:left="0" w:firstLine="0"/>
      </w:pPr>
      <w:rPr>
        <w:rFonts w:ascii="Symbol" w:hAnsi="Symbol"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9460203"/>
    <w:multiLevelType w:val="hybridMultilevel"/>
    <w:tmpl w:val="B86801B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9F11BB9"/>
    <w:multiLevelType w:val="hybridMultilevel"/>
    <w:tmpl w:val="8C9A8872"/>
    <w:lvl w:ilvl="0" w:tplc="D4740E68">
      <w:start w:val="1"/>
      <w:numFmt w:val="decimal"/>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CA306F6"/>
    <w:multiLevelType w:val="hybridMultilevel"/>
    <w:tmpl w:val="872C2090"/>
    <w:lvl w:ilvl="0" w:tplc="C096AC60">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9BD2372"/>
    <w:multiLevelType w:val="hybridMultilevel"/>
    <w:tmpl w:val="20AA692E"/>
    <w:lvl w:ilvl="0" w:tplc="3C26FF3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20"/>
  </w:num>
  <w:num w:numId="6">
    <w:abstractNumId w:val="23"/>
  </w:num>
  <w:num w:numId="7">
    <w:abstractNumId w:val="13"/>
  </w:num>
  <w:num w:numId="8">
    <w:abstractNumId w:val="14"/>
  </w:num>
  <w:num w:numId="9">
    <w:abstractNumId w:val="17"/>
  </w:num>
  <w:num w:numId="10">
    <w:abstractNumId w:val="27"/>
  </w:num>
  <w:num w:numId="11">
    <w:abstractNumId w:val="26"/>
  </w:num>
  <w:num w:numId="12">
    <w:abstractNumId w:val="26"/>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6"/>
  </w:num>
  <w:num w:numId="22">
    <w:abstractNumId w:val="26"/>
  </w:num>
  <w:num w:numId="23">
    <w:abstractNumId w:val="26"/>
  </w:num>
  <w:num w:numId="24">
    <w:abstractNumId w:val="26"/>
  </w:num>
  <w:num w:numId="25">
    <w:abstractNumId w:val="26"/>
  </w:num>
  <w:num w:numId="26">
    <w:abstractNumId w:val="27"/>
  </w:num>
  <w:num w:numId="27">
    <w:abstractNumId w:val="27"/>
  </w:num>
  <w:num w:numId="28">
    <w:abstractNumId w:val="27"/>
  </w:num>
  <w:num w:numId="29">
    <w:abstractNumId w:val="27"/>
  </w:num>
  <w:num w:numId="30">
    <w:abstractNumId w:val="26"/>
  </w:num>
  <w:num w:numId="31">
    <w:abstractNumId w:val="26"/>
  </w:num>
  <w:num w:numId="32">
    <w:abstractNumId w:val="27"/>
  </w:num>
  <w:num w:numId="33">
    <w:abstractNumId w:val="26"/>
  </w:num>
  <w:num w:numId="34">
    <w:abstractNumId w:val="24"/>
  </w:num>
  <w:num w:numId="35">
    <w:abstractNumId w:val="16"/>
  </w:num>
  <w:num w:numId="36">
    <w:abstractNumId w:val="21"/>
  </w:num>
  <w:num w:numId="37">
    <w:abstractNumId w:val="19"/>
  </w:num>
  <w:num w:numId="38">
    <w:abstractNumId w:val="10"/>
  </w:num>
  <w:num w:numId="39">
    <w:abstractNumId w:val="11"/>
  </w:num>
  <w:num w:numId="40">
    <w:abstractNumId w:val="12"/>
  </w:num>
  <w:num w:numId="41">
    <w:abstractNumId w:val="22"/>
  </w:num>
  <w:num w:numId="42">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13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2E48"/>
    <w:rsid w:val="000000E0"/>
    <w:rsid w:val="00000761"/>
    <w:rsid w:val="00000DCA"/>
    <w:rsid w:val="000014AF"/>
    <w:rsid w:val="00002310"/>
    <w:rsid w:val="00002CB4"/>
    <w:rsid w:val="000030B6"/>
    <w:rsid w:val="00003CCB"/>
    <w:rsid w:val="00003F79"/>
    <w:rsid w:val="0000412E"/>
    <w:rsid w:val="00004250"/>
    <w:rsid w:val="000043C1"/>
    <w:rsid w:val="00004F03"/>
    <w:rsid w:val="000055B5"/>
    <w:rsid w:val="000063A5"/>
    <w:rsid w:val="00006868"/>
    <w:rsid w:val="000068C9"/>
    <w:rsid w:val="00006BF0"/>
    <w:rsid w:val="00007420"/>
    <w:rsid w:val="0000743A"/>
    <w:rsid w:val="00007464"/>
    <w:rsid w:val="000076F0"/>
    <w:rsid w:val="000079D7"/>
    <w:rsid w:val="00007D10"/>
    <w:rsid w:val="00010066"/>
    <w:rsid w:val="00010168"/>
    <w:rsid w:val="0001036B"/>
    <w:rsid w:val="000103BF"/>
    <w:rsid w:val="00010725"/>
    <w:rsid w:val="000108DA"/>
    <w:rsid w:val="00010DF8"/>
    <w:rsid w:val="00011724"/>
    <w:rsid w:val="00011754"/>
    <w:rsid w:val="00011820"/>
    <w:rsid w:val="00011B85"/>
    <w:rsid w:val="00011C61"/>
    <w:rsid w:val="00011CEC"/>
    <w:rsid w:val="00011F33"/>
    <w:rsid w:val="00012EAF"/>
    <w:rsid w:val="000132DC"/>
    <w:rsid w:val="00014034"/>
    <w:rsid w:val="00014544"/>
    <w:rsid w:val="00014823"/>
    <w:rsid w:val="00014D32"/>
    <w:rsid w:val="00014F39"/>
    <w:rsid w:val="00015064"/>
    <w:rsid w:val="00015205"/>
    <w:rsid w:val="000156D9"/>
    <w:rsid w:val="00015B76"/>
    <w:rsid w:val="00015CB5"/>
    <w:rsid w:val="00016459"/>
    <w:rsid w:val="000171D9"/>
    <w:rsid w:val="000200F6"/>
    <w:rsid w:val="000201EF"/>
    <w:rsid w:val="0002068F"/>
    <w:rsid w:val="000214CD"/>
    <w:rsid w:val="00022A86"/>
    <w:rsid w:val="00022F5C"/>
    <w:rsid w:val="000232AB"/>
    <w:rsid w:val="00024356"/>
    <w:rsid w:val="000243A4"/>
    <w:rsid w:val="00024712"/>
    <w:rsid w:val="00024921"/>
    <w:rsid w:val="000249C8"/>
    <w:rsid w:val="00025359"/>
    <w:rsid w:val="00026034"/>
    <w:rsid w:val="000265CA"/>
    <w:rsid w:val="000269AE"/>
    <w:rsid w:val="000269D1"/>
    <w:rsid w:val="00026D19"/>
    <w:rsid w:val="00026F85"/>
    <w:rsid w:val="0002734F"/>
    <w:rsid w:val="0002759A"/>
    <w:rsid w:val="000300BF"/>
    <w:rsid w:val="0003018C"/>
    <w:rsid w:val="00030C4D"/>
    <w:rsid w:val="00030C61"/>
    <w:rsid w:val="000311F6"/>
    <w:rsid w:val="000314C1"/>
    <w:rsid w:val="00031AF1"/>
    <w:rsid w:val="00031D4B"/>
    <w:rsid w:val="0003208D"/>
    <w:rsid w:val="00032437"/>
    <w:rsid w:val="0003287D"/>
    <w:rsid w:val="00032A5E"/>
    <w:rsid w:val="00033025"/>
    <w:rsid w:val="000332B1"/>
    <w:rsid w:val="000332EF"/>
    <w:rsid w:val="00033C04"/>
    <w:rsid w:val="00034896"/>
    <w:rsid w:val="00034E69"/>
    <w:rsid w:val="000356A2"/>
    <w:rsid w:val="00035775"/>
    <w:rsid w:val="00035BF0"/>
    <w:rsid w:val="0003666B"/>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D1F"/>
    <w:rsid w:val="00045112"/>
    <w:rsid w:val="00045385"/>
    <w:rsid w:val="0004587D"/>
    <w:rsid w:val="00045D5C"/>
    <w:rsid w:val="00046542"/>
    <w:rsid w:val="000466E4"/>
    <w:rsid w:val="00046AC8"/>
    <w:rsid w:val="00046B18"/>
    <w:rsid w:val="00047627"/>
    <w:rsid w:val="000478DC"/>
    <w:rsid w:val="00047BC7"/>
    <w:rsid w:val="00047CB1"/>
    <w:rsid w:val="00050A98"/>
    <w:rsid w:val="00050B72"/>
    <w:rsid w:val="00050DBC"/>
    <w:rsid w:val="000516E9"/>
    <w:rsid w:val="0005184F"/>
    <w:rsid w:val="00051929"/>
    <w:rsid w:val="00051F22"/>
    <w:rsid w:val="0005206D"/>
    <w:rsid w:val="00052A07"/>
    <w:rsid w:val="000536C3"/>
    <w:rsid w:val="00053AC8"/>
    <w:rsid w:val="000542C8"/>
    <w:rsid w:val="0005434E"/>
    <w:rsid w:val="000546C0"/>
    <w:rsid w:val="00055445"/>
    <w:rsid w:val="00055933"/>
    <w:rsid w:val="00055B43"/>
    <w:rsid w:val="00056752"/>
    <w:rsid w:val="00056FEE"/>
    <w:rsid w:val="0005713D"/>
    <w:rsid w:val="0005734F"/>
    <w:rsid w:val="000577E2"/>
    <w:rsid w:val="000602F3"/>
    <w:rsid w:val="0006032F"/>
    <w:rsid w:val="0006039A"/>
    <w:rsid w:val="000603CF"/>
    <w:rsid w:val="0006043F"/>
    <w:rsid w:val="000605E8"/>
    <w:rsid w:val="0006176A"/>
    <w:rsid w:val="00061B95"/>
    <w:rsid w:val="00061E36"/>
    <w:rsid w:val="00062F4A"/>
    <w:rsid w:val="00063382"/>
    <w:rsid w:val="0006339B"/>
    <w:rsid w:val="0006386B"/>
    <w:rsid w:val="0006435B"/>
    <w:rsid w:val="00064AE2"/>
    <w:rsid w:val="00064B49"/>
    <w:rsid w:val="00064CB8"/>
    <w:rsid w:val="000654F6"/>
    <w:rsid w:val="0006565A"/>
    <w:rsid w:val="0006570C"/>
    <w:rsid w:val="0006571A"/>
    <w:rsid w:val="00065CDF"/>
    <w:rsid w:val="00065CE6"/>
    <w:rsid w:val="00065FED"/>
    <w:rsid w:val="000667AB"/>
    <w:rsid w:val="0006706B"/>
    <w:rsid w:val="0006753D"/>
    <w:rsid w:val="0006767D"/>
    <w:rsid w:val="000679B9"/>
    <w:rsid w:val="0007009A"/>
    <w:rsid w:val="00070A5C"/>
    <w:rsid w:val="00070A99"/>
    <w:rsid w:val="000710A5"/>
    <w:rsid w:val="00071630"/>
    <w:rsid w:val="00071671"/>
    <w:rsid w:val="00071862"/>
    <w:rsid w:val="000719B7"/>
    <w:rsid w:val="000721ED"/>
    <w:rsid w:val="000724B8"/>
    <w:rsid w:val="00072835"/>
    <w:rsid w:val="0007290B"/>
    <w:rsid w:val="000732C2"/>
    <w:rsid w:val="000734AE"/>
    <w:rsid w:val="00073695"/>
    <w:rsid w:val="00073DBB"/>
    <w:rsid w:val="000743FF"/>
    <w:rsid w:val="00074588"/>
    <w:rsid w:val="000756EB"/>
    <w:rsid w:val="00075B69"/>
    <w:rsid w:val="00075FB4"/>
    <w:rsid w:val="000769DA"/>
    <w:rsid w:val="00076CCB"/>
    <w:rsid w:val="0007749C"/>
    <w:rsid w:val="000777E3"/>
    <w:rsid w:val="00077950"/>
    <w:rsid w:val="000779A3"/>
    <w:rsid w:val="00077CD4"/>
    <w:rsid w:val="0008003A"/>
    <w:rsid w:val="00080390"/>
    <w:rsid w:val="000808FE"/>
    <w:rsid w:val="00080B5C"/>
    <w:rsid w:val="00081A25"/>
    <w:rsid w:val="00082BEA"/>
    <w:rsid w:val="00083467"/>
    <w:rsid w:val="00083DAB"/>
    <w:rsid w:val="0008429E"/>
    <w:rsid w:val="000845E2"/>
    <w:rsid w:val="00084C74"/>
    <w:rsid w:val="00084CE8"/>
    <w:rsid w:val="00084E2A"/>
    <w:rsid w:val="00084E38"/>
    <w:rsid w:val="000852BF"/>
    <w:rsid w:val="0008542E"/>
    <w:rsid w:val="000859E4"/>
    <w:rsid w:val="00086446"/>
    <w:rsid w:val="0008678B"/>
    <w:rsid w:val="0008692C"/>
    <w:rsid w:val="00086B78"/>
    <w:rsid w:val="00086F64"/>
    <w:rsid w:val="00087231"/>
    <w:rsid w:val="00087CF5"/>
    <w:rsid w:val="00090064"/>
    <w:rsid w:val="000903B8"/>
    <w:rsid w:val="0009042E"/>
    <w:rsid w:val="000904F9"/>
    <w:rsid w:val="000905D3"/>
    <w:rsid w:val="0009061F"/>
    <w:rsid w:val="000908BE"/>
    <w:rsid w:val="00090992"/>
    <w:rsid w:val="000909BE"/>
    <w:rsid w:val="00091064"/>
    <w:rsid w:val="00091476"/>
    <w:rsid w:val="00091494"/>
    <w:rsid w:val="00091A21"/>
    <w:rsid w:val="00092149"/>
    <w:rsid w:val="00093040"/>
    <w:rsid w:val="00093636"/>
    <w:rsid w:val="00093646"/>
    <w:rsid w:val="0009385A"/>
    <w:rsid w:val="00093C68"/>
    <w:rsid w:val="00093F48"/>
    <w:rsid w:val="0009440B"/>
    <w:rsid w:val="00094A50"/>
    <w:rsid w:val="00094A68"/>
    <w:rsid w:val="00094AC0"/>
    <w:rsid w:val="00094BFD"/>
    <w:rsid w:val="00094D48"/>
    <w:rsid w:val="000953C2"/>
    <w:rsid w:val="00095481"/>
    <w:rsid w:val="0009550E"/>
    <w:rsid w:val="00095639"/>
    <w:rsid w:val="00095A70"/>
    <w:rsid w:val="00095B69"/>
    <w:rsid w:val="00095ECF"/>
    <w:rsid w:val="0009677B"/>
    <w:rsid w:val="00096B35"/>
    <w:rsid w:val="0009785C"/>
    <w:rsid w:val="000A06E9"/>
    <w:rsid w:val="000A0988"/>
    <w:rsid w:val="000A1014"/>
    <w:rsid w:val="000A146A"/>
    <w:rsid w:val="000A19A5"/>
    <w:rsid w:val="000A1D1D"/>
    <w:rsid w:val="000A2547"/>
    <w:rsid w:val="000A2668"/>
    <w:rsid w:val="000A31FB"/>
    <w:rsid w:val="000A3770"/>
    <w:rsid w:val="000A3A14"/>
    <w:rsid w:val="000A4671"/>
    <w:rsid w:val="000A4821"/>
    <w:rsid w:val="000A4B5E"/>
    <w:rsid w:val="000A4FED"/>
    <w:rsid w:val="000A52B8"/>
    <w:rsid w:val="000A620B"/>
    <w:rsid w:val="000A6415"/>
    <w:rsid w:val="000A6935"/>
    <w:rsid w:val="000A6F87"/>
    <w:rsid w:val="000B1A2A"/>
    <w:rsid w:val="000B22C0"/>
    <w:rsid w:val="000B2646"/>
    <w:rsid w:val="000B2DAD"/>
    <w:rsid w:val="000B2E6B"/>
    <w:rsid w:val="000B3279"/>
    <w:rsid w:val="000B3BB1"/>
    <w:rsid w:val="000B3BBE"/>
    <w:rsid w:val="000B3D5A"/>
    <w:rsid w:val="000B4478"/>
    <w:rsid w:val="000B472D"/>
    <w:rsid w:val="000B480A"/>
    <w:rsid w:val="000B4FD1"/>
    <w:rsid w:val="000B559E"/>
    <w:rsid w:val="000B5850"/>
    <w:rsid w:val="000B5A17"/>
    <w:rsid w:val="000B5BD0"/>
    <w:rsid w:val="000B5DE0"/>
    <w:rsid w:val="000B5FA9"/>
    <w:rsid w:val="000B60DC"/>
    <w:rsid w:val="000B612A"/>
    <w:rsid w:val="000B65B8"/>
    <w:rsid w:val="000B680E"/>
    <w:rsid w:val="000B79A4"/>
    <w:rsid w:val="000B79EA"/>
    <w:rsid w:val="000C0281"/>
    <w:rsid w:val="000C12A9"/>
    <w:rsid w:val="000C1CAD"/>
    <w:rsid w:val="000C25D7"/>
    <w:rsid w:val="000C2779"/>
    <w:rsid w:val="000C2791"/>
    <w:rsid w:val="000C28AB"/>
    <w:rsid w:val="000C2EB2"/>
    <w:rsid w:val="000C2EF9"/>
    <w:rsid w:val="000C332E"/>
    <w:rsid w:val="000C34E6"/>
    <w:rsid w:val="000C41DC"/>
    <w:rsid w:val="000C4251"/>
    <w:rsid w:val="000C43B1"/>
    <w:rsid w:val="000C4AA9"/>
    <w:rsid w:val="000C4C95"/>
    <w:rsid w:val="000C4D65"/>
    <w:rsid w:val="000C4F8A"/>
    <w:rsid w:val="000C5873"/>
    <w:rsid w:val="000C58E3"/>
    <w:rsid w:val="000C5962"/>
    <w:rsid w:val="000C5DA7"/>
    <w:rsid w:val="000C5DCB"/>
    <w:rsid w:val="000C60FF"/>
    <w:rsid w:val="000C6478"/>
    <w:rsid w:val="000C6623"/>
    <w:rsid w:val="000C6A22"/>
    <w:rsid w:val="000C6E2B"/>
    <w:rsid w:val="000C6F18"/>
    <w:rsid w:val="000C7548"/>
    <w:rsid w:val="000C77B4"/>
    <w:rsid w:val="000D1089"/>
    <w:rsid w:val="000D10B4"/>
    <w:rsid w:val="000D10F2"/>
    <w:rsid w:val="000D121B"/>
    <w:rsid w:val="000D147F"/>
    <w:rsid w:val="000D2039"/>
    <w:rsid w:val="000D2097"/>
    <w:rsid w:val="000D23A4"/>
    <w:rsid w:val="000D2772"/>
    <w:rsid w:val="000D298A"/>
    <w:rsid w:val="000D30D6"/>
    <w:rsid w:val="000D32C0"/>
    <w:rsid w:val="000D393C"/>
    <w:rsid w:val="000D3A36"/>
    <w:rsid w:val="000D3A56"/>
    <w:rsid w:val="000D424E"/>
    <w:rsid w:val="000D44D2"/>
    <w:rsid w:val="000D4796"/>
    <w:rsid w:val="000D48DD"/>
    <w:rsid w:val="000D4D53"/>
    <w:rsid w:val="000D5030"/>
    <w:rsid w:val="000D51C0"/>
    <w:rsid w:val="000D6584"/>
    <w:rsid w:val="000D6947"/>
    <w:rsid w:val="000D69BA"/>
    <w:rsid w:val="000D7A5F"/>
    <w:rsid w:val="000E06CC"/>
    <w:rsid w:val="000E0B16"/>
    <w:rsid w:val="000E0CE1"/>
    <w:rsid w:val="000E1B08"/>
    <w:rsid w:val="000E2141"/>
    <w:rsid w:val="000E24B9"/>
    <w:rsid w:val="000E2F5B"/>
    <w:rsid w:val="000E3115"/>
    <w:rsid w:val="000E394D"/>
    <w:rsid w:val="000E3E46"/>
    <w:rsid w:val="000E3EF7"/>
    <w:rsid w:val="000E4341"/>
    <w:rsid w:val="000E4A72"/>
    <w:rsid w:val="000E4B2C"/>
    <w:rsid w:val="000E4CC5"/>
    <w:rsid w:val="000E4CD8"/>
    <w:rsid w:val="000E4D0E"/>
    <w:rsid w:val="000E4E9C"/>
    <w:rsid w:val="000E504A"/>
    <w:rsid w:val="000E5181"/>
    <w:rsid w:val="000E58DE"/>
    <w:rsid w:val="000E5DF7"/>
    <w:rsid w:val="000E5EFD"/>
    <w:rsid w:val="000E64C3"/>
    <w:rsid w:val="000E657D"/>
    <w:rsid w:val="000E6606"/>
    <w:rsid w:val="000E712B"/>
    <w:rsid w:val="000E718F"/>
    <w:rsid w:val="000E79FF"/>
    <w:rsid w:val="000E7A08"/>
    <w:rsid w:val="000F05D9"/>
    <w:rsid w:val="000F09C1"/>
    <w:rsid w:val="000F1549"/>
    <w:rsid w:val="000F18CF"/>
    <w:rsid w:val="000F1E4C"/>
    <w:rsid w:val="000F1F44"/>
    <w:rsid w:val="000F212D"/>
    <w:rsid w:val="000F2CA8"/>
    <w:rsid w:val="000F3030"/>
    <w:rsid w:val="000F3685"/>
    <w:rsid w:val="000F4411"/>
    <w:rsid w:val="000F44E8"/>
    <w:rsid w:val="000F4ECF"/>
    <w:rsid w:val="000F527F"/>
    <w:rsid w:val="000F5329"/>
    <w:rsid w:val="000F5B00"/>
    <w:rsid w:val="000F5CF0"/>
    <w:rsid w:val="000F5DE8"/>
    <w:rsid w:val="000F6409"/>
    <w:rsid w:val="000F6943"/>
    <w:rsid w:val="000F7AB1"/>
    <w:rsid w:val="000F7BDA"/>
    <w:rsid w:val="0010013B"/>
    <w:rsid w:val="0010043A"/>
    <w:rsid w:val="00100EC4"/>
    <w:rsid w:val="00101FEF"/>
    <w:rsid w:val="001020F3"/>
    <w:rsid w:val="00102143"/>
    <w:rsid w:val="00102980"/>
    <w:rsid w:val="001033A5"/>
    <w:rsid w:val="00103567"/>
    <w:rsid w:val="0010386F"/>
    <w:rsid w:val="0010424F"/>
    <w:rsid w:val="0010493C"/>
    <w:rsid w:val="00104ACE"/>
    <w:rsid w:val="00104F19"/>
    <w:rsid w:val="00105035"/>
    <w:rsid w:val="00105217"/>
    <w:rsid w:val="0010535A"/>
    <w:rsid w:val="0010544C"/>
    <w:rsid w:val="0010587C"/>
    <w:rsid w:val="00105B07"/>
    <w:rsid w:val="00105D05"/>
    <w:rsid w:val="00105D0B"/>
    <w:rsid w:val="00105DEF"/>
    <w:rsid w:val="00106202"/>
    <w:rsid w:val="00106455"/>
    <w:rsid w:val="00106BFE"/>
    <w:rsid w:val="00106C22"/>
    <w:rsid w:val="0010725C"/>
    <w:rsid w:val="00107B3A"/>
    <w:rsid w:val="00107DE7"/>
    <w:rsid w:val="00110680"/>
    <w:rsid w:val="0011115F"/>
    <w:rsid w:val="001112E7"/>
    <w:rsid w:val="0011176B"/>
    <w:rsid w:val="00111D52"/>
    <w:rsid w:val="00111E99"/>
    <w:rsid w:val="00111F9A"/>
    <w:rsid w:val="00112283"/>
    <w:rsid w:val="001127BC"/>
    <w:rsid w:val="001128E4"/>
    <w:rsid w:val="00112A07"/>
    <w:rsid w:val="00113633"/>
    <w:rsid w:val="00113966"/>
    <w:rsid w:val="001140D1"/>
    <w:rsid w:val="0011426C"/>
    <w:rsid w:val="00114C71"/>
    <w:rsid w:val="00114CAC"/>
    <w:rsid w:val="001152A4"/>
    <w:rsid w:val="001153D8"/>
    <w:rsid w:val="00115783"/>
    <w:rsid w:val="00115CAE"/>
    <w:rsid w:val="00116172"/>
    <w:rsid w:val="001162BD"/>
    <w:rsid w:val="00116CAF"/>
    <w:rsid w:val="00116EC0"/>
    <w:rsid w:val="00116EED"/>
    <w:rsid w:val="00117106"/>
    <w:rsid w:val="00117500"/>
    <w:rsid w:val="00117F43"/>
    <w:rsid w:val="00120422"/>
    <w:rsid w:val="0012048D"/>
    <w:rsid w:val="001205B6"/>
    <w:rsid w:val="001214B7"/>
    <w:rsid w:val="00121851"/>
    <w:rsid w:val="00121C4A"/>
    <w:rsid w:val="0012239C"/>
    <w:rsid w:val="001225BD"/>
    <w:rsid w:val="00122A01"/>
    <w:rsid w:val="00122A74"/>
    <w:rsid w:val="00123D51"/>
    <w:rsid w:val="00123E3D"/>
    <w:rsid w:val="0012443D"/>
    <w:rsid w:val="001244FE"/>
    <w:rsid w:val="00124543"/>
    <w:rsid w:val="001247ED"/>
    <w:rsid w:val="00124ACE"/>
    <w:rsid w:val="00124ED7"/>
    <w:rsid w:val="00126005"/>
    <w:rsid w:val="00127A8B"/>
    <w:rsid w:val="0013032A"/>
    <w:rsid w:val="00130490"/>
    <w:rsid w:val="00130EF6"/>
    <w:rsid w:val="00130FEC"/>
    <w:rsid w:val="00131549"/>
    <w:rsid w:val="00131DB5"/>
    <w:rsid w:val="001332AB"/>
    <w:rsid w:val="001333FC"/>
    <w:rsid w:val="001337AD"/>
    <w:rsid w:val="00133BE2"/>
    <w:rsid w:val="0013458A"/>
    <w:rsid w:val="001354CF"/>
    <w:rsid w:val="0013597D"/>
    <w:rsid w:val="00135E5D"/>
    <w:rsid w:val="001364A1"/>
    <w:rsid w:val="001367FB"/>
    <w:rsid w:val="00136B11"/>
    <w:rsid w:val="00136BC5"/>
    <w:rsid w:val="0013737C"/>
    <w:rsid w:val="0013783E"/>
    <w:rsid w:val="00137D27"/>
    <w:rsid w:val="00137DC4"/>
    <w:rsid w:val="00137E1A"/>
    <w:rsid w:val="001400BB"/>
    <w:rsid w:val="00140735"/>
    <w:rsid w:val="00140AEC"/>
    <w:rsid w:val="00140AFA"/>
    <w:rsid w:val="00140E4B"/>
    <w:rsid w:val="00141C2A"/>
    <w:rsid w:val="0014285A"/>
    <w:rsid w:val="00143932"/>
    <w:rsid w:val="00143D44"/>
    <w:rsid w:val="0014498E"/>
    <w:rsid w:val="00144BFE"/>
    <w:rsid w:val="001455C8"/>
    <w:rsid w:val="00146498"/>
    <w:rsid w:val="00146620"/>
    <w:rsid w:val="00146B8E"/>
    <w:rsid w:val="00146DB1"/>
    <w:rsid w:val="00147063"/>
    <w:rsid w:val="0014776C"/>
    <w:rsid w:val="00147882"/>
    <w:rsid w:val="00147DAE"/>
    <w:rsid w:val="00147EBC"/>
    <w:rsid w:val="00147ECC"/>
    <w:rsid w:val="001500C1"/>
    <w:rsid w:val="00150524"/>
    <w:rsid w:val="00151546"/>
    <w:rsid w:val="00151776"/>
    <w:rsid w:val="00151EA2"/>
    <w:rsid w:val="001532BF"/>
    <w:rsid w:val="0015385D"/>
    <w:rsid w:val="001544D6"/>
    <w:rsid w:val="001545B9"/>
    <w:rsid w:val="001560D6"/>
    <w:rsid w:val="0015610E"/>
    <w:rsid w:val="00156688"/>
    <w:rsid w:val="001567C6"/>
    <w:rsid w:val="00156EDC"/>
    <w:rsid w:val="00157681"/>
    <w:rsid w:val="00160034"/>
    <w:rsid w:val="00160091"/>
    <w:rsid w:val="001600AA"/>
    <w:rsid w:val="00160AE9"/>
    <w:rsid w:val="0016163F"/>
    <w:rsid w:val="00161887"/>
    <w:rsid w:val="00161E37"/>
    <w:rsid w:val="00161EC6"/>
    <w:rsid w:val="00162EFD"/>
    <w:rsid w:val="0016354B"/>
    <w:rsid w:val="00163563"/>
    <w:rsid w:val="0016374D"/>
    <w:rsid w:val="00163AAF"/>
    <w:rsid w:val="001640E0"/>
    <w:rsid w:val="0016444A"/>
    <w:rsid w:val="00164C00"/>
    <w:rsid w:val="001654D5"/>
    <w:rsid w:val="00165805"/>
    <w:rsid w:val="001660EA"/>
    <w:rsid w:val="00166900"/>
    <w:rsid w:val="0016692F"/>
    <w:rsid w:val="00166D16"/>
    <w:rsid w:val="0016706E"/>
    <w:rsid w:val="00167246"/>
    <w:rsid w:val="001679A5"/>
    <w:rsid w:val="00167A54"/>
    <w:rsid w:val="00167B25"/>
    <w:rsid w:val="00167B65"/>
    <w:rsid w:val="001701C2"/>
    <w:rsid w:val="0017077B"/>
    <w:rsid w:val="00170CEE"/>
    <w:rsid w:val="00170EC5"/>
    <w:rsid w:val="001712D6"/>
    <w:rsid w:val="001718AD"/>
    <w:rsid w:val="001721ED"/>
    <w:rsid w:val="00172B6F"/>
    <w:rsid w:val="00172C80"/>
    <w:rsid w:val="001731C7"/>
    <w:rsid w:val="001734CF"/>
    <w:rsid w:val="001736E9"/>
    <w:rsid w:val="0017384F"/>
    <w:rsid w:val="00173D59"/>
    <w:rsid w:val="00173DFF"/>
    <w:rsid w:val="001743ED"/>
    <w:rsid w:val="00174454"/>
    <w:rsid w:val="0017477C"/>
    <w:rsid w:val="0017481D"/>
    <w:rsid w:val="001748A6"/>
    <w:rsid w:val="00174C89"/>
    <w:rsid w:val="001751B0"/>
    <w:rsid w:val="00175515"/>
    <w:rsid w:val="0017559D"/>
    <w:rsid w:val="001759AE"/>
    <w:rsid w:val="001759D3"/>
    <w:rsid w:val="00175F8E"/>
    <w:rsid w:val="00176706"/>
    <w:rsid w:val="001769E6"/>
    <w:rsid w:val="0017746C"/>
    <w:rsid w:val="00177678"/>
    <w:rsid w:val="001776B8"/>
    <w:rsid w:val="001777BF"/>
    <w:rsid w:val="00177EC6"/>
    <w:rsid w:val="0018024E"/>
    <w:rsid w:val="00181AF6"/>
    <w:rsid w:val="00182F4B"/>
    <w:rsid w:val="00182F7B"/>
    <w:rsid w:val="0018391A"/>
    <w:rsid w:val="001839CD"/>
    <w:rsid w:val="001839DB"/>
    <w:rsid w:val="00184516"/>
    <w:rsid w:val="0018464C"/>
    <w:rsid w:val="00185B0C"/>
    <w:rsid w:val="00185D30"/>
    <w:rsid w:val="00185F89"/>
    <w:rsid w:val="00186084"/>
    <w:rsid w:val="001869FD"/>
    <w:rsid w:val="00186CE7"/>
    <w:rsid w:val="001878F9"/>
    <w:rsid w:val="00187CED"/>
    <w:rsid w:val="00190077"/>
    <w:rsid w:val="00190171"/>
    <w:rsid w:val="001908EC"/>
    <w:rsid w:val="00190ADD"/>
    <w:rsid w:val="00190E1F"/>
    <w:rsid w:val="0019105C"/>
    <w:rsid w:val="00191608"/>
    <w:rsid w:val="00191EA5"/>
    <w:rsid w:val="00191F20"/>
    <w:rsid w:val="001924C1"/>
    <w:rsid w:val="00192707"/>
    <w:rsid w:val="00192E2B"/>
    <w:rsid w:val="00193973"/>
    <w:rsid w:val="00193B6B"/>
    <w:rsid w:val="00193CC9"/>
    <w:rsid w:val="00194225"/>
    <w:rsid w:val="00194A96"/>
    <w:rsid w:val="00194ACE"/>
    <w:rsid w:val="00194E0E"/>
    <w:rsid w:val="00195150"/>
    <w:rsid w:val="001954DF"/>
    <w:rsid w:val="00195E9F"/>
    <w:rsid w:val="00196358"/>
    <w:rsid w:val="001964A0"/>
    <w:rsid w:val="0019655D"/>
    <w:rsid w:val="00196657"/>
    <w:rsid w:val="001969DD"/>
    <w:rsid w:val="00197339"/>
    <w:rsid w:val="001975EB"/>
    <w:rsid w:val="00197737"/>
    <w:rsid w:val="00197D0A"/>
    <w:rsid w:val="001A0025"/>
    <w:rsid w:val="001A009F"/>
    <w:rsid w:val="001A0573"/>
    <w:rsid w:val="001A0693"/>
    <w:rsid w:val="001A0B9C"/>
    <w:rsid w:val="001A136C"/>
    <w:rsid w:val="001A193E"/>
    <w:rsid w:val="001A1E0F"/>
    <w:rsid w:val="001A2309"/>
    <w:rsid w:val="001A25FF"/>
    <w:rsid w:val="001A291D"/>
    <w:rsid w:val="001A2F45"/>
    <w:rsid w:val="001A3711"/>
    <w:rsid w:val="001A3EC3"/>
    <w:rsid w:val="001A4336"/>
    <w:rsid w:val="001A4463"/>
    <w:rsid w:val="001A4AEA"/>
    <w:rsid w:val="001A50EB"/>
    <w:rsid w:val="001A50F8"/>
    <w:rsid w:val="001A5115"/>
    <w:rsid w:val="001A5B65"/>
    <w:rsid w:val="001A6048"/>
    <w:rsid w:val="001A679A"/>
    <w:rsid w:val="001A70DD"/>
    <w:rsid w:val="001A772D"/>
    <w:rsid w:val="001A7800"/>
    <w:rsid w:val="001A78AD"/>
    <w:rsid w:val="001A7F59"/>
    <w:rsid w:val="001B0912"/>
    <w:rsid w:val="001B0BCC"/>
    <w:rsid w:val="001B1273"/>
    <w:rsid w:val="001B1478"/>
    <w:rsid w:val="001B1E9C"/>
    <w:rsid w:val="001B20A4"/>
    <w:rsid w:val="001B2732"/>
    <w:rsid w:val="001B2CC2"/>
    <w:rsid w:val="001B308B"/>
    <w:rsid w:val="001B33E9"/>
    <w:rsid w:val="001B3B56"/>
    <w:rsid w:val="001B3B69"/>
    <w:rsid w:val="001B4358"/>
    <w:rsid w:val="001B481B"/>
    <w:rsid w:val="001B5338"/>
    <w:rsid w:val="001B5424"/>
    <w:rsid w:val="001B5AEE"/>
    <w:rsid w:val="001B6645"/>
    <w:rsid w:val="001B66CE"/>
    <w:rsid w:val="001B6716"/>
    <w:rsid w:val="001B697A"/>
    <w:rsid w:val="001B6A98"/>
    <w:rsid w:val="001B7753"/>
    <w:rsid w:val="001B7923"/>
    <w:rsid w:val="001C0645"/>
    <w:rsid w:val="001C1DDA"/>
    <w:rsid w:val="001C2470"/>
    <w:rsid w:val="001C3B42"/>
    <w:rsid w:val="001C4A9B"/>
    <w:rsid w:val="001C56A7"/>
    <w:rsid w:val="001C58F0"/>
    <w:rsid w:val="001C5944"/>
    <w:rsid w:val="001C5EFB"/>
    <w:rsid w:val="001C71C7"/>
    <w:rsid w:val="001C756B"/>
    <w:rsid w:val="001C774A"/>
    <w:rsid w:val="001C77F8"/>
    <w:rsid w:val="001D0666"/>
    <w:rsid w:val="001D0E3E"/>
    <w:rsid w:val="001D18E9"/>
    <w:rsid w:val="001D1DAA"/>
    <w:rsid w:val="001D218A"/>
    <w:rsid w:val="001D2BAE"/>
    <w:rsid w:val="001D2F8E"/>
    <w:rsid w:val="001D2FF1"/>
    <w:rsid w:val="001D3EE8"/>
    <w:rsid w:val="001D4232"/>
    <w:rsid w:val="001D4A48"/>
    <w:rsid w:val="001D4A9A"/>
    <w:rsid w:val="001D5A93"/>
    <w:rsid w:val="001D5C51"/>
    <w:rsid w:val="001D6A7A"/>
    <w:rsid w:val="001D7002"/>
    <w:rsid w:val="001D76EB"/>
    <w:rsid w:val="001D7D46"/>
    <w:rsid w:val="001D7E6D"/>
    <w:rsid w:val="001E000C"/>
    <w:rsid w:val="001E0503"/>
    <w:rsid w:val="001E06C1"/>
    <w:rsid w:val="001E09D5"/>
    <w:rsid w:val="001E10E8"/>
    <w:rsid w:val="001E189E"/>
    <w:rsid w:val="001E1962"/>
    <w:rsid w:val="001E1B99"/>
    <w:rsid w:val="001E1C98"/>
    <w:rsid w:val="001E1ECB"/>
    <w:rsid w:val="001E2120"/>
    <w:rsid w:val="001E2474"/>
    <w:rsid w:val="001E25EB"/>
    <w:rsid w:val="001E2783"/>
    <w:rsid w:val="001E301A"/>
    <w:rsid w:val="001E3788"/>
    <w:rsid w:val="001E37F3"/>
    <w:rsid w:val="001E4092"/>
    <w:rsid w:val="001E4A86"/>
    <w:rsid w:val="001E5F7F"/>
    <w:rsid w:val="001E68BF"/>
    <w:rsid w:val="001E6C8B"/>
    <w:rsid w:val="001E6F3A"/>
    <w:rsid w:val="001E7158"/>
    <w:rsid w:val="001E723D"/>
    <w:rsid w:val="001F00F5"/>
    <w:rsid w:val="001F0615"/>
    <w:rsid w:val="001F1053"/>
    <w:rsid w:val="001F21FD"/>
    <w:rsid w:val="001F22DC"/>
    <w:rsid w:val="001F2301"/>
    <w:rsid w:val="001F2513"/>
    <w:rsid w:val="001F2F3B"/>
    <w:rsid w:val="001F369D"/>
    <w:rsid w:val="001F3A0A"/>
    <w:rsid w:val="001F3FA8"/>
    <w:rsid w:val="001F4096"/>
    <w:rsid w:val="001F4293"/>
    <w:rsid w:val="001F4FF8"/>
    <w:rsid w:val="001F5191"/>
    <w:rsid w:val="001F5A5C"/>
    <w:rsid w:val="001F5E90"/>
    <w:rsid w:val="001F6B5C"/>
    <w:rsid w:val="001F6E2C"/>
    <w:rsid w:val="001F72D4"/>
    <w:rsid w:val="001F7729"/>
    <w:rsid w:val="0020030E"/>
    <w:rsid w:val="00200B9A"/>
    <w:rsid w:val="00200BAB"/>
    <w:rsid w:val="00201355"/>
    <w:rsid w:val="002013EA"/>
    <w:rsid w:val="00201655"/>
    <w:rsid w:val="00201E08"/>
    <w:rsid w:val="00202D08"/>
    <w:rsid w:val="002030D2"/>
    <w:rsid w:val="002032E3"/>
    <w:rsid w:val="0020346F"/>
    <w:rsid w:val="00203929"/>
    <w:rsid w:val="0020395E"/>
    <w:rsid w:val="002039A9"/>
    <w:rsid w:val="00203C39"/>
    <w:rsid w:val="00203CB5"/>
    <w:rsid w:val="00203DE2"/>
    <w:rsid w:val="00203E90"/>
    <w:rsid w:val="002048F3"/>
    <w:rsid w:val="002049C3"/>
    <w:rsid w:val="00204A38"/>
    <w:rsid w:val="00204D01"/>
    <w:rsid w:val="0020567C"/>
    <w:rsid w:val="00205A8C"/>
    <w:rsid w:val="00205D5E"/>
    <w:rsid w:val="00205E9F"/>
    <w:rsid w:val="00206041"/>
    <w:rsid w:val="00206406"/>
    <w:rsid w:val="002064B1"/>
    <w:rsid w:val="00206533"/>
    <w:rsid w:val="0020668F"/>
    <w:rsid w:val="00206C33"/>
    <w:rsid w:val="0020768B"/>
    <w:rsid w:val="00207EDF"/>
    <w:rsid w:val="00210904"/>
    <w:rsid w:val="00210D4F"/>
    <w:rsid w:val="0021178C"/>
    <w:rsid w:val="002117D9"/>
    <w:rsid w:val="0021181B"/>
    <w:rsid w:val="00212299"/>
    <w:rsid w:val="0021239A"/>
    <w:rsid w:val="00212A8C"/>
    <w:rsid w:val="002134B1"/>
    <w:rsid w:val="00213E34"/>
    <w:rsid w:val="002140EF"/>
    <w:rsid w:val="002141AE"/>
    <w:rsid w:val="00214C14"/>
    <w:rsid w:val="00214FC4"/>
    <w:rsid w:val="00215274"/>
    <w:rsid w:val="00215432"/>
    <w:rsid w:val="00215AD1"/>
    <w:rsid w:val="00215B12"/>
    <w:rsid w:val="00215FE8"/>
    <w:rsid w:val="00216208"/>
    <w:rsid w:val="002166EB"/>
    <w:rsid w:val="00216C56"/>
    <w:rsid w:val="002175A5"/>
    <w:rsid w:val="002175C8"/>
    <w:rsid w:val="00217A05"/>
    <w:rsid w:val="00217FB0"/>
    <w:rsid w:val="002201E2"/>
    <w:rsid w:val="0022039A"/>
    <w:rsid w:val="00220C7A"/>
    <w:rsid w:val="00220CDE"/>
    <w:rsid w:val="00220D2F"/>
    <w:rsid w:val="00220DA8"/>
    <w:rsid w:val="002218C1"/>
    <w:rsid w:val="00222C9E"/>
    <w:rsid w:val="0022309B"/>
    <w:rsid w:val="00223315"/>
    <w:rsid w:val="00223328"/>
    <w:rsid w:val="0022373F"/>
    <w:rsid w:val="0022396C"/>
    <w:rsid w:val="0022439A"/>
    <w:rsid w:val="00224466"/>
    <w:rsid w:val="00224866"/>
    <w:rsid w:val="00224E07"/>
    <w:rsid w:val="00225404"/>
    <w:rsid w:val="002257F5"/>
    <w:rsid w:val="00225DB9"/>
    <w:rsid w:val="00230143"/>
    <w:rsid w:val="0023042C"/>
    <w:rsid w:val="00230CBD"/>
    <w:rsid w:val="00230D38"/>
    <w:rsid w:val="00231B4E"/>
    <w:rsid w:val="00231E1F"/>
    <w:rsid w:val="002328AF"/>
    <w:rsid w:val="00232A75"/>
    <w:rsid w:val="00232D3A"/>
    <w:rsid w:val="00232FC9"/>
    <w:rsid w:val="00233501"/>
    <w:rsid w:val="002336C7"/>
    <w:rsid w:val="002344F4"/>
    <w:rsid w:val="00234A25"/>
    <w:rsid w:val="002350F5"/>
    <w:rsid w:val="0023521B"/>
    <w:rsid w:val="00235535"/>
    <w:rsid w:val="00235A20"/>
    <w:rsid w:val="00235AAE"/>
    <w:rsid w:val="0023665B"/>
    <w:rsid w:val="0023767D"/>
    <w:rsid w:val="00237947"/>
    <w:rsid w:val="00237A4F"/>
    <w:rsid w:val="00237EA6"/>
    <w:rsid w:val="00240007"/>
    <w:rsid w:val="002400E7"/>
    <w:rsid w:val="00240142"/>
    <w:rsid w:val="00240196"/>
    <w:rsid w:val="00240D60"/>
    <w:rsid w:val="002415C3"/>
    <w:rsid w:val="0024179A"/>
    <w:rsid w:val="00241A86"/>
    <w:rsid w:val="00241B75"/>
    <w:rsid w:val="002420BD"/>
    <w:rsid w:val="00242295"/>
    <w:rsid w:val="00242A12"/>
    <w:rsid w:val="00242E25"/>
    <w:rsid w:val="00242EBE"/>
    <w:rsid w:val="00242F3B"/>
    <w:rsid w:val="00244BF3"/>
    <w:rsid w:val="002453AE"/>
    <w:rsid w:val="002454BA"/>
    <w:rsid w:val="00245B13"/>
    <w:rsid w:val="00246179"/>
    <w:rsid w:val="0024688E"/>
    <w:rsid w:val="00246D36"/>
    <w:rsid w:val="00246FD0"/>
    <w:rsid w:val="002474C8"/>
    <w:rsid w:val="002477A3"/>
    <w:rsid w:val="00247FE0"/>
    <w:rsid w:val="0025056B"/>
    <w:rsid w:val="00250F1E"/>
    <w:rsid w:val="002510EB"/>
    <w:rsid w:val="002512C0"/>
    <w:rsid w:val="00251533"/>
    <w:rsid w:val="00251565"/>
    <w:rsid w:val="00251C52"/>
    <w:rsid w:val="00251F8B"/>
    <w:rsid w:val="002526CA"/>
    <w:rsid w:val="002534F2"/>
    <w:rsid w:val="002539E9"/>
    <w:rsid w:val="00253FFE"/>
    <w:rsid w:val="002543B3"/>
    <w:rsid w:val="00254D2E"/>
    <w:rsid w:val="00254D44"/>
    <w:rsid w:val="00254E5A"/>
    <w:rsid w:val="0025501B"/>
    <w:rsid w:val="002551EA"/>
    <w:rsid w:val="00256E82"/>
    <w:rsid w:val="002570C2"/>
    <w:rsid w:val="00257E6C"/>
    <w:rsid w:val="00257F10"/>
    <w:rsid w:val="00257FC9"/>
    <w:rsid w:val="00260088"/>
    <w:rsid w:val="002603CA"/>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C56"/>
    <w:rsid w:val="002662C5"/>
    <w:rsid w:val="0026644A"/>
    <w:rsid w:val="00266609"/>
    <w:rsid w:val="002679AE"/>
    <w:rsid w:val="002700E9"/>
    <w:rsid w:val="00270A2E"/>
    <w:rsid w:val="00270B86"/>
    <w:rsid w:val="00270CC4"/>
    <w:rsid w:val="002720E5"/>
    <w:rsid w:val="002723C5"/>
    <w:rsid w:val="00273E88"/>
    <w:rsid w:val="00274466"/>
    <w:rsid w:val="0027480A"/>
    <w:rsid w:val="002751ED"/>
    <w:rsid w:val="002755AF"/>
    <w:rsid w:val="002756BD"/>
    <w:rsid w:val="00275C51"/>
    <w:rsid w:val="00275FBD"/>
    <w:rsid w:val="002766FE"/>
    <w:rsid w:val="00276819"/>
    <w:rsid w:val="00276843"/>
    <w:rsid w:val="00276B6D"/>
    <w:rsid w:val="00276BEE"/>
    <w:rsid w:val="00276E83"/>
    <w:rsid w:val="00277466"/>
    <w:rsid w:val="00277B33"/>
    <w:rsid w:val="00277F22"/>
    <w:rsid w:val="00277FAB"/>
    <w:rsid w:val="0028015F"/>
    <w:rsid w:val="0028019F"/>
    <w:rsid w:val="002809EA"/>
    <w:rsid w:val="00280A47"/>
    <w:rsid w:val="00280BC7"/>
    <w:rsid w:val="0028154C"/>
    <w:rsid w:val="0028170C"/>
    <w:rsid w:val="0028174F"/>
    <w:rsid w:val="00281D73"/>
    <w:rsid w:val="00282016"/>
    <w:rsid w:val="00282049"/>
    <w:rsid w:val="002822D1"/>
    <w:rsid w:val="00282565"/>
    <w:rsid w:val="002826D2"/>
    <w:rsid w:val="0028279E"/>
    <w:rsid w:val="00282ABE"/>
    <w:rsid w:val="0028337E"/>
    <w:rsid w:val="00283E0F"/>
    <w:rsid w:val="00283EAE"/>
    <w:rsid w:val="002841D7"/>
    <w:rsid w:val="002842FF"/>
    <w:rsid w:val="00284DDC"/>
    <w:rsid w:val="0028565B"/>
    <w:rsid w:val="00285D03"/>
    <w:rsid w:val="002866FF"/>
    <w:rsid w:val="00286E1F"/>
    <w:rsid w:val="00286FD6"/>
    <w:rsid w:val="002871B2"/>
    <w:rsid w:val="002871EA"/>
    <w:rsid w:val="002873E1"/>
    <w:rsid w:val="0028787F"/>
    <w:rsid w:val="00287E4A"/>
    <w:rsid w:val="002900CF"/>
    <w:rsid w:val="00290916"/>
    <w:rsid w:val="00290D42"/>
    <w:rsid w:val="0029227A"/>
    <w:rsid w:val="002923F3"/>
    <w:rsid w:val="0029328D"/>
    <w:rsid w:val="00293810"/>
    <w:rsid w:val="00293C4F"/>
    <w:rsid w:val="00293D90"/>
    <w:rsid w:val="00294728"/>
    <w:rsid w:val="002947AF"/>
    <w:rsid w:val="002948BC"/>
    <w:rsid w:val="00294BDD"/>
    <w:rsid w:val="00294F2B"/>
    <w:rsid w:val="00294F6F"/>
    <w:rsid w:val="0029533F"/>
    <w:rsid w:val="00295CD4"/>
    <w:rsid w:val="00296108"/>
    <w:rsid w:val="0029638E"/>
    <w:rsid w:val="00297661"/>
    <w:rsid w:val="002978CC"/>
    <w:rsid w:val="002978EC"/>
    <w:rsid w:val="00297F48"/>
    <w:rsid w:val="002A085D"/>
    <w:rsid w:val="002A0A13"/>
    <w:rsid w:val="002A0F24"/>
    <w:rsid w:val="002A123D"/>
    <w:rsid w:val="002A1626"/>
    <w:rsid w:val="002A1670"/>
    <w:rsid w:val="002A1BB8"/>
    <w:rsid w:val="002A1FC2"/>
    <w:rsid w:val="002A1FE8"/>
    <w:rsid w:val="002A1FFB"/>
    <w:rsid w:val="002A2A83"/>
    <w:rsid w:val="002A2BB4"/>
    <w:rsid w:val="002A2EA1"/>
    <w:rsid w:val="002A3955"/>
    <w:rsid w:val="002A3C6C"/>
    <w:rsid w:val="002A3E4D"/>
    <w:rsid w:val="002A3EE7"/>
    <w:rsid w:val="002A4323"/>
    <w:rsid w:val="002A46CB"/>
    <w:rsid w:val="002A49B7"/>
    <w:rsid w:val="002A4E10"/>
    <w:rsid w:val="002A5523"/>
    <w:rsid w:val="002A563D"/>
    <w:rsid w:val="002A5E89"/>
    <w:rsid w:val="002A63C7"/>
    <w:rsid w:val="002A7116"/>
    <w:rsid w:val="002A7737"/>
    <w:rsid w:val="002B0EC2"/>
    <w:rsid w:val="002B0FB4"/>
    <w:rsid w:val="002B1874"/>
    <w:rsid w:val="002B1B4E"/>
    <w:rsid w:val="002B1DD3"/>
    <w:rsid w:val="002B2021"/>
    <w:rsid w:val="002B21B2"/>
    <w:rsid w:val="002B221E"/>
    <w:rsid w:val="002B286B"/>
    <w:rsid w:val="002B2C9F"/>
    <w:rsid w:val="002B2DD0"/>
    <w:rsid w:val="002B2EF2"/>
    <w:rsid w:val="002B33E4"/>
    <w:rsid w:val="002B375C"/>
    <w:rsid w:val="002B37E0"/>
    <w:rsid w:val="002B3E97"/>
    <w:rsid w:val="002B3E98"/>
    <w:rsid w:val="002B4962"/>
    <w:rsid w:val="002B5B9F"/>
    <w:rsid w:val="002B609D"/>
    <w:rsid w:val="002B6349"/>
    <w:rsid w:val="002B639F"/>
    <w:rsid w:val="002B66A5"/>
    <w:rsid w:val="002B6FC6"/>
    <w:rsid w:val="002B7046"/>
    <w:rsid w:val="002B738D"/>
    <w:rsid w:val="002B79EF"/>
    <w:rsid w:val="002B7E1C"/>
    <w:rsid w:val="002B7FFA"/>
    <w:rsid w:val="002C1D75"/>
    <w:rsid w:val="002C339B"/>
    <w:rsid w:val="002C3879"/>
    <w:rsid w:val="002C3E32"/>
    <w:rsid w:val="002C4B2D"/>
    <w:rsid w:val="002C4D23"/>
    <w:rsid w:val="002C4E34"/>
    <w:rsid w:val="002C51D6"/>
    <w:rsid w:val="002C5236"/>
    <w:rsid w:val="002C52A4"/>
    <w:rsid w:val="002C5380"/>
    <w:rsid w:val="002C5593"/>
    <w:rsid w:val="002C563C"/>
    <w:rsid w:val="002C5D51"/>
    <w:rsid w:val="002C6280"/>
    <w:rsid w:val="002C686F"/>
    <w:rsid w:val="002C6A56"/>
    <w:rsid w:val="002C740B"/>
    <w:rsid w:val="002C7993"/>
    <w:rsid w:val="002C79B2"/>
    <w:rsid w:val="002C7CA4"/>
    <w:rsid w:val="002D0111"/>
    <w:rsid w:val="002D01CA"/>
    <w:rsid w:val="002D0AE3"/>
    <w:rsid w:val="002D0BDE"/>
    <w:rsid w:val="002D14A2"/>
    <w:rsid w:val="002D1779"/>
    <w:rsid w:val="002D280F"/>
    <w:rsid w:val="002D2A33"/>
    <w:rsid w:val="002D35E1"/>
    <w:rsid w:val="002D3A57"/>
    <w:rsid w:val="002D4B3B"/>
    <w:rsid w:val="002D4C1F"/>
    <w:rsid w:val="002D5149"/>
    <w:rsid w:val="002D5CED"/>
    <w:rsid w:val="002D5F1C"/>
    <w:rsid w:val="002D61FA"/>
    <w:rsid w:val="002D6269"/>
    <w:rsid w:val="002D63F1"/>
    <w:rsid w:val="002D64BA"/>
    <w:rsid w:val="002D6C49"/>
    <w:rsid w:val="002D7059"/>
    <w:rsid w:val="002D778F"/>
    <w:rsid w:val="002D7A20"/>
    <w:rsid w:val="002D7C56"/>
    <w:rsid w:val="002D7FE2"/>
    <w:rsid w:val="002E0A17"/>
    <w:rsid w:val="002E0C77"/>
    <w:rsid w:val="002E0C78"/>
    <w:rsid w:val="002E0E38"/>
    <w:rsid w:val="002E19D1"/>
    <w:rsid w:val="002E250F"/>
    <w:rsid w:val="002E500B"/>
    <w:rsid w:val="002E5548"/>
    <w:rsid w:val="002E59A6"/>
    <w:rsid w:val="002E59D4"/>
    <w:rsid w:val="002E5B01"/>
    <w:rsid w:val="002E6D85"/>
    <w:rsid w:val="002E6E29"/>
    <w:rsid w:val="002E6FF5"/>
    <w:rsid w:val="002E70CE"/>
    <w:rsid w:val="002E78B7"/>
    <w:rsid w:val="002E7DF0"/>
    <w:rsid w:val="002F01E7"/>
    <w:rsid w:val="002F0659"/>
    <w:rsid w:val="002F07FD"/>
    <w:rsid w:val="002F2013"/>
    <w:rsid w:val="002F25F3"/>
    <w:rsid w:val="002F2617"/>
    <w:rsid w:val="002F26E9"/>
    <w:rsid w:val="002F295A"/>
    <w:rsid w:val="002F298C"/>
    <w:rsid w:val="002F2F9E"/>
    <w:rsid w:val="002F3291"/>
    <w:rsid w:val="002F3404"/>
    <w:rsid w:val="002F3D93"/>
    <w:rsid w:val="002F4358"/>
    <w:rsid w:val="002F437B"/>
    <w:rsid w:val="002F4437"/>
    <w:rsid w:val="002F4843"/>
    <w:rsid w:val="002F4BAB"/>
    <w:rsid w:val="002F567D"/>
    <w:rsid w:val="002F60C4"/>
    <w:rsid w:val="002F6CB6"/>
    <w:rsid w:val="002F6E41"/>
    <w:rsid w:val="003010E0"/>
    <w:rsid w:val="00302ACF"/>
    <w:rsid w:val="003030F0"/>
    <w:rsid w:val="003032C9"/>
    <w:rsid w:val="00303BD6"/>
    <w:rsid w:val="00303C09"/>
    <w:rsid w:val="00303C3C"/>
    <w:rsid w:val="00304300"/>
    <w:rsid w:val="0030446D"/>
    <w:rsid w:val="00304E25"/>
    <w:rsid w:val="0030531E"/>
    <w:rsid w:val="003053E0"/>
    <w:rsid w:val="0030562F"/>
    <w:rsid w:val="0030655B"/>
    <w:rsid w:val="00307246"/>
    <w:rsid w:val="00307BB9"/>
    <w:rsid w:val="00310241"/>
    <w:rsid w:val="00310386"/>
    <w:rsid w:val="00310461"/>
    <w:rsid w:val="00311EB7"/>
    <w:rsid w:val="003121E0"/>
    <w:rsid w:val="00312304"/>
    <w:rsid w:val="003123AB"/>
    <w:rsid w:val="00312E80"/>
    <w:rsid w:val="00313374"/>
    <w:rsid w:val="00313E6D"/>
    <w:rsid w:val="00313F21"/>
    <w:rsid w:val="00313FF6"/>
    <w:rsid w:val="00314099"/>
    <w:rsid w:val="003140DC"/>
    <w:rsid w:val="0031417D"/>
    <w:rsid w:val="003142A2"/>
    <w:rsid w:val="00314D1B"/>
    <w:rsid w:val="00314D2A"/>
    <w:rsid w:val="00314E57"/>
    <w:rsid w:val="00314E5A"/>
    <w:rsid w:val="003159DF"/>
    <w:rsid w:val="00315CE2"/>
    <w:rsid w:val="00316334"/>
    <w:rsid w:val="0031675A"/>
    <w:rsid w:val="00316DC7"/>
    <w:rsid w:val="003170AE"/>
    <w:rsid w:val="00317544"/>
    <w:rsid w:val="00317982"/>
    <w:rsid w:val="00317A26"/>
    <w:rsid w:val="00317FAB"/>
    <w:rsid w:val="00320780"/>
    <w:rsid w:val="00320C9F"/>
    <w:rsid w:val="00320D05"/>
    <w:rsid w:val="00321173"/>
    <w:rsid w:val="003211C8"/>
    <w:rsid w:val="00321492"/>
    <w:rsid w:val="0032169A"/>
    <w:rsid w:val="0032197E"/>
    <w:rsid w:val="003224B5"/>
    <w:rsid w:val="003226A0"/>
    <w:rsid w:val="003229EC"/>
    <w:rsid w:val="003234B5"/>
    <w:rsid w:val="00323D66"/>
    <w:rsid w:val="00323EAC"/>
    <w:rsid w:val="00323F94"/>
    <w:rsid w:val="0032472D"/>
    <w:rsid w:val="00324864"/>
    <w:rsid w:val="00324BD9"/>
    <w:rsid w:val="00324C74"/>
    <w:rsid w:val="00324D93"/>
    <w:rsid w:val="00324E87"/>
    <w:rsid w:val="003250F9"/>
    <w:rsid w:val="00325250"/>
    <w:rsid w:val="00325515"/>
    <w:rsid w:val="003258C5"/>
    <w:rsid w:val="0032598E"/>
    <w:rsid w:val="003259FF"/>
    <w:rsid w:val="00325E7A"/>
    <w:rsid w:val="00325EDF"/>
    <w:rsid w:val="0032675C"/>
    <w:rsid w:val="00326839"/>
    <w:rsid w:val="00326AD4"/>
    <w:rsid w:val="00326E82"/>
    <w:rsid w:val="003270A5"/>
    <w:rsid w:val="003300A8"/>
    <w:rsid w:val="003307CC"/>
    <w:rsid w:val="00331420"/>
    <w:rsid w:val="00331427"/>
    <w:rsid w:val="00331506"/>
    <w:rsid w:val="0033305F"/>
    <w:rsid w:val="00333E95"/>
    <w:rsid w:val="00334938"/>
    <w:rsid w:val="00335FFF"/>
    <w:rsid w:val="003366FF"/>
    <w:rsid w:val="00336F3D"/>
    <w:rsid w:val="003370B9"/>
    <w:rsid w:val="003371FF"/>
    <w:rsid w:val="00337327"/>
    <w:rsid w:val="003373C0"/>
    <w:rsid w:val="00337855"/>
    <w:rsid w:val="00341024"/>
    <w:rsid w:val="00341459"/>
    <w:rsid w:val="00342773"/>
    <w:rsid w:val="00342906"/>
    <w:rsid w:val="00342BD2"/>
    <w:rsid w:val="00342C83"/>
    <w:rsid w:val="003430B4"/>
    <w:rsid w:val="003430E4"/>
    <w:rsid w:val="00343691"/>
    <w:rsid w:val="003438D0"/>
    <w:rsid w:val="00343927"/>
    <w:rsid w:val="00343CF0"/>
    <w:rsid w:val="003443DF"/>
    <w:rsid w:val="003447BC"/>
    <w:rsid w:val="00344C52"/>
    <w:rsid w:val="00344ECD"/>
    <w:rsid w:val="00344F9D"/>
    <w:rsid w:val="00347453"/>
    <w:rsid w:val="00347F27"/>
    <w:rsid w:val="003504DC"/>
    <w:rsid w:val="0035064D"/>
    <w:rsid w:val="00350FCC"/>
    <w:rsid w:val="0035100F"/>
    <w:rsid w:val="0035115D"/>
    <w:rsid w:val="00351240"/>
    <w:rsid w:val="00351312"/>
    <w:rsid w:val="0035132E"/>
    <w:rsid w:val="0035148D"/>
    <w:rsid w:val="003514E4"/>
    <w:rsid w:val="00351B38"/>
    <w:rsid w:val="003524A9"/>
    <w:rsid w:val="003530A3"/>
    <w:rsid w:val="0035310D"/>
    <w:rsid w:val="00353737"/>
    <w:rsid w:val="00353F9D"/>
    <w:rsid w:val="0035416A"/>
    <w:rsid w:val="00354ADE"/>
    <w:rsid w:val="00354EC0"/>
    <w:rsid w:val="00355290"/>
    <w:rsid w:val="003558D6"/>
    <w:rsid w:val="00355B35"/>
    <w:rsid w:val="00357325"/>
    <w:rsid w:val="00357D93"/>
    <w:rsid w:val="00357E56"/>
    <w:rsid w:val="0036069E"/>
    <w:rsid w:val="00360E21"/>
    <w:rsid w:val="0036177A"/>
    <w:rsid w:val="003618EB"/>
    <w:rsid w:val="00361F52"/>
    <w:rsid w:val="003628E9"/>
    <w:rsid w:val="00362B5F"/>
    <w:rsid w:val="00362C00"/>
    <w:rsid w:val="00363439"/>
    <w:rsid w:val="00363E15"/>
    <w:rsid w:val="00365A6C"/>
    <w:rsid w:val="00365CB8"/>
    <w:rsid w:val="00365ED9"/>
    <w:rsid w:val="0036623B"/>
    <w:rsid w:val="00366306"/>
    <w:rsid w:val="0036725C"/>
    <w:rsid w:val="00370C71"/>
    <w:rsid w:val="003711D4"/>
    <w:rsid w:val="00371789"/>
    <w:rsid w:val="0037271B"/>
    <w:rsid w:val="00372941"/>
    <w:rsid w:val="00374408"/>
    <w:rsid w:val="003745D6"/>
    <w:rsid w:val="003749BE"/>
    <w:rsid w:val="00374C34"/>
    <w:rsid w:val="003755F6"/>
    <w:rsid w:val="003756B0"/>
    <w:rsid w:val="0037649D"/>
    <w:rsid w:val="00376A32"/>
    <w:rsid w:val="00377BB9"/>
    <w:rsid w:val="00377C0D"/>
    <w:rsid w:val="003805D2"/>
    <w:rsid w:val="003809C1"/>
    <w:rsid w:val="00381104"/>
    <w:rsid w:val="003811A4"/>
    <w:rsid w:val="00381484"/>
    <w:rsid w:val="00381562"/>
    <w:rsid w:val="00381B4B"/>
    <w:rsid w:val="00382C88"/>
    <w:rsid w:val="0038303C"/>
    <w:rsid w:val="003830EF"/>
    <w:rsid w:val="00383742"/>
    <w:rsid w:val="00383AF3"/>
    <w:rsid w:val="00383B34"/>
    <w:rsid w:val="00383C72"/>
    <w:rsid w:val="00384072"/>
    <w:rsid w:val="0038453E"/>
    <w:rsid w:val="00384563"/>
    <w:rsid w:val="0038458E"/>
    <w:rsid w:val="00385870"/>
    <w:rsid w:val="00385B71"/>
    <w:rsid w:val="00385CB1"/>
    <w:rsid w:val="00385E4D"/>
    <w:rsid w:val="003866AA"/>
    <w:rsid w:val="00386CC5"/>
    <w:rsid w:val="00387073"/>
    <w:rsid w:val="0038723A"/>
    <w:rsid w:val="003877B7"/>
    <w:rsid w:val="00387E7A"/>
    <w:rsid w:val="003901BC"/>
    <w:rsid w:val="00390382"/>
    <w:rsid w:val="00390D47"/>
    <w:rsid w:val="00390FCA"/>
    <w:rsid w:val="003910EE"/>
    <w:rsid w:val="00391371"/>
    <w:rsid w:val="00391CB9"/>
    <w:rsid w:val="00391CCF"/>
    <w:rsid w:val="0039319B"/>
    <w:rsid w:val="003934D0"/>
    <w:rsid w:val="00393526"/>
    <w:rsid w:val="00393561"/>
    <w:rsid w:val="0039392F"/>
    <w:rsid w:val="00393D06"/>
    <w:rsid w:val="00394AAE"/>
    <w:rsid w:val="00394C43"/>
    <w:rsid w:val="00394D29"/>
    <w:rsid w:val="00394EF2"/>
    <w:rsid w:val="00395026"/>
    <w:rsid w:val="00395BBE"/>
    <w:rsid w:val="00395C6C"/>
    <w:rsid w:val="00395D0C"/>
    <w:rsid w:val="00395F33"/>
    <w:rsid w:val="00396302"/>
    <w:rsid w:val="00396398"/>
    <w:rsid w:val="0039678F"/>
    <w:rsid w:val="00396C72"/>
    <w:rsid w:val="00396FA3"/>
    <w:rsid w:val="0039739C"/>
    <w:rsid w:val="00397D42"/>
    <w:rsid w:val="003A09AE"/>
    <w:rsid w:val="003A0A78"/>
    <w:rsid w:val="003A106C"/>
    <w:rsid w:val="003A1258"/>
    <w:rsid w:val="003A1531"/>
    <w:rsid w:val="003A19BD"/>
    <w:rsid w:val="003A1CAD"/>
    <w:rsid w:val="003A1D3C"/>
    <w:rsid w:val="003A223C"/>
    <w:rsid w:val="003A2952"/>
    <w:rsid w:val="003A3B3A"/>
    <w:rsid w:val="003A3C69"/>
    <w:rsid w:val="003A415A"/>
    <w:rsid w:val="003A4576"/>
    <w:rsid w:val="003A45BC"/>
    <w:rsid w:val="003A47B4"/>
    <w:rsid w:val="003A5093"/>
    <w:rsid w:val="003A50FA"/>
    <w:rsid w:val="003A517F"/>
    <w:rsid w:val="003A54B9"/>
    <w:rsid w:val="003A5A52"/>
    <w:rsid w:val="003A6283"/>
    <w:rsid w:val="003A63D3"/>
    <w:rsid w:val="003A69D1"/>
    <w:rsid w:val="003A6F73"/>
    <w:rsid w:val="003A70C6"/>
    <w:rsid w:val="003A7300"/>
    <w:rsid w:val="003A7434"/>
    <w:rsid w:val="003A7543"/>
    <w:rsid w:val="003A7C19"/>
    <w:rsid w:val="003B0D95"/>
    <w:rsid w:val="003B0F9B"/>
    <w:rsid w:val="003B12A2"/>
    <w:rsid w:val="003B1AFC"/>
    <w:rsid w:val="003B2109"/>
    <w:rsid w:val="003B2154"/>
    <w:rsid w:val="003B2811"/>
    <w:rsid w:val="003B2CE4"/>
    <w:rsid w:val="003B38E9"/>
    <w:rsid w:val="003B41DD"/>
    <w:rsid w:val="003B51FD"/>
    <w:rsid w:val="003B6E20"/>
    <w:rsid w:val="003B7796"/>
    <w:rsid w:val="003C06ED"/>
    <w:rsid w:val="003C0D8C"/>
    <w:rsid w:val="003C0E35"/>
    <w:rsid w:val="003C0F20"/>
    <w:rsid w:val="003C0FA5"/>
    <w:rsid w:val="003C10FB"/>
    <w:rsid w:val="003C1239"/>
    <w:rsid w:val="003C1A2D"/>
    <w:rsid w:val="003C2136"/>
    <w:rsid w:val="003C2350"/>
    <w:rsid w:val="003C2383"/>
    <w:rsid w:val="003C267A"/>
    <w:rsid w:val="003C28AE"/>
    <w:rsid w:val="003C2F57"/>
    <w:rsid w:val="003C32FA"/>
    <w:rsid w:val="003C3343"/>
    <w:rsid w:val="003C36C7"/>
    <w:rsid w:val="003C47BD"/>
    <w:rsid w:val="003C48F5"/>
    <w:rsid w:val="003C4DA1"/>
    <w:rsid w:val="003C535B"/>
    <w:rsid w:val="003C6151"/>
    <w:rsid w:val="003C623C"/>
    <w:rsid w:val="003C6334"/>
    <w:rsid w:val="003C709E"/>
    <w:rsid w:val="003C7235"/>
    <w:rsid w:val="003C72A0"/>
    <w:rsid w:val="003C77FA"/>
    <w:rsid w:val="003C7B1B"/>
    <w:rsid w:val="003C7F9E"/>
    <w:rsid w:val="003D00F3"/>
    <w:rsid w:val="003D0371"/>
    <w:rsid w:val="003D0500"/>
    <w:rsid w:val="003D0D72"/>
    <w:rsid w:val="003D0D92"/>
    <w:rsid w:val="003D122F"/>
    <w:rsid w:val="003D140C"/>
    <w:rsid w:val="003D1D3C"/>
    <w:rsid w:val="003D27A5"/>
    <w:rsid w:val="003D2C8C"/>
    <w:rsid w:val="003D30DD"/>
    <w:rsid w:val="003D3534"/>
    <w:rsid w:val="003D39B3"/>
    <w:rsid w:val="003D3D91"/>
    <w:rsid w:val="003D4127"/>
    <w:rsid w:val="003D47DF"/>
    <w:rsid w:val="003D4C5B"/>
    <w:rsid w:val="003D51A4"/>
    <w:rsid w:val="003D5855"/>
    <w:rsid w:val="003D5BEB"/>
    <w:rsid w:val="003D69B6"/>
    <w:rsid w:val="003D6E61"/>
    <w:rsid w:val="003D735E"/>
    <w:rsid w:val="003D7651"/>
    <w:rsid w:val="003D7FDF"/>
    <w:rsid w:val="003E0160"/>
    <w:rsid w:val="003E0582"/>
    <w:rsid w:val="003E0A33"/>
    <w:rsid w:val="003E0F24"/>
    <w:rsid w:val="003E19A1"/>
    <w:rsid w:val="003E19A8"/>
    <w:rsid w:val="003E1AAD"/>
    <w:rsid w:val="003E2067"/>
    <w:rsid w:val="003E2129"/>
    <w:rsid w:val="003E247C"/>
    <w:rsid w:val="003E28A0"/>
    <w:rsid w:val="003E2B46"/>
    <w:rsid w:val="003E2D86"/>
    <w:rsid w:val="003E2DDF"/>
    <w:rsid w:val="003E3226"/>
    <w:rsid w:val="003E378F"/>
    <w:rsid w:val="003E3AA5"/>
    <w:rsid w:val="003E3C81"/>
    <w:rsid w:val="003E4BBB"/>
    <w:rsid w:val="003E4D86"/>
    <w:rsid w:val="003E4E86"/>
    <w:rsid w:val="003E61EB"/>
    <w:rsid w:val="003E63B9"/>
    <w:rsid w:val="003E65F8"/>
    <w:rsid w:val="003E6657"/>
    <w:rsid w:val="003E6DCF"/>
    <w:rsid w:val="003E7028"/>
    <w:rsid w:val="003E75ED"/>
    <w:rsid w:val="003F0C65"/>
    <w:rsid w:val="003F0DD3"/>
    <w:rsid w:val="003F1182"/>
    <w:rsid w:val="003F11B3"/>
    <w:rsid w:val="003F1473"/>
    <w:rsid w:val="003F1571"/>
    <w:rsid w:val="003F1CA9"/>
    <w:rsid w:val="003F1E52"/>
    <w:rsid w:val="003F1EA1"/>
    <w:rsid w:val="003F2909"/>
    <w:rsid w:val="003F2D43"/>
    <w:rsid w:val="003F426D"/>
    <w:rsid w:val="003F4798"/>
    <w:rsid w:val="003F4B69"/>
    <w:rsid w:val="003F5993"/>
    <w:rsid w:val="003F6228"/>
    <w:rsid w:val="003F6814"/>
    <w:rsid w:val="003F6824"/>
    <w:rsid w:val="003F6835"/>
    <w:rsid w:val="003F68E3"/>
    <w:rsid w:val="003F71DB"/>
    <w:rsid w:val="003F72C9"/>
    <w:rsid w:val="003F75A4"/>
    <w:rsid w:val="003F75CF"/>
    <w:rsid w:val="003F798E"/>
    <w:rsid w:val="0040054D"/>
    <w:rsid w:val="00400DDF"/>
    <w:rsid w:val="00401163"/>
    <w:rsid w:val="00401C41"/>
    <w:rsid w:val="0040265C"/>
    <w:rsid w:val="00402AA0"/>
    <w:rsid w:val="00402C08"/>
    <w:rsid w:val="00402C37"/>
    <w:rsid w:val="00402E04"/>
    <w:rsid w:val="00402F29"/>
    <w:rsid w:val="00403817"/>
    <w:rsid w:val="00403C6E"/>
    <w:rsid w:val="00403CDC"/>
    <w:rsid w:val="00403D39"/>
    <w:rsid w:val="00404169"/>
    <w:rsid w:val="004046BA"/>
    <w:rsid w:val="00404A9B"/>
    <w:rsid w:val="004059AB"/>
    <w:rsid w:val="00406010"/>
    <w:rsid w:val="004062B3"/>
    <w:rsid w:val="004066D3"/>
    <w:rsid w:val="00406717"/>
    <w:rsid w:val="00406CFF"/>
    <w:rsid w:val="00406EA4"/>
    <w:rsid w:val="00406EB6"/>
    <w:rsid w:val="00407193"/>
    <w:rsid w:val="004071A4"/>
    <w:rsid w:val="00407857"/>
    <w:rsid w:val="0040787D"/>
    <w:rsid w:val="00410DCC"/>
    <w:rsid w:val="004113EC"/>
    <w:rsid w:val="004117AF"/>
    <w:rsid w:val="00411F92"/>
    <w:rsid w:val="00412C4B"/>
    <w:rsid w:val="00412D8B"/>
    <w:rsid w:val="00413DE2"/>
    <w:rsid w:val="004156F1"/>
    <w:rsid w:val="00415928"/>
    <w:rsid w:val="00415B2B"/>
    <w:rsid w:val="00415D09"/>
    <w:rsid w:val="00415F25"/>
    <w:rsid w:val="00416089"/>
    <w:rsid w:val="0041608F"/>
    <w:rsid w:val="00416619"/>
    <w:rsid w:val="00416858"/>
    <w:rsid w:val="00416C48"/>
    <w:rsid w:val="00416FE1"/>
    <w:rsid w:val="00417756"/>
    <w:rsid w:val="00417820"/>
    <w:rsid w:val="00417AD1"/>
    <w:rsid w:val="00420189"/>
    <w:rsid w:val="00420C14"/>
    <w:rsid w:val="00420EC1"/>
    <w:rsid w:val="00421405"/>
    <w:rsid w:val="0042158A"/>
    <w:rsid w:val="00421CE9"/>
    <w:rsid w:val="00422B5D"/>
    <w:rsid w:val="00422B62"/>
    <w:rsid w:val="00422B9E"/>
    <w:rsid w:val="00422D45"/>
    <w:rsid w:val="00423883"/>
    <w:rsid w:val="004238B8"/>
    <w:rsid w:val="00423BE4"/>
    <w:rsid w:val="00423C8D"/>
    <w:rsid w:val="00424BC2"/>
    <w:rsid w:val="00424E2C"/>
    <w:rsid w:val="0042537C"/>
    <w:rsid w:val="00425C71"/>
    <w:rsid w:val="00426216"/>
    <w:rsid w:val="00426510"/>
    <w:rsid w:val="00426629"/>
    <w:rsid w:val="0042666B"/>
    <w:rsid w:val="00426691"/>
    <w:rsid w:val="00426A94"/>
    <w:rsid w:val="00430342"/>
    <w:rsid w:val="00430F36"/>
    <w:rsid w:val="004311F9"/>
    <w:rsid w:val="004317EA"/>
    <w:rsid w:val="00431B9A"/>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71"/>
    <w:rsid w:val="004365A5"/>
    <w:rsid w:val="0043660E"/>
    <w:rsid w:val="00436F91"/>
    <w:rsid w:val="00437455"/>
    <w:rsid w:val="00437BF8"/>
    <w:rsid w:val="00437FBC"/>
    <w:rsid w:val="00440980"/>
    <w:rsid w:val="004409FE"/>
    <w:rsid w:val="00440BFE"/>
    <w:rsid w:val="00440C46"/>
    <w:rsid w:val="004412C0"/>
    <w:rsid w:val="00441D50"/>
    <w:rsid w:val="00442D56"/>
    <w:rsid w:val="0044324F"/>
    <w:rsid w:val="0044336A"/>
    <w:rsid w:val="00443989"/>
    <w:rsid w:val="00443EB4"/>
    <w:rsid w:val="0044488E"/>
    <w:rsid w:val="00444B14"/>
    <w:rsid w:val="00444FCF"/>
    <w:rsid w:val="00444FE1"/>
    <w:rsid w:val="0044506D"/>
    <w:rsid w:val="00445847"/>
    <w:rsid w:val="00446C4A"/>
    <w:rsid w:val="00446DBB"/>
    <w:rsid w:val="00446F11"/>
    <w:rsid w:val="00446FE9"/>
    <w:rsid w:val="0044767E"/>
    <w:rsid w:val="00450331"/>
    <w:rsid w:val="00450799"/>
    <w:rsid w:val="00450E13"/>
    <w:rsid w:val="00451074"/>
    <w:rsid w:val="00451535"/>
    <w:rsid w:val="00451CD3"/>
    <w:rsid w:val="0045225B"/>
    <w:rsid w:val="00452AB8"/>
    <w:rsid w:val="004535C8"/>
    <w:rsid w:val="0045366D"/>
    <w:rsid w:val="0045386A"/>
    <w:rsid w:val="00453C4F"/>
    <w:rsid w:val="00453DF4"/>
    <w:rsid w:val="00454102"/>
    <w:rsid w:val="00454903"/>
    <w:rsid w:val="00454DEA"/>
    <w:rsid w:val="00455154"/>
    <w:rsid w:val="004554ED"/>
    <w:rsid w:val="0045575E"/>
    <w:rsid w:val="004559B4"/>
    <w:rsid w:val="00456FC7"/>
    <w:rsid w:val="0045748C"/>
    <w:rsid w:val="00457938"/>
    <w:rsid w:val="00457943"/>
    <w:rsid w:val="004602A5"/>
    <w:rsid w:val="00460398"/>
    <w:rsid w:val="00460900"/>
    <w:rsid w:val="00460C75"/>
    <w:rsid w:val="00460DA5"/>
    <w:rsid w:val="00461326"/>
    <w:rsid w:val="00461517"/>
    <w:rsid w:val="004615F9"/>
    <w:rsid w:val="004617EB"/>
    <w:rsid w:val="00462881"/>
    <w:rsid w:val="00462900"/>
    <w:rsid w:val="00462BFB"/>
    <w:rsid w:val="00462E44"/>
    <w:rsid w:val="00462F87"/>
    <w:rsid w:val="004630C6"/>
    <w:rsid w:val="00463341"/>
    <w:rsid w:val="00463965"/>
    <w:rsid w:val="00463CE7"/>
    <w:rsid w:val="00463D46"/>
    <w:rsid w:val="00463DD7"/>
    <w:rsid w:val="00463ED3"/>
    <w:rsid w:val="00464D22"/>
    <w:rsid w:val="00465C44"/>
    <w:rsid w:val="00466051"/>
    <w:rsid w:val="00466193"/>
    <w:rsid w:val="00466424"/>
    <w:rsid w:val="004666A3"/>
    <w:rsid w:val="00467151"/>
    <w:rsid w:val="004671C7"/>
    <w:rsid w:val="00467873"/>
    <w:rsid w:val="0046792C"/>
    <w:rsid w:val="0047003B"/>
    <w:rsid w:val="004700E1"/>
    <w:rsid w:val="004703A7"/>
    <w:rsid w:val="00470579"/>
    <w:rsid w:val="004705F3"/>
    <w:rsid w:val="00470AE9"/>
    <w:rsid w:val="00470D1B"/>
    <w:rsid w:val="00470DAA"/>
    <w:rsid w:val="00471922"/>
    <w:rsid w:val="00472147"/>
    <w:rsid w:val="004725BA"/>
    <w:rsid w:val="004728CA"/>
    <w:rsid w:val="00472CF1"/>
    <w:rsid w:val="00472E4B"/>
    <w:rsid w:val="00473426"/>
    <w:rsid w:val="00473505"/>
    <w:rsid w:val="00474043"/>
    <w:rsid w:val="004745C8"/>
    <w:rsid w:val="004745FC"/>
    <w:rsid w:val="004749E0"/>
    <w:rsid w:val="0047554D"/>
    <w:rsid w:val="00475895"/>
    <w:rsid w:val="00475A07"/>
    <w:rsid w:val="00475D5B"/>
    <w:rsid w:val="00476390"/>
    <w:rsid w:val="00476A7B"/>
    <w:rsid w:val="00476C0C"/>
    <w:rsid w:val="00476CDA"/>
    <w:rsid w:val="00477162"/>
    <w:rsid w:val="004774BF"/>
    <w:rsid w:val="004801AC"/>
    <w:rsid w:val="00480253"/>
    <w:rsid w:val="00480455"/>
    <w:rsid w:val="0048084A"/>
    <w:rsid w:val="00480957"/>
    <w:rsid w:val="00480D74"/>
    <w:rsid w:val="00480FA4"/>
    <w:rsid w:val="004822AA"/>
    <w:rsid w:val="004826EE"/>
    <w:rsid w:val="0048365E"/>
    <w:rsid w:val="004836FD"/>
    <w:rsid w:val="00483D90"/>
    <w:rsid w:val="00483FB9"/>
    <w:rsid w:val="004840CE"/>
    <w:rsid w:val="004843B4"/>
    <w:rsid w:val="00484989"/>
    <w:rsid w:val="00484B1B"/>
    <w:rsid w:val="004850E7"/>
    <w:rsid w:val="004854D7"/>
    <w:rsid w:val="004860AB"/>
    <w:rsid w:val="004869AE"/>
    <w:rsid w:val="004875E6"/>
    <w:rsid w:val="00487AD0"/>
    <w:rsid w:val="00487CF6"/>
    <w:rsid w:val="00487D43"/>
    <w:rsid w:val="00487D91"/>
    <w:rsid w:val="00487FB5"/>
    <w:rsid w:val="00490012"/>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9FF"/>
    <w:rsid w:val="00494F49"/>
    <w:rsid w:val="00494F50"/>
    <w:rsid w:val="004957C3"/>
    <w:rsid w:val="00495838"/>
    <w:rsid w:val="00495FA5"/>
    <w:rsid w:val="00496802"/>
    <w:rsid w:val="00497029"/>
    <w:rsid w:val="004972B7"/>
    <w:rsid w:val="00497330"/>
    <w:rsid w:val="004A0272"/>
    <w:rsid w:val="004A0AF2"/>
    <w:rsid w:val="004A0BBD"/>
    <w:rsid w:val="004A1326"/>
    <w:rsid w:val="004A3572"/>
    <w:rsid w:val="004A3DFF"/>
    <w:rsid w:val="004A445D"/>
    <w:rsid w:val="004A4976"/>
    <w:rsid w:val="004A49F9"/>
    <w:rsid w:val="004A5194"/>
    <w:rsid w:val="004A5F12"/>
    <w:rsid w:val="004A6876"/>
    <w:rsid w:val="004A6AA1"/>
    <w:rsid w:val="004A6E6B"/>
    <w:rsid w:val="004A7394"/>
    <w:rsid w:val="004B0046"/>
    <w:rsid w:val="004B01B7"/>
    <w:rsid w:val="004B079D"/>
    <w:rsid w:val="004B0E94"/>
    <w:rsid w:val="004B135A"/>
    <w:rsid w:val="004B16EE"/>
    <w:rsid w:val="004B1A11"/>
    <w:rsid w:val="004B1A5C"/>
    <w:rsid w:val="004B1F70"/>
    <w:rsid w:val="004B205D"/>
    <w:rsid w:val="004B24AE"/>
    <w:rsid w:val="004B2503"/>
    <w:rsid w:val="004B255F"/>
    <w:rsid w:val="004B262F"/>
    <w:rsid w:val="004B27C4"/>
    <w:rsid w:val="004B2BFD"/>
    <w:rsid w:val="004B2D94"/>
    <w:rsid w:val="004B3269"/>
    <w:rsid w:val="004B3731"/>
    <w:rsid w:val="004B37A4"/>
    <w:rsid w:val="004B552A"/>
    <w:rsid w:val="004B5839"/>
    <w:rsid w:val="004B5B5E"/>
    <w:rsid w:val="004B5C44"/>
    <w:rsid w:val="004B626D"/>
    <w:rsid w:val="004B6327"/>
    <w:rsid w:val="004B6CB9"/>
    <w:rsid w:val="004B7B5D"/>
    <w:rsid w:val="004B7BF3"/>
    <w:rsid w:val="004C051E"/>
    <w:rsid w:val="004C0749"/>
    <w:rsid w:val="004C08A1"/>
    <w:rsid w:val="004C1277"/>
    <w:rsid w:val="004C1341"/>
    <w:rsid w:val="004C27E5"/>
    <w:rsid w:val="004C2B00"/>
    <w:rsid w:val="004C2BA2"/>
    <w:rsid w:val="004C300C"/>
    <w:rsid w:val="004C32C3"/>
    <w:rsid w:val="004C428F"/>
    <w:rsid w:val="004C4A0F"/>
    <w:rsid w:val="004C5B7D"/>
    <w:rsid w:val="004C5B93"/>
    <w:rsid w:val="004C65F5"/>
    <w:rsid w:val="004C6AA7"/>
    <w:rsid w:val="004C6CF3"/>
    <w:rsid w:val="004C6F79"/>
    <w:rsid w:val="004C7911"/>
    <w:rsid w:val="004C7951"/>
    <w:rsid w:val="004D0199"/>
    <w:rsid w:val="004D01E4"/>
    <w:rsid w:val="004D092F"/>
    <w:rsid w:val="004D0B22"/>
    <w:rsid w:val="004D0B6B"/>
    <w:rsid w:val="004D0B7F"/>
    <w:rsid w:val="004D0C2A"/>
    <w:rsid w:val="004D13F2"/>
    <w:rsid w:val="004D17BC"/>
    <w:rsid w:val="004D1A35"/>
    <w:rsid w:val="004D1BF5"/>
    <w:rsid w:val="004D2167"/>
    <w:rsid w:val="004D3929"/>
    <w:rsid w:val="004D3C78"/>
    <w:rsid w:val="004D3D9C"/>
    <w:rsid w:val="004D3E1F"/>
    <w:rsid w:val="004D471C"/>
    <w:rsid w:val="004D49F8"/>
    <w:rsid w:val="004D4EC8"/>
    <w:rsid w:val="004D50EE"/>
    <w:rsid w:val="004D61FF"/>
    <w:rsid w:val="004D6C6B"/>
    <w:rsid w:val="004D71B8"/>
    <w:rsid w:val="004D7FE2"/>
    <w:rsid w:val="004E00A1"/>
    <w:rsid w:val="004E011E"/>
    <w:rsid w:val="004E05F8"/>
    <w:rsid w:val="004E1287"/>
    <w:rsid w:val="004E1445"/>
    <w:rsid w:val="004E1564"/>
    <w:rsid w:val="004E16A4"/>
    <w:rsid w:val="004E19B5"/>
    <w:rsid w:val="004E1B8C"/>
    <w:rsid w:val="004E2D33"/>
    <w:rsid w:val="004E4187"/>
    <w:rsid w:val="004E46C6"/>
    <w:rsid w:val="004E5125"/>
    <w:rsid w:val="004E51DD"/>
    <w:rsid w:val="004E556C"/>
    <w:rsid w:val="004E62BE"/>
    <w:rsid w:val="004E68FF"/>
    <w:rsid w:val="004E7805"/>
    <w:rsid w:val="004E7C93"/>
    <w:rsid w:val="004F061E"/>
    <w:rsid w:val="004F06EC"/>
    <w:rsid w:val="004F08B5"/>
    <w:rsid w:val="004F09CC"/>
    <w:rsid w:val="004F10F0"/>
    <w:rsid w:val="004F1398"/>
    <w:rsid w:val="004F28A4"/>
    <w:rsid w:val="004F2A1D"/>
    <w:rsid w:val="004F2C12"/>
    <w:rsid w:val="004F2C26"/>
    <w:rsid w:val="004F2EB8"/>
    <w:rsid w:val="004F35DC"/>
    <w:rsid w:val="004F35FE"/>
    <w:rsid w:val="004F43F8"/>
    <w:rsid w:val="004F4D9E"/>
    <w:rsid w:val="004F50AF"/>
    <w:rsid w:val="004F529B"/>
    <w:rsid w:val="004F5A7B"/>
    <w:rsid w:val="004F62E6"/>
    <w:rsid w:val="004F6365"/>
    <w:rsid w:val="004F64AD"/>
    <w:rsid w:val="004F6565"/>
    <w:rsid w:val="004F6B7F"/>
    <w:rsid w:val="004F7611"/>
    <w:rsid w:val="004F7752"/>
    <w:rsid w:val="004F7B39"/>
    <w:rsid w:val="004F7E6F"/>
    <w:rsid w:val="00500AF3"/>
    <w:rsid w:val="00500CF1"/>
    <w:rsid w:val="00500D58"/>
    <w:rsid w:val="00500E24"/>
    <w:rsid w:val="00501184"/>
    <w:rsid w:val="005013AF"/>
    <w:rsid w:val="0050193D"/>
    <w:rsid w:val="00501C1D"/>
    <w:rsid w:val="00502512"/>
    <w:rsid w:val="00503035"/>
    <w:rsid w:val="00503404"/>
    <w:rsid w:val="00503781"/>
    <w:rsid w:val="00503CA1"/>
    <w:rsid w:val="00504301"/>
    <w:rsid w:val="005043A4"/>
    <w:rsid w:val="00504B41"/>
    <w:rsid w:val="00504BA3"/>
    <w:rsid w:val="00504F15"/>
    <w:rsid w:val="00504FB1"/>
    <w:rsid w:val="00505298"/>
    <w:rsid w:val="00505683"/>
    <w:rsid w:val="005056AE"/>
    <w:rsid w:val="005056D4"/>
    <w:rsid w:val="00505C56"/>
    <w:rsid w:val="00505E7A"/>
    <w:rsid w:val="0050602C"/>
    <w:rsid w:val="00506377"/>
    <w:rsid w:val="00506F72"/>
    <w:rsid w:val="005076A3"/>
    <w:rsid w:val="005101B3"/>
    <w:rsid w:val="00510442"/>
    <w:rsid w:val="00511000"/>
    <w:rsid w:val="005112C3"/>
    <w:rsid w:val="005113E0"/>
    <w:rsid w:val="00511EE8"/>
    <w:rsid w:val="00512693"/>
    <w:rsid w:val="00512761"/>
    <w:rsid w:val="0051283E"/>
    <w:rsid w:val="00512A93"/>
    <w:rsid w:val="00512D6B"/>
    <w:rsid w:val="00512DB9"/>
    <w:rsid w:val="005135B5"/>
    <w:rsid w:val="005137A5"/>
    <w:rsid w:val="005138D4"/>
    <w:rsid w:val="00513B70"/>
    <w:rsid w:val="00514190"/>
    <w:rsid w:val="005141A0"/>
    <w:rsid w:val="0051430A"/>
    <w:rsid w:val="005144FE"/>
    <w:rsid w:val="005149BA"/>
    <w:rsid w:val="0051535F"/>
    <w:rsid w:val="0051584C"/>
    <w:rsid w:val="00515C10"/>
    <w:rsid w:val="00515FDC"/>
    <w:rsid w:val="0051604A"/>
    <w:rsid w:val="00516222"/>
    <w:rsid w:val="0051646B"/>
    <w:rsid w:val="0051649C"/>
    <w:rsid w:val="00516798"/>
    <w:rsid w:val="00516989"/>
    <w:rsid w:val="005169D5"/>
    <w:rsid w:val="00516F95"/>
    <w:rsid w:val="00517749"/>
    <w:rsid w:val="00517EBE"/>
    <w:rsid w:val="0052069A"/>
    <w:rsid w:val="00520833"/>
    <w:rsid w:val="0052091A"/>
    <w:rsid w:val="00522962"/>
    <w:rsid w:val="00522CF8"/>
    <w:rsid w:val="005231E7"/>
    <w:rsid w:val="0052357B"/>
    <w:rsid w:val="00523D3A"/>
    <w:rsid w:val="00524254"/>
    <w:rsid w:val="005245CB"/>
    <w:rsid w:val="00524798"/>
    <w:rsid w:val="00524D25"/>
    <w:rsid w:val="0052578A"/>
    <w:rsid w:val="005266EF"/>
    <w:rsid w:val="00526C4A"/>
    <w:rsid w:val="00526D67"/>
    <w:rsid w:val="005305C6"/>
    <w:rsid w:val="005309A2"/>
    <w:rsid w:val="005315D0"/>
    <w:rsid w:val="005315DF"/>
    <w:rsid w:val="00531ABE"/>
    <w:rsid w:val="00531E7E"/>
    <w:rsid w:val="005322F9"/>
    <w:rsid w:val="00532673"/>
    <w:rsid w:val="00532A3C"/>
    <w:rsid w:val="0053362D"/>
    <w:rsid w:val="00533A72"/>
    <w:rsid w:val="00533AF2"/>
    <w:rsid w:val="00533DEC"/>
    <w:rsid w:val="005340D9"/>
    <w:rsid w:val="005349AE"/>
    <w:rsid w:val="00534BBA"/>
    <w:rsid w:val="00535958"/>
    <w:rsid w:val="00535EAA"/>
    <w:rsid w:val="00535EE7"/>
    <w:rsid w:val="00536192"/>
    <w:rsid w:val="00536A75"/>
    <w:rsid w:val="00536C91"/>
    <w:rsid w:val="00536CB7"/>
    <w:rsid w:val="00536EF0"/>
    <w:rsid w:val="005371A4"/>
    <w:rsid w:val="00537443"/>
    <w:rsid w:val="00537502"/>
    <w:rsid w:val="005376A1"/>
    <w:rsid w:val="0054000D"/>
    <w:rsid w:val="00540B1D"/>
    <w:rsid w:val="00540B75"/>
    <w:rsid w:val="0054259E"/>
    <w:rsid w:val="00542743"/>
    <w:rsid w:val="0054275F"/>
    <w:rsid w:val="00542806"/>
    <w:rsid w:val="00542C5A"/>
    <w:rsid w:val="00543302"/>
    <w:rsid w:val="005434AF"/>
    <w:rsid w:val="0054397C"/>
    <w:rsid w:val="005439A9"/>
    <w:rsid w:val="005442FA"/>
    <w:rsid w:val="005443BE"/>
    <w:rsid w:val="00544481"/>
    <w:rsid w:val="005446FF"/>
    <w:rsid w:val="005450D5"/>
    <w:rsid w:val="0054517B"/>
    <w:rsid w:val="00545C84"/>
    <w:rsid w:val="00547388"/>
    <w:rsid w:val="00547722"/>
    <w:rsid w:val="00547A51"/>
    <w:rsid w:val="00547E42"/>
    <w:rsid w:val="005512C4"/>
    <w:rsid w:val="005518E6"/>
    <w:rsid w:val="0055213D"/>
    <w:rsid w:val="00552617"/>
    <w:rsid w:val="005526D9"/>
    <w:rsid w:val="00552763"/>
    <w:rsid w:val="00552A2A"/>
    <w:rsid w:val="00552AFC"/>
    <w:rsid w:val="00552F3C"/>
    <w:rsid w:val="00553508"/>
    <w:rsid w:val="0055392F"/>
    <w:rsid w:val="00553967"/>
    <w:rsid w:val="00553C35"/>
    <w:rsid w:val="0055432F"/>
    <w:rsid w:val="005543DC"/>
    <w:rsid w:val="005544FD"/>
    <w:rsid w:val="00554765"/>
    <w:rsid w:val="005548AA"/>
    <w:rsid w:val="00554971"/>
    <w:rsid w:val="00554D4C"/>
    <w:rsid w:val="00554F55"/>
    <w:rsid w:val="0055512A"/>
    <w:rsid w:val="00555C97"/>
    <w:rsid w:val="00555ECA"/>
    <w:rsid w:val="00555EDC"/>
    <w:rsid w:val="00556FDB"/>
    <w:rsid w:val="005572C0"/>
    <w:rsid w:val="00557C3D"/>
    <w:rsid w:val="00560085"/>
    <w:rsid w:val="00560B38"/>
    <w:rsid w:val="0056117A"/>
    <w:rsid w:val="005611FA"/>
    <w:rsid w:val="00562506"/>
    <w:rsid w:val="0056291F"/>
    <w:rsid w:val="00562C61"/>
    <w:rsid w:val="0056359F"/>
    <w:rsid w:val="00563B7F"/>
    <w:rsid w:val="00564392"/>
    <w:rsid w:val="00565345"/>
    <w:rsid w:val="0056539C"/>
    <w:rsid w:val="00565611"/>
    <w:rsid w:val="005656F2"/>
    <w:rsid w:val="00566CDC"/>
    <w:rsid w:val="00566D2D"/>
    <w:rsid w:val="00567212"/>
    <w:rsid w:val="005678B2"/>
    <w:rsid w:val="005705A3"/>
    <w:rsid w:val="0057199F"/>
    <w:rsid w:val="00572360"/>
    <w:rsid w:val="005723E6"/>
    <w:rsid w:val="005729D3"/>
    <w:rsid w:val="00572B74"/>
    <w:rsid w:val="00572EFF"/>
    <w:rsid w:val="00573324"/>
    <w:rsid w:val="005735E9"/>
    <w:rsid w:val="0057383B"/>
    <w:rsid w:val="00573A9E"/>
    <w:rsid w:val="00573E8D"/>
    <w:rsid w:val="00573E91"/>
    <w:rsid w:val="0057436E"/>
    <w:rsid w:val="00574624"/>
    <w:rsid w:val="00574AFD"/>
    <w:rsid w:val="00574C57"/>
    <w:rsid w:val="00575613"/>
    <w:rsid w:val="00575963"/>
    <w:rsid w:val="00575990"/>
    <w:rsid w:val="00575F0F"/>
    <w:rsid w:val="00576057"/>
    <w:rsid w:val="0057621F"/>
    <w:rsid w:val="00576313"/>
    <w:rsid w:val="0057680C"/>
    <w:rsid w:val="00576F35"/>
    <w:rsid w:val="0057722E"/>
    <w:rsid w:val="00577680"/>
    <w:rsid w:val="00577F9E"/>
    <w:rsid w:val="0058081B"/>
    <w:rsid w:val="00580EF5"/>
    <w:rsid w:val="0058153A"/>
    <w:rsid w:val="005828F4"/>
    <w:rsid w:val="00583300"/>
    <w:rsid w:val="00583357"/>
    <w:rsid w:val="005840CC"/>
    <w:rsid w:val="0058476E"/>
    <w:rsid w:val="00584CC6"/>
    <w:rsid w:val="00584EB4"/>
    <w:rsid w:val="00585C22"/>
    <w:rsid w:val="00585D07"/>
    <w:rsid w:val="00586279"/>
    <w:rsid w:val="00586B2F"/>
    <w:rsid w:val="00586B54"/>
    <w:rsid w:val="00586DE7"/>
    <w:rsid w:val="00587296"/>
    <w:rsid w:val="00587EEC"/>
    <w:rsid w:val="0059006E"/>
    <w:rsid w:val="00590118"/>
    <w:rsid w:val="00590746"/>
    <w:rsid w:val="0059089A"/>
    <w:rsid w:val="0059091E"/>
    <w:rsid w:val="00590E29"/>
    <w:rsid w:val="00590E2A"/>
    <w:rsid w:val="00590E76"/>
    <w:rsid w:val="00590EE3"/>
    <w:rsid w:val="00591266"/>
    <w:rsid w:val="005913C9"/>
    <w:rsid w:val="005914A6"/>
    <w:rsid w:val="00591511"/>
    <w:rsid w:val="00591F6A"/>
    <w:rsid w:val="0059241E"/>
    <w:rsid w:val="00592494"/>
    <w:rsid w:val="00592695"/>
    <w:rsid w:val="00592802"/>
    <w:rsid w:val="00592E09"/>
    <w:rsid w:val="00593BBB"/>
    <w:rsid w:val="00594470"/>
    <w:rsid w:val="005947B3"/>
    <w:rsid w:val="00594D4C"/>
    <w:rsid w:val="0059502C"/>
    <w:rsid w:val="00595214"/>
    <w:rsid w:val="0059581A"/>
    <w:rsid w:val="0059699B"/>
    <w:rsid w:val="00596FC7"/>
    <w:rsid w:val="0059712A"/>
    <w:rsid w:val="00597279"/>
    <w:rsid w:val="0059792E"/>
    <w:rsid w:val="00597A89"/>
    <w:rsid w:val="005A0355"/>
    <w:rsid w:val="005A0393"/>
    <w:rsid w:val="005A0FB6"/>
    <w:rsid w:val="005A1272"/>
    <w:rsid w:val="005A12D4"/>
    <w:rsid w:val="005A19A4"/>
    <w:rsid w:val="005A1A53"/>
    <w:rsid w:val="005A1A59"/>
    <w:rsid w:val="005A2402"/>
    <w:rsid w:val="005A32CE"/>
    <w:rsid w:val="005A387B"/>
    <w:rsid w:val="005A3BEF"/>
    <w:rsid w:val="005A459D"/>
    <w:rsid w:val="005A47C9"/>
    <w:rsid w:val="005A4E53"/>
    <w:rsid w:val="005A5D2E"/>
    <w:rsid w:val="005A5E48"/>
    <w:rsid w:val="005A5FB6"/>
    <w:rsid w:val="005A6133"/>
    <w:rsid w:val="005A6CBF"/>
    <w:rsid w:val="005A709F"/>
    <w:rsid w:val="005B01BD"/>
    <w:rsid w:val="005B10F8"/>
    <w:rsid w:val="005B1264"/>
    <w:rsid w:val="005B1405"/>
    <w:rsid w:val="005B1793"/>
    <w:rsid w:val="005B1A4B"/>
    <w:rsid w:val="005B2624"/>
    <w:rsid w:val="005B2879"/>
    <w:rsid w:val="005B28FC"/>
    <w:rsid w:val="005B3297"/>
    <w:rsid w:val="005B34DD"/>
    <w:rsid w:val="005B40CB"/>
    <w:rsid w:val="005B42FC"/>
    <w:rsid w:val="005B4B97"/>
    <w:rsid w:val="005B4BAB"/>
    <w:rsid w:val="005B579C"/>
    <w:rsid w:val="005B5B1A"/>
    <w:rsid w:val="005B5F0B"/>
    <w:rsid w:val="005B5F87"/>
    <w:rsid w:val="005B6330"/>
    <w:rsid w:val="005B6332"/>
    <w:rsid w:val="005B65A0"/>
    <w:rsid w:val="005C035B"/>
    <w:rsid w:val="005C06AF"/>
    <w:rsid w:val="005C077E"/>
    <w:rsid w:val="005C0B2B"/>
    <w:rsid w:val="005C0E01"/>
    <w:rsid w:val="005C14C9"/>
    <w:rsid w:val="005C19B1"/>
    <w:rsid w:val="005C20FE"/>
    <w:rsid w:val="005C25DD"/>
    <w:rsid w:val="005C28C0"/>
    <w:rsid w:val="005C3928"/>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A85"/>
    <w:rsid w:val="005D1BA7"/>
    <w:rsid w:val="005D1FCA"/>
    <w:rsid w:val="005D2590"/>
    <w:rsid w:val="005D2AEC"/>
    <w:rsid w:val="005D30AC"/>
    <w:rsid w:val="005D3287"/>
    <w:rsid w:val="005D33B5"/>
    <w:rsid w:val="005D50C0"/>
    <w:rsid w:val="005D5475"/>
    <w:rsid w:val="005D5A19"/>
    <w:rsid w:val="005D60F6"/>
    <w:rsid w:val="005D61FC"/>
    <w:rsid w:val="005D6A9E"/>
    <w:rsid w:val="005D6B44"/>
    <w:rsid w:val="005D6E77"/>
    <w:rsid w:val="005D7058"/>
    <w:rsid w:val="005D78C0"/>
    <w:rsid w:val="005D7F4E"/>
    <w:rsid w:val="005E00CF"/>
    <w:rsid w:val="005E0D8B"/>
    <w:rsid w:val="005E1016"/>
    <w:rsid w:val="005E1161"/>
    <w:rsid w:val="005E13A4"/>
    <w:rsid w:val="005E1482"/>
    <w:rsid w:val="005E16E0"/>
    <w:rsid w:val="005E18FF"/>
    <w:rsid w:val="005E2446"/>
    <w:rsid w:val="005E282D"/>
    <w:rsid w:val="005E2AC2"/>
    <w:rsid w:val="005E31AD"/>
    <w:rsid w:val="005E3559"/>
    <w:rsid w:val="005E3990"/>
    <w:rsid w:val="005E3C8D"/>
    <w:rsid w:val="005E3CA2"/>
    <w:rsid w:val="005E40F6"/>
    <w:rsid w:val="005E42A9"/>
    <w:rsid w:val="005E42D9"/>
    <w:rsid w:val="005E4949"/>
    <w:rsid w:val="005E60C1"/>
    <w:rsid w:val="005E6248"/>
    <w:rsid w:val="005E63B6"/>
    <w:rsid w:val="005E6719"/>
    <w:rsid w:val="005E6914"/>
    <w:rsid w:val="005E697B"/>
    <w:rsid w:val="005E7240"/>
    <w:rsid w:val="005E7684"/>
    <w:rsid w:val="005E7C75"/>
    <w:rsid w:val="005E7CB1"/>
    <w:rsid w:val="005F000F"/>
    <w:rsid w:val="005F06C6"/>
    <w:rsid w:val="005F0B9E"/>
    <w:rsid w:val="005F10DB"/>
    <w:rsid w:val="005F1A7E"/>
    <w:rsid w:val="005F1CF1"/>
    <w:rsid w:val="005F1DAD"/>
    <w:rsid w:val="005F1DE3"/>
    <w:rsid w:val="005F2B7A"/>
    <w:rsid w:val="005F2B85"/>
    <w:rsid w:val="005F2FD2"/>
    <w:rsid w:val="005F3702"/>
    <w:rsid w:val="005F3703"/>
    <w:rsid w:val="005F3B3F"/>
    <w:rsid w:val="005F425A"/>
    <w:rsid w:val="005F45B3"/>
    <w:rsid w:val="005F4F3D"/>
    <w:rsid w:val="005F50A8"/>
    <w:rsid w:val="005F58C5"/>
    <w:rsid w:val="005F59DC"/>
    <w:rsid w:val="005F5ACA"/>
    <w:rsid w:val="005F5BC1"/>
    <w:rsid w:val="005F67AE"/>
    <w:rsid w:val="005F6CCB"/>
    <w:rsid w:val="005F6E34"/>
    <w:rsid w:val="005F6FD9"/>
    <w:rsid w:val="005F782C"/>
    <w:rsid w:val="006000AD"/>
    <w:rsid w:val="00600119"/>
    <w:rsid w:val="00600881"/>
    <w:rsid w:val="00600CB6"/>
    <w:rsid w:val="00601547"/>
    <w:rsid w:val="006015EC"/>
    <w:rsid w:val="006017E2"/>
    <w:rsid w:val="00601DE1"/>
    <w:rsid w:val="00601EBA"/>
    <w:rsid w:val="006026AE"/>
    <w:rsid w:val="0060272E"/>
    <w:rsid w:val="00602C61"/>
    <w:rsid w:val="00602D39"/>
    <w:rsid w:val="00602D68"/>
    <w:rsid w:val="00603041"/>
    <w:rsid w:val="00603219"/>
    <w:rsid w:val="0060354D"/>
    <w:rsid w:val="0060366E"/>
    <w:rsid w:val="006039D5"/>
    <w:rsid w:val="006039EC"/>
    <w:rsid w:val="006064BC"/>
    <w:rsid w:val="006065FA"/>
    <w:rsid w:val="00606834"/>
    <w:rsid w:val="00606E7A"/>
    <w:rsid w:val="00607063"/>
    <w:rsid w:val="006071E2"/>
    <w:rsid w:val="006072EB"/>
    <w:rsid w:val="0060736D"/>
    <w:rsid w:val="00607870"/>
    <w:rsid w:val="00607BEF"/>
    <w:rsid w:val="00607E1B"/>
    <w:rsid w:val="006108D0"/>
    <w:rsid w:val="00610F45"/>
    <w:rsid w:val="00611260"/>
    <w:rsid w:val="0061176B"/>
    <w:rsid w:val="006119A5"/>
    <w:rsid w:val="00611F17"/>
    <w:rsid w:val="00612C38"/>
    <w:rsid w:val="00612D6C"/>
    <w:rsid w:val="00613397"/>
    <w:rsid w:val="0061367B"/>
    <w:rsid w:val="0061474F"/>
    <w:rsid w:val="0061478D"/>
    <w:rsid w:val="00614819"/>
    <w:rsid w:val="00614F73"/>
    <w:rsid w:val="006153A5"/>
    <w:rsid w:val="00615D9F"/>
    <w:rsid w:val="00615FDF"/>
    <w:rsid w:val="00616034"/>
    <w:rsid w:val="0061629F"/>
    <w:rsid w:val="006164D3"/>
    <w:rsid w:val="006166C1"/>
    <w:rsid w:val="00616AA7"/>
    <w:rsid w:val="00617348"/>
    <w:rsid w:val="0061762F"/>
    <w:rsid w:val="006178CA"/>
    <w:rsid w:val="00617DA9"/>
    <w:rsid w:val="0062016F"/>
    <w:rsid w:val="00620542"/>
    <w:rsid w:val="00620810"/>
    <w:rsid w:val="0062096E"/>
    <w:rsid w:val="006209E3"/>
    <w:rsid w:val="00620B0B"/>
    <w:rsid w:val="00620C70"/>
    <w:rsid w:val="00620CB7"/>
    <w:rsid w:val="00621084"/>
    <w:rsid w:val="0062145C"/>
    <w:rsid w:val="0062170E"/>
    <w:rsid w:val="00621A21"/>
    <w:rsid w:val="00621EF5"/>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D2A"/>
    <w:rsid w:val="00632F4D"/>
    <w:rsid w:val="0063333C"/>
    <w:rsid w:val="00633358"/>
    <w:rsid w:val="00633767"/>
    <w:rsid w:val="00633808"/>
    <w:rsid w:val="00633920"/>
    <w:rsid w:val="006345A1"/>
    <w:rsid w:val="00634646"/>
    <w:rsid w:val="00634855"/>
    <w:rsid w:val="00634C9D"/>
    <w:rsid w:val="00634DE4"/>
    <w:rsid w:val="00634E09"/>
    <w:rsid w:val="00635409"/>
    <w:rsid w:val="00635602"/>
    <w:rsid w:val="00635915"/>
    <w:rsid w:val="00635FC5"/>
    <w:rsid w:val="0063615D"/>
    <w:rsid w:val="0063694A"/>
    <w:rsid w:val="00636A72"/>
    <w:rsid w:val="00636B25"/>
    <w:rsid w:val="00636F19"/>
    <w:rsid w:val="0063738D"/>
    <w:rsid w:val="00640995"/>
    <w:rsid w:val="00640DDC"/>
    <w:rsid w:val="006414B6"/>
    <w:rsid w:val="006415A6"/>
    <w:rsid w:val="00641804"/>
    <w:rsid w:val="00641E68"/>
    <w:rsid w:val="00642242"/>
    <w:rsid w:val="00642B40"/>
    <w:rsid w:val="00642E7D"/>
    <w:rsid w:val="006432AE"/>
    <w:rsid w:val="00643615"/>
    <w:rsid w:val="00643C08"/>
    <w:rsid w:val="00644D04"/>
    <w:rsid w:val="006457C2"/>
    <w:rsid w:val="00645C34"/>
    <w:rsid w:val="006461C5"/>
    <w:rsid w:val="00646379"/>
    <w:rsid w:val="006469C9"/>
    <w:rsid w:val="00646E09"/>
    <w:rsid w:val="00646FBB"/>
    <w:rsid w:val="0064721D"/>
    <w:rsid w:val="0064732E"/>
    <w:rsid w:val="00647938"/>
    <w:rsid w:val="00647E09"/>
    <w:rsid w:val="00647EFA"/>
    <w:rsid w:val="006502E6"/>
    <w:rsid w:val="006503CC"/>
    <w:rsid w:val="006504B7"/>
    <w:rsid w:val="00650BAD"/>
    <w:rsid w:val="00651831"/>
    <w:rsid w:val="00651F51"/>
    <w:rsid w:val="00652080"/>
    <w:rsid w:val="006526D0"/>
    <w:rsid w:val="00652819"/>
    <w:rsid w:val="00652B73"/>
    <w:rsid w:val="00652D52"/>
    <w:rsid w:val="00652E24"/>
    <w:rsid w:val="00653320"/>
    <w:rsid w:val="00653781"/>
    <w:rsid w:val="00654A01"/>
    <w:rsid w:val="00654DA7"/>
    <w:rsid w:val="006554FE"/>
    <w:rsid w:val="006555E8"/>
    <w:rsid w:val="00656257"/>
    <w:rsid w:val="00656D71"/>
    <w:rsid w:val="0065708F"/>
    <w:rsid w:val="00657A9F"/>
    <w:rsid w:val="00657CB7"/>
    <w:rsid w:val="00660877"/>
    <w:rsid w:val="0066104F"/>
    <w:rsid w:val="00661278"/>
    <w:rsid w:val="00662240"/>
    <w:rsid w:val="00662796"/>
    <w:rsid w:val="006629C4"/>
    <w:rsid w:val="00662A20"/>
    <w:rsid w:val="00662B4C"/>
    <w:rsid w:val="006639B4"/>
    <w:rsid w:val="00665182"/>
    <w:rsid w:val="006652DE"/>
    <w:rsid w:val="00665632"/>
    <w:rsid w:val="00665883"/>
    <w:rsid w:val="00665938"/>
    <w:rsid w:val="00665A01"/>
    <w:rsid w:val="00665EE8"/>
    <w:rsid w:val="00667F61"/>
    <w:rsid w:val="006702F1"/>
    <w:rsid w:val="00670343"/>
    <w:rsid w:val="00670C3D"/>
    <w:rsid w:val="00670ED5"/>
    <w:rsid w:val="006711A6"/>
    <w:rsid w:val="00671AA7"/>
    <w:rsid w:val="00671EB2"/>
    <w:rsid w:val="00671FA7"/>
    <w:rsid w:val="006720A5"/>
    <w:rsid w:val="00672239"/>
    <w:rsid w:val="006725F3"/>
    <w:rsid w:val="006728C7"/>
    <w:rsid w:val="00672A67"/>
    <w:rsid w:val="00672A85"/>
    <w:rsid w:val="00672B5F"/>
    <w:rsid w:val="00672B87"/>
    <w:rsid w:val="00672CC1"/>
    <w:rsid w:val="00672F0C"/>
    <w:rsid w:val="0067324D"/>
    <w:rsid w:val="00673460"/>
    <w:rsid w:val="00673A35"/>
    <w:rsid w:val="00673DD0"/>
    <w:rsid w:val="00673E89"/>
    <w:rsid w:val="006741FA"/>
    <w:rsid w:val="00675AFF"/>
    <w:rsid w:val="00676000"/>
    <w:rsid w:val="00676347"/>
    <w:rsid w:val="0067646A"/>
    <w:rsid w:val="00676617"/>
    <w:rsid w:val="00676DA1"/>
    <w:rsid w:val="00676FB9"/>
    <w:rsid w:val="006779BB"/>
    <w:rsid w:val="00677FDB"/>
    <w:rsid w:val="006806B7"/>
    <w:rsid w:val="00680CB1"/>
    <w:rsid w:val="00680E69"/>
    <w:rsid w:val="0068104A"/>
    <w:rsid w:val="006814EE"/>
    <w:rsid w:val="006818A9"/>
    <w:rsid w:val="00681D1D"/>
    <w:rsid w:val="0068238B"/>
    <w:rsid w:val="00682757"/>
    <w:rsid w:val="006828C0"/>
    <w:rsid w:val="00682A1D"/>
    <w:rsid w:val="00682E6B"/>
    <w:rsid w:val="0068305D"/>
    <w:rsid w:val="00683710"/>
    <w:rsid w:val="006838D7"/>
    <w:rsid w:val="00683D70"/>
    <w:rsid w:val="00683FAB"/>
    <w:rsid w:val="00684098"/>
    <w:rsid w:val="00684255"/>
    <w:rsid w:val="00684A74"/>
    <w:rsid w:val="00684BD6"/>
    <w:rsid w:val="00685846"/>
    <w:rsid w:val="00685850"/>
    <w:rsid w:val="00685A69"/>
    <w:rsid w:val="00685F3F"/>
    <w:rsid w:val="006862C6"/>
    <w:rsid w:val="00686B99"/>
    <w:rsid w:val="00686CF7"/>
    <w:rsid w:val="00686E6A"/>
    <w:rsid w:val="006873A6"/>
    <w:rsid w:val="00687E71"/>
    <w:rsid w:val="00690252"/>
    <w:rsid w:val="00690E0D"/>
    <w:rsid w:val="00690E25"/>
    <w:rsid w:val="00690E2D"/>
    <w:rsid w:val="00692323"/>
    <w:rsid w:val="00692476"/>
    <w:rsid w:val="00692BFC"/>
    <w:rsid w:val="00692EC8"/>
    <w:rsid w:val="00693032"/>
    <w:rsid w:val="006934C8"/>
    <w:rsid w:val="006937EE"/>
    <w:rsid w:val="00693B89"/>
    <w:rsid w:val="00693BBE"/>
    <w:rsid w:val="00694559"/>
    <w:rsid w:val="00694641"/>
    <w:rsid w:val="00694848"/>
    <w:rsid w:val="00694902"/>
    <w:rsid w:val="0069595C"/>
    <w:rsid w:val="006963AF"/>
    <w:rsid w:val="00696AF2"/>
    <w:rsid w:val="00696B2A"/>
    <w:rsid w:val="00697084"/>
    <w:rsid w:val="00697223"/>
    <w:rsid w:val="00697279"/>
    <w:rsid w:val="006979DA"/>
    <w:rsid w:val="00697CD5"/>
    <w:rsid w:val="006A06B2"/>
    <w:rsid w:val="006A0EDA"/>
    <w:rsid w:val="006A1413"/>
    <w:rsid w:val="006A1BAD"/>
    <w:rsid w:val="006A2360"/>
    <w:rsid w:val="006A2606"/>
    <w:rsid w:val="006A33D7"/>
    <w:rsid w:val="006A42AF"/>
    <w:rsid w:val="006A442D"/>
    <w:rsid w:val="006A46A8"/>
    <w:rsid w:val="006A55E1"/>
    <w:rsid w:val="006A5CAE"/>
    <w:rsid w:val="006A6205"/>
    <w:rsid w:val="006A63E6"/>
    <w:rsid w:val="006A64C1"/>
    <w:rsid w:val="006A6C4D"/>
    <w:rsid w:val="006A6D09"/>
    <w:rsid w:val="006A7198"/>
    <w:rsid w:val="006A7AC5"/>
    <w:rsid w:val="006A7E51"/>
    <w:rsid w:val="006B00CE"/>
    <w:rsid w:val="006B0247"/>
    <w:rsid w:val="006B0420"/>
    <w:rsid w:val="006B0601"/>
    <w:rsid w:val="006B1CC0"/>
    <w:rsid w:val="006B2851"/>
    <w:rsid w:val="006B2ADF"/>
    <w:rsid w:val="006B2FDE"/>
    <w:rsid w:val="006B33A3"/>
    <w:rsid w:val="006B35C4"/>
    <w:rsid w:val="006B3C99"/>
    <w:rsid w:val="006B3D40"/>
    <w:rsid w:val="006B4E46"/>
    <w:rsid w:val="006B5571"/>
    <w:rsid w:val="006B5EDE"/>
    <w:rsid w:val="006B5EF2"/>
    <w:rsid w:val="006B5EFB"/>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274"/>
    <w:rsid w:val="006C4B9F"/>
    <w:rsid w:val="006C4E9A"/>
    <w:rsid w:val="006C5179"/>
    <w:rsid w:val="006C51F5"/>
    <w:rsid w:val="006C5E6C"/>
    <w:rsid w:val="006C6DFE"/>
    <w:rsid w:val="006C72FB"/>
    <w:rsid w:val="006C7A36"/>
    <w:rsid w:val="006C7A5E"/>
    <w:rsid w:val="006D01C3"/>
    <w:rsid w:val="006D021B"/>
    <w:rsid w:val="006D0B01"/>
    <w:rsid w:val="006D0B69"/>
    <w:rsid w:val="006D12A9"/>
    <w:rsid w:val="006D1A26"/>
    <w:rsid w:val="006D1AF1"/>
    <w:rsid w:val="006D1B03"/>
    <w:rsid w:val="006D2268"/>
    <w:rsid w:val="006D253C"/>
    <w:rsid w:val="006D257A"/>
    <w:rsid w:val="006D2DC6"/>
    <w:rsid w:val="006D3254"/>
    <w:rsid w:val="006D3730"/>
    <w:rsid w:val="006D379E"/>
    <w:rsid w:val="006D39BF"/>
    <w:rsid w:val="006D4920"/>
    <w:rsid w:val="006D5214"/>
    <w:rsid w:val="006D5269"/>
    <w:rsid w:val="006D5599"/>
    <w:rsid w:val="006D559F"/>
    <w:rsid w:val="006D5FE3"/>
    <w:rsid w:val="006D6335"/>
    <w:rsid w:val="006D6CDC"/>
    <w:rsid w:val="006D6FEA"/>
    <w:rsid w:val="006D756E"/>
    <w:rsid w:val="006D75BF"/>
    <w:rsid w:val="006D79BA"/>
    <w:rsid w:val="006D79C9"/>
    <w:rsid w:val="006D7AEE"/>
    <w:rsid w:val="006D7EF8"/>
    <w:rsid w:val="006E0173"/>
    <w:rsid w:val="006E038C"/>
    <w:rsid w:val="006E0569"/>
    <w:rsid w:val="006E0ABF"/>
    <w:rsid w:val="006E0F9B"/>
    <w:rsid w:val="006E1103"/>
    <w:rsid w:val="006E1B2E"/>
    <w:rsid w:val="006E1EE8"/>
    <w:rsid w:val="006E2110"/>
    <w:rsid w:val="006E27FF"/>
    <w:rsid w:val="006E2B69"/>
    <w:rsid w:val="006E3443"/>
    <w:rsid w:val="006E3868"/>
    <w:rsid w:val="006E3953"/>
    <w:rsid w:val="006E3A86"/>
    <w:rsid w:val="006E3D10"/>
    <w:rsid w:val="006E413C"/>
    <w:rsid w:val="006E4435"/>
    <w:rsid w:val="006E4AAB"/>
    <w:rsid w:val="006E4DF8"/>
    <w:rsid w:val="006E552F"/>
    <w:rsid w:val="006E5728"/>
    <w:rsid w:val="006E5FC2"/>
    <w:rsid w:val="006E6E07"/>
    <w:rsid w:val="006E6E39"/>
    <w:rsid w:val="006E722E"/>
    <w:rsid w:val="006E77CC"/>
    <w:rsid w:val="006E7DB7"/>
    <w:rsid w:val="006E7E27"/>
    <w:rsid w:val="006F032D"/>
    <w:rsid w:val="006F07EB"/>
    <w:rsid w:val="006F082D"/>
    <w:rsid w:val="006F0D02"/>
    <w:rsid w:val="006F0E10"/>
    <w:rsid w:val="006F0E86"/>
    <w:rsid w:val="006F0F3E"/>
    <w:rsid w:val="006F11FB"/>
    <w:rsid w:val="006F17A5"/>
    <w:rsid w:val="006F1A74"/>
    <w:rsid w:val="006F1C25"/>
    <w:rsid w:val="006F28A4"/>
    <w:rsid w:val="006F2989"/>
    <w:rsid w:val="006F2B39"/>
    <w:rsid w:val="006F3D7E"/>
    <w:rsid w:val="006F4134"/>
    <w:rsid w:val="006F4DA4"/>
    <w:rsid w:val="006F4E1E"/>
    <w:rsid w:val="006F4F37"/>
    <w:rsid w:val="006F4FAF"/>
    <w:rsid w:val="006F54D4"/>
    <w:rsid w:val="006F61AC"/>
    <w:rsid w:val="006F668A"/>
    <w:rsid w:val="006F6BBA"/>
    <w:rsid w:val="006F7F02"/>
    <w:rsid w:val="00700778"/>
    <w:rsid w:val="00700A93"/>
    <w:rsid w:val="00701796"/>
    <w:rsid w:val="00701C69"/>
    <w:rsid w:val="007022A3"/>
    <w:rsid w:val="00702930"/>
    <w:rsid w:val="00702CEF"/>
    <w:rsid w:val="00702D89"/>
    <w:rsid w:val="00702E4E"/>
    <w:rsid w:val="00703957"/>
    <w:rsid w:val="00703997"/>
    <w:rsid w:val="00703A10"/>
    <w:rsid w:val="00703C12"/>
    <w:rsid w:val="00703C6E"/>
    <w:rsid w:val="00704198"/>
    <w:rsid w:val="00704663"/>
    <w:rsid w:val="00704A66"/>
    <w:rsid w:val="00704BAD"/>
    <w:rsid w:val="00704D94"/>
    <w:rsid w:val="00704FA9"/>
    <w:rsid w:val="00705850"/>
    <w:rsid w:val="007059FC"/>
    <w:rsid w:val="00705B7F"/>
    <w:rsid w:val="007061FC"/>
    <w:rsid w:val="00706583"/>
    <w:rsid w:val="00706592"/>
    <w:rsid w:val="007069B1"/>
    <w:rsid w:val="007069C2"/>
    <w:rsid w:val="0070734D"/>
    <w:rsid w:val="00707395"/>
    <w:rsid w:val="00710332"/>
    <w:rsid w:val="0071042B"/>
    <w:rsid w:val="0071075D"/>
    <w:rsid w:val="007107F4"/>
    <w:rsid w:val="0071087D"/>
    <w:rsid w:val="00710C89"/>
    <w:rsid w:val="00710F68"/>
    <w:rsid w:val="0071143D"/>
    <w:rsid w:val="00711ECC"/>
    <w:rsid w:val="00712851"/>
    <w:rsid w:val="00712F89"/>
    <w:rsid w:val="007132A6"/>
    <w:rsid w:val="00713726"/>
    <w:rsid w:val="00713ADD"/>
    <w:rsid w:val="00713B2D"/>
    <w:rsid w:val="00714175"/>
    <w:rsid w:val="00714306"/>
    <w:rsid w:val="00714685"/>
    <w:rsid w:val="00714E32"/>
    <w:rsid w:val="007154E6"/>
    <w:rsid w:val="00715778"/>
    <w:rsid w:val="0071628E"/>
    <w:rsid w:val="007166AB"/>
    <w:rsid w:val="00716A6F"/>
    <w:rsid w:val="00717032"/>
    <w:rsid w:val="00717163"/>
    <w:rsid w:val="00717600"/>
    <w:rsid w:val="00717A37"/>
    <w:rsid w:val="00717AD3"/>
    <w:rsid w:val="00717DC0"/>
    <w:rsid w:val="007203E8"/>
    <w:rsid w:val="00720492"/>
    <w:rsid w:val="0072057F"/>
    <w:rsid w:val="00720B21"/>
    <w:rsid w:val="007210D0"/>
    <w:rsid w:val="00721417"/>
    <w:rsid w:val="00721AF0"/>
    <w:rsid w:val="00721BAD"/>
    <w:rsid w:val="00722159"/>
    <w:rsid w:val="007224DA"/>
    <w:rsid w:val="00722E25"/>
    <w:rsid w:val="0072406E"/>
    <w:rsid w:val="0072445C"/>
    <w:rsid w:val="007247E3"/>
    <w:rsid w:val="00724B9A"/>
    <w:rsid w:val="00724C96"/>
    <w:rsid w:val="00724EFB"/>
    <w:rsid w:val="00724FCF"/>
    <w:rsid w:val="00725656"/>
    <w:rsid w:val="0072565C"/>
    <w:rsid w:val="00725B6E"/>
    <w:rsid w:val="00726E82"/>
    <w:rsid w:val="00727716"/>
    <w:rsid w:val="0073008F"/>
    <w:rsid w:val="007300AF"/>
    <w:rsid w:val="007308D9"/>
    <w:rsid w:val="00730EAA"/>
    <w:rsid w:val="00731450"/>
    <w:rsid w:val="007315F1"/>
    <w:rsid w:val="007316F8"/>
    <w:rsid w:val="00731904"/>
    <w:rsid w:val="00731BE4"/>
    <w:rsid w:val="00731C66"/>
    <w:rsid w:val="0073211E"/>
    <w:rsid w:val="00732A34"/>
    <w:rsid w:val="00732BA4"/>
    <w:rsid w:val="007338D8"/>
    <w:rsid w:val="00733EBC"/>
    <w:rsid w:val="007340C5"/>
    <w:rsid w:val="007341A4"/>
    <w:rsid w:val="00734303"/>
    <w:rsid w:val="0073433F"/>
    <w:rsid w:val="0073451B"/>
    <w:rsid w:val="00734644"/>
    <w:rsid w:val="00734AD0"/>
    <w:rsid w:val="00734B33"/>
    <w:rsid w:val="007356CC"/>
    <w:rsid w:val="0073573B"/>
    <w:rsid w:val="00735C4E"/>
    <w:rsid w:val="0073635E"/>
    <w:rsid w:val="0073650C"/>
    <w:rsid w:val="00736647"/>
    <w:rsid w:val="00736694"/>
    <w:rsid w:val="00736AB0"/>
    <w:rsid w:val="00737503"/>
    <w:rsid w:val="00737CDB"/>
    <w:rsid w:val="00737D10"/>
    <w:rsid w:val="00740A2E"/>
    <w:rsid w:val="00740AB7"/>
    <w:rsid w:val="00740DD8"/>
    <w:rsid w:val="00741170"/>
    <w:rsid w:val="007411D7"/>
    <w:rsid w:val="0074142B"/>
    <w:rsid w:val="00741A7D"/>
    <w:rsid w:val="00741B7D"/>
    <w:rsid w:val="00742281"/>
    <w:rsid w:val="007422FE"/>
    <w:rsid w:val="00742318"/>
    <w:rsid w:val="007423F7"/>
    <w:rsid w:val="00742C8B"/>
    <w:rsid w:val="00742D47"/>
    <w:rsid w:val="00742D6D"/>
    <w:rsid w:val="007430F0"/>
    <w:rsid w:val="00743791"/>
    <w:rsid w:val="00743B96"/>
    <w:rsid w:val="00744159"/>
    <w:rsid w:val="00744292"/>
    <w:rsid w:val="00744588"/>
    <w:rsid w:val="00744B1F"/>
    <w:rsid w:val="00744E48"/>
    <w:rsid w:val="007451A3"/>
    <w:rsid w:val="0074520F"/>
    <w:rsid w:val="0074558A"/>
    <w:rsid w:val="00745CDA"/>
    <w:rsid w:val="00745D30"/>
    <w:rsid w:val="007461FB"/>
    <w:rsid w:val="00746376"/>
    <w:rsid w:val="00746416"/>
    <w:rsid w:val="00746DB0"/>
    <w:rsid w:val="00750701"/>
    <w:rsid w:val="00750A72"/>
    <w:rsid w:val="00750F09"/>
    <w:rsid w:val="0075146D"/>
    <w:rsid w:val="00751817"/>
    <w:rsid w:val="007518B9"/>
    <w:rsid w:val="00751D79"/>
    <w:rsid w:val="00751DF5"/>
    <w:rsid w:val="00751E99"/>
    <w:rsid w:val="00752165"/>
    <w:rsid w:val="0075268E"/>
    <w:rsid w:val="00752EC4"/>
    <w:rsid w:val="007530C4"/>
    <w:rsid w:val="00753367"/>
    <w:rsid w:val="00753410"/>
    <w:rsid w:val="007534E9"/>
    <w:rsid w:val="007539F8"/>
    <w:rsid w:val="007544B0"/>
    <w:rsid w:val="00754668"/>
    <w:rsid w:val="00754955"/>
    <w:rsid w:val="00754CA5"/>
    <w:rsid w:val="00755425"/>
    <w:rsid w:val="00755447"/>
    <w:rsid w:val="00755461"/>
    <w:rsid w:val="007556B6"/>
    <w:rsid w:val="007558B3"/>
    <w:rsid w:val="00755D11"/>
    <w:rsid w:val="00755D31"/>
    <w:rsid w:val="00755DDC"/>
    <w:rsid w:val="00756032"/>
    <w:rsid w:val="0075632D"/>
    <w:rsid w:val="00756606"/>
    <w:rsid w:val="00757633"/>
    <w:rsid w:val="00757B83"/>
    <w:rsid w:val="00757D0A"/>
    <w:rsid w:val="007603C2"/>
    <w:rsid w:val="007604D8"/>
    <w:rsid w:val="007606E7"/>
    <w:rsid w:val="00760C5A"/>
    <w:rsid w:val="00761593"/>
    <w:rsid w:val="0076159E"/>
    <w:rsid w:val="00761CC9"/>
    <w:rsid w:val="00762B44"/>
    <w:rsid w:val="00762B57"/>
    <w:rsid w:val="0076306A"/>
    <w:rsid w:val="0076335C"/>
    <w:rsid w:val="0076441D"/>
    <w:rsid w:val="007647D6"/>
    <w:rsid w:val="00764875"/>
    <w:rsid w:val="00764C60"/>
    <w:rsid w:val="00764D04"/>
    <w:rsid w:val="007656BA"/>
    <w:rsid w:val="007659C3"/>
    <w:rsid w:val="007660A9"/>
    <w:rsid w:val="007662D7"/>
    <w:rsid w:val="00766D18"/>
    <w:rsid w:val="00766F33"/>
    <w:rsid w:val="0076741A"/>
    <w:rsid w:val="007676AE"/>
    <w:rsid w:val="007679AA"/>
    <w:rsid w:val="00767F7C"/>
    <w:rsid w:val="007716C7"/>
    <w:rsid w:val="00771909"/>
    <w:rsid w:val="00771F0A"/>
    <w:rsid w:val="007720D0"/>
    <w:rsid w:val="0077318D"/>
    <w:rsid w:val="00773694"/>
    <w:rsid w:val="00773854"/>
    <w:rsid w:val="00773AAA"/>
    <w:rsid w:val="00774468"/>
    <w:rsid w:val="00774D00"/>
    <w:rsid w:val="00774F36"/>
    <w:rsid w:val="007752F5"/>
    <w:rsid w:val="00775C44"/>
    <w:rsid w:val="00775D97"/>
    <w:rsid w:val="00776ADE"/>
    <w:rsid w:val="00776B74"/>
    <w:rsid w:val="00776B9A"/>
    <w:rsid w:val="0077726C"/>
    <w:rsid w:val="0077752D"/>
    <w:rsid w:val="007778E6"/>
    <w:rsid w:val="00777AFE"/>
    <w:rsid w:val="0078010A"/>
    <w:rsid w:val="00780138"/>
    <w:rsid w:val="00780983"/>
    <w:rsid w:val="00780D19"/>
    <w:rsid w:val="00780D42"/>
    <w:rsid w:val="0078119B"/>
    <w:rsid w:val="007815CE"/>
    <w:rsid w:val="00782142"/>
    <w:rsid w:val="00782675"/>
    <w:rsid w:val="00782700"/>
    <w:rsid w:val="00782C95"/>
    <w:rsid w:val="007830AA"/>
    <w:rsid w:val="007831ED"/>
    <w:rsid w:val="00783467"/>
    <w:rsid w:val="0078357B"/>
    <w:rsid w:val="00783E1E"/>
    <w:rsid w:val="007841C0"/>
    <w:rsid w:val="00784376"/>
    <w:rsid w:val="007845DD"/>
    <w:rsid w:val="0078475A"/>
    <w:rsid w:val="00784ABF"/>
    <w:rsid w:val="0078589B"/>
    <w:rsid w:val="00785BA9"/>
    <w:rsid w:val="007865DF"/>
    <w:rsid w:val="00786756"/>
    <w:rsid w:val="00786B46"/>
    <w:rsid w:val="00786C11"/>
    <w:rsid w:val="00786C9D"/>
    <w:rsid w:val="00787297"/>
    <w:rsid w:val="00787508"/>
    <w:rsid w:val="007877C6"/>
    <w:rsid w:val="007900C2"/>
    <w:rsid w:val="007902F4"/>
    <w:rsid w:val="0079043D"/>
    <w:rsid w:val="007904D4"/>
    <w:rsid w:val="00790B4B"/>
    <w:rsid w:val="00790B64"/>
    <w:rsid w:val="00791898"/>
    <w:rsid w:val="00791BD2"/>
    <w:rsid w:val="00791F1C"/>
    <w:rsid w:val="00792127"/>
    <w:rsid w:val="007924D9"/>
    <w:rsid w:val="00792744"/>
    <w:rsid w:val="007933C4"/>
    <w:rsid w:val="00793486"/>
    <w:rsid w:val="00793850"/>
    <w:rsid w:val="007943F2"/>
    <w:rsid w:val="0079454C"/>
    <w:rsid w:val="00794BCF"/>
    <w:rsid w:val="00794D45"/>
    <w:rsid w:val="00795617"/>
    <w:rsid w:val="007957F5"/>
    <w:rsid w:val="007958D2"/>
    <w:rsid w:val="007959FD"/>
    <w:rsid w:val="00795A6C"/>
    <w:rsid w:val="00795D0B"/>
    <w:rsid w:val="00795E37"/>
    <w:rsid w:val="00795ED5"/>
    <w:rsid w:val="007966FA"/>
    <w:rsid w:val="00796712"/>
    <w:rsid w:val="00796DFB"/>
    <w:rsid w:val="00797069"/>
    <w:rsid w:val="007972D9"/>
    <w:rsid w:val="00797AA2"/>
    <w:rsid w:val="00797D05"/>
    <w:rsid w:val="00797DC6"/>
    <w:rsid w:val="00797EB5"/>
    <w:rsid w:val="007A00B0"/>
    <w:rsid w:val="007A1098"/>
    <w:rsid w:val="007A1161"/>
    <w:rsid w:val="007A1162"/>
    <w:rsid w:val="007A1337"/>
    <w:rsid w:val="007A22F3"/>
    <w:rsid w:val="007A2E3D"/>
    <w:rsid w:val="007A315C"/>
    <w:rsid w:val="007A3172"/>
    <w:rsid w:val="007A35D2"/>
    <w:rsid w:val="007A3769"/>
    <w:rsid w:val="007A37CB"/>
    <w:rsid w:val="007A3A83"/>
    <w:rsid w:val="007A3DA1"/>
    <w:rsid w:val="007A3FAC"/>
    <w:rsid w:val="007A4703"/>
    <w:rsid w:val="007A4BC1"/>
    <w:rsid w:val="007A4CE4"/>
    <w:rsid w:val="007A50CB"/>
    <w:rsid w:val="007A5507"/>
    <w:rsid w:val="007A554A"/>
    <w:rsid w:val="007A5774"/>
    <w:rsid w:val="007A6574"/>
    <w:rsid w:val="007A69D7"/>
    <w:rsid w:val="007A6F46"/>
    <w:rsid w:val="007A7777"/>
    <w:rsid w:val="007A7A04"/>
    <w:rsid w:val="007A7D21"/>
    <w:rsid w:val="007B015E"/>
    <w:rsid w:val="007B0281"/>
    <w:rsid w:val="007B02F6"/>
    <w:rsid w:val="007B0301"/>
    <w:rsid w:val="007B05E0"/>
    <w:rsid w:val="007B06B9"/>
    <w:rsid w:val="007B0889"/>
    <w:rsid w:val="007B15B7"/>
    <w:rsid w:val="007B1A03"/>
    <w:rsid w:val="007B2031"/>
    <w:rsid w:val="007B2127"/>
    <w:rsid w:val="007B2389"/>
    <w:rsid w:val="007B2537"/>
    <w:rsid w:val="007B3052"/>
    <w:rsid w:val="007B3665"/>
    <w:rsid w:val="007B4340"/>
    <w:rsid w:val="007B48D8"/>
    <w:rsid w:val="007B4CF7"/>
    <w:rsid w:val="007B4F36"/>
    <w:rsid w:val="007B52F2"/>
    <w:rsid w:val="007B540B"/>
    <w:rsid w:val="007B571B"/>
    <w:rsid w:val="007B6A85"/>
    <w:rsid w:val="007B6EB7"/>
    <w:rsid w:val="007B7537"/>
    <w:rsid w:val="007B7F1B"/>
    <w:rsid w:val="007B7FF9"/>
    <w:rsid w:val="007C060A"/>
    <w:rsid w:val="007C08AD"/>
    <w:rsid w:val="007C0B1C"/>
    <w:rsid w:val="007C12D7"/>
    <w:rsid w:val="007C1609"/>
    <w:rsid w:val="007C1B4A"/>
    <w:rsid w:val="007C1B69"/>
    <w:rsid w:val="007C1C4C"/>
    <w:rsid w:val="007C369A"/>
    <w:rsid w:val="007C369C"/>
    <w:rsid w:val="007C3A6D"/>
    <w:rsid w:val="007C3E7E"/>
    <w:rsid w:val="007C3F87"/>
    <w:rsid w:val="007C4273"/>
    <w:rsid w:val="007C5083"/>
    <w:rsid w:val="007C548E"/>
    <w:rsid w:val="007C5B5C"/>
    <w:rsid w:val="007C5B92"/>
    <w:rsid w:val="007C5D13"/>
    <w:rsid w:val="007C5E76"/>
    <w:rsid w:val="007C5E86"/>
    <w:rsid w:val="007C61F4"/>
    <w:rsid w:val="007C6310"/>
    <w:rsid w:val="007C67E0"/>
    <w:rsid w:val="007C780D"/>
    <w:rsid w:val="007C7B47"/>
    <w:rsid w:val="007C7B60"/>
    <w:rsid w:val="007D0159"/>
    <w:rsid w:val="007D051B"/>
    <w:rsid w:val="007D0597"/>
    <w:rsid w:val="007D079E"/>
    <w:rsid w:val="007D0EA2"/>
    <w:rsid w:val="007D162C"/>
    <w:rsid w:val="007D1A58"/>
    <w:rsid w:val="007D2312"/>
    <w:rsid w:val="007D2D7E"/>
    <w:rsid w:val="007D31A7"/>
    <w:rsid w:val="007D37C2"/>
    <w:rsid w:val="007D3981"/>
    <w:rsid w:val="007D3B7A"/>
    <w:rsid w:val="007D41C8"/>
    <w:rsid w:val="007D42D4"/>
    <w:rsid w:val="007D4A5A"/>
    <w:rsid w:val="007D50BF"/>
    <w:rsid w:val="007D5147"/>
    <w:rsid w:val="007D5A70"/>
    <w:rsid w:val="007D5D99"/>
    <w:rsid w:val="007D5E2B"/>
    <w:rsid w:val="007D6916"/>
    <w:rsid w:val="007D6B32"/>
    <w:rsid w:val="007D71DA"/>
    <w:rsid w:val="007D7C3D"/>
    <w:rsid w:val="007D7F72"/>
    <w:rsid w:val="007E00BC"/>
    <w:rsid w:val="007E0198"/>
    <w:rsid w:val="007E07AA"/>
    <w:rsid w:val="007E0C6D"/>
    <w:rsid w:val="007E0EA6"/>
    <w:rsid w:val="007E135D"/>
    <w:rsid w:val="007E26CF"/>
    <w:rsid w:val="007E29D4"/>
    <w:rsid w:val="007E29F4"/>
    <w:rsid w:val="007E2D90"/>
    <w:rsid w:val="007E3149"/>
    <w:rsid w:val="007E3A3D"/>
    <w:rsid w:val="007E4F5B"/>
    <w:rsid w:val="007E599F"/>
    <w:rsid w:val="007E5A9A"/>
    <w:rsid w:val="007E5CE3"/>
    <w:rsid w:val="007E65B4"/>
    <w:rsid w:val="007E6F88"/>
    <w:rsid w:val="007E7007"/>
    <w:rsid w:val="007E700B"/>
    <w:rsid w:val="007E7298"/>
    <w:rsid w:val="007E767F"/>
    <w:rsid w:val="007E7717"/>
    <w:rsid w:val="007E7F25"/>
    <w:rsid w:val="007F0212"/>
    <w:rsid w:val="007F0655"/>
    <w:rsid w:val="007F177B"/>
    <w:rsid w:val="007F19C6"/>
    <w:rsid w:val="007F1E8E"/>
    <w:rsid w:val="007F22A4"/>
    <w:rsid w:val="007F253D"/>
    <w:rsid w:val="007F279F"/>
    <w:rsid w:val="007F289B"/>
    <w:rsid w:val="007F28B3"/>
    <w:rsid w:val="007F28DC"/>
    <w:rsid w:val="007F29C5"/>
    <w:rsid w:val="007F2F41"/>
    <w:rsid w:val="007F3055"/>
    <w:rsid w:val="007F3372"/>
    <w:rsid w:val="007F3418"/>
    <w:rsid w:val="007F3ACA"/>
    <w:rsid w:val="007F3C32"/>
    <w:rsid w:val="007F3FDB"/>
    <w:rsid w:val="007F4802"/>
    <w:rsid w:val="007F4AC9"/>
    <w:rsid w:val="007F4DA5"/>
    <w:rsid w:val="007F527A"/>
    <w:rsid w:val="007F565B"/>
    <w:rsid w:val="007F57B8"/>
    <w:rsid w:val="007F5D7B"/>
    <w:rsid w:val="007F5E58"/>
    <w:rsid w:val="007F6212"/>
    <w:rsid w:val="007F69FC"/>
    <w:rsid w:val="007F6E0E"/>
    <w:rsid w:val="007F7271"/>
    <w:rsid w:val="007F79E8"/>
    <w:rsid w:val="007F7C6B"/>
    <w:rsid w:val="00800368"/>
    <w:rsid w:val="00800C9F"/>
    <w:rsid w:val="00801055"/>
    <w:rsid w:val="00801879"/>
    <w:rsid w:val="00801D33"/>
    <w:rsid w:val="00801E7A"/>
    <w:rsid w:val="00801F41"/>
    <w:rsid w:val="00801F58"/>
    <w:rsid w:val="00802901"/>
    <w:rsid w:val="00802983"/>
    <w:rsid w:val="00802F21"/>
    <w:rsid w:val="008033C5"/>
    <w:rsid w:val="00803405"/>
    <w:rsid w:val="008039FB"/>
    <w:rsid w:val="00803A4B"/>
    <w:rsid w:val="00803C2E"/>
    <w:rsid w:val="0080446B"/>
    <w:rsid w:val="00804796"/>
    <w:rsid w:val="00804CE5"/>
    <w:rsid w:val="0080549D"/>
    <w:rsid w:val="00805573"/>
    <w:rsid w:val="00805EC4"/>
    <w:rsid w:val="0080617A"/>
    <w:rsid w:val="00806F64"/>
    <w:rsid w:val="00807006"/>
    <w:rsid w:val="00807088"/>
    <w:rsid w:val="0080784F"/>
    <w:rsid w:val="008078DD"/>
    <w:rsid w:val="00807D28"/>
    <w:rsid w:val="008103B5"/>
    <w:rsid w:val="00810490"/>
    <w:rsid w:val="00810830"/>
    <w:rsid w:val="008113C5"/>
    <w:rsid w:val="00811708"/>
    <w:rsid w:val="00811D86"/>
    <w:rsid w:val="00811EB9"/>
    <w:rsid w:val="00812059"/>
    <w:rsid w:val="00812147"/>
    <w:rsid w:val="008128E9"/>
    <w:rsid w:val="00812958"/>
    <w:rsid w:val="00812E41"/>
    <w:rsid w:val="00812EF3"/>
    <w:rsid w:val="0081418C"/>
    <w:rsid w:val="00814412"/>
    <w:rsid w:val="00814ED3"/>
    <w:rsid w:val="00814F66"/>
    <w:rsid w:val="00814FDF"/>
    <w:rsid w:val="0081552A"/>
    <w:rsid w:val="00816A4F"/>
    <w:rsid w:val="00816EB8"/>
    <w:rsid w:val="008171A9"/>
    <w:rsid w:val="008173B1"/>
    <w:rsid w:val="00817420"/>
    <w:rsid w:val="00817903"/>
    <w:rsid w:val="00817D8C"/>
    <w:rsid w:val="00820019"/>
    <w:rsid w:val="00820763"/>
    <w:rsid w:val="008208DC"/>
    <w:rsid w:val="00820F6B"/>
    <w:rsid w:val="0082102D"/>
    <w:rsid w:val="00821047"/>
    <w:rsid w:val="00821448"/>
    <w:rsid w:val="0082182E"/>
    <w:rsid w:val="00821B36"/>
    <w:rsid w:val="00822079"/>
    <w:rsid w:val="008227B1"/>
    <w:rsid w:val="008227B3"/>
    <w:rsid w:val="00822C5E"/>
    <w:rsid w:val="00822F2E"/>
    <w:rsid w:val="00823822"/>
    <w:rsid w:val="00823D04"/>
    <w:rsid w:val="0082427E"/>
    <w:rsid w:val="0082449F"/>
    <w:rsid w:val="0082474D"/>
    <w:rsid w:val="00825DD8"/>
    <w:rsid w:val="00826574"/>
    <w:rsid w:val="0082667C"/>
    <w:rsid w:val="00826F78"/>
    <w:rsid w:val="008272B7"/>
    <w:rsid w:val="008272C5"/>
    <w:rsid w:val="0082761E"/>
    <w:rsid w:val="00827BA1"/>
    <w:rsid w:val="00830533"/>
    <w:rsid w:val="00830945"/>
    <w:rsid w:val="00830E4F"/>
    <w:rsid w:val="008310DE"/>
    <w:rsid w:val="008315C0"/>
    <w:rsid w:val="008315C2"/>
    <w:rsid w:val="00831806"/>
    <w:rsid w:val="00831BB1"/>
    <w:rsid w:val="00832081"/>
    <w:rsid w:val="008320FC"/>
    <w:rsid w:val="00832322"/>
    <w:rsid w:val="008324F5"/>
    <w:rsid w:val="008327A8"/>
    <w:rsid w:val="008330CF"/>
    <w:rsid w:val="00833126"/>
    <w:rsid w:val="008333FF"/>
    <w:rsid w:val="00833563"/>
    <w:rsid w:val="008340E7"/>
    <w:rsid w:val="00834290"/>
    <w:rsid w:val="00834537"/>
    <w:rsid w:val="0083457D"/>
    <w:rsid w:val="0083477E"/>
    <w:rsid w:val="00834DF9"/>
    <w:rsid w:val="00835A61"/>
    <w:rsid w:val="00835B41"/>
    <w:rsid w:val="00835D7A"/>
    <w:rsid w:val="008369E8"/>
    <w:rsid w:val="00836B32"/>
    <w:rsid w:val="00836D95"/>
    <w:rsid w:val="00836F8F"/>
    <w:rsid w:val="008373AF"/>
    <w:rsid w:val="00837566"/>
    <w:rsid w:val="0083767B"/>
    <w:rsid w:val="008376B6"/>
    <w:rsid w:val="00837ED8"/>
    <w:rsid w:val="008402F7"/>
    <w:rsid w:val="0084099C"/>
    <w:rsid w:val="00840B26"/>
    <w:rsid w:val="00840FAF"/>
    <w:rsid w:val="00841012"/>
    <w:rsid w:val="0084155B"/>
    <w:rsid w:val="008415F5"/>
    <w:rsid w:val="00841CEB"/>
    <w:rsid w:val="00842419"/>
    <w:rsid w:val="008424FA"/>
    <w:rsid w:val="0084287A"/>
    <w:rsid w:val="008428E4"/>
    <w:rsid w:val="00842A4F"/>
    <w:rsid w:val="00842CFA"/>
    <w:rsid w:val="00842EAC"/>
    <w:rsid w:val="0084301B"/>
    <w:rsid w:val="008435DB"/>
    <w:rsid w:val="00843650"/>
    <w:rsid w:val="0084368F"/>
    <w:rsid w:val="00843C2B"/>
    <w:rsid w:val="00843CEF"/>
    <w:rsid w:val="00843DED"/>
    <w:rsid w:val="00844EAA"/>
    <w:rsid w:val="00845483"/>
    <w:rsid w:val="008462B6"/>
    <w:rsid w:val="00846A86"/>
    <w:rsid w:val="00847424"/>
    <w:rsid w:val="00850645"/>
    <w:rsid w:val="008511C2"/>
    <w:rsid w:val="0085158B"/>
    <w:rsid w:val="008519B8"/>
    <w:rsid w:val="00852493"/>
    <w:rsid w:val="008527A8"/>
    <w:rsid w:val="00852AC4"/>
    <w:rsid w:val="008532AE"/>
    <w:rsid w:val="00853382"/>
    <w:rsid w:val="00853CE3"/>
    <w:rsid w:val="00854251"/>
    <w:rsid w:val="008543C4"/>
    <w:rsid w:val="0085498F"/>
    <w:rsid w:val="00854ACF"/>
    <w:rsid w:val="0085531D"/>
    <w:rsid w:val="0085537C"/>
    <w:rsid w:val="008555D4"/>
    <w:rsid w:val="0085565F"/>
    <w:rsid w:val="00855876"/>
    <w:rsid w:val="00855A10"/>
    <w:rsid w:val="00855BA6"/>
    <w:rsid w:val="008563AC"/>
    <w:rsid w:val="008566A8"/>
    <w:rsid w:val="00856784"/>
    <w:rsid w:val="0085712D"/>
    <w:rsid w:val="008574E7"/>
    <w:rsid w:val="00857517"/>
    <w:rsid w:val="008575F0"/>
    <w:rsid w:val="0085764A"/>
    <w:rsid w:val="00857833"/>
    <w:rsid w:val="0085785B"/>
    <w:rsid w:val="00857BFB"/>
    <w:rsid w:val="00857CB7"/>
    <w:rsid w:val="00857F6E"/>
    <w:rsid w:val="008600AC"/>
    <w:rsid w:val="00860CEB"/>
    <w:rsid w:val="00860D0A"/>
    <w:rsid w:val="00860E32"/>
    <w:rsid w:val="00860F5A"/>
    <w:rsid w:val="00861718"/>
    <w:rsid w:val="00862501"/>
    <w:rsid w:val="00862502"/>
    <w:rsid w:val="0086257B"/>
    <w:rsid w:val="00862C9C"/>
    <w:rsid w:val="00862D1B"/>
    <w:rsid w:val="00863760"/>
    <w:rsid w:val="00863B4E"/>
    <w:rsid w:val="00863FDA"/>
    <w:rsid w:val="008640F0"/>
    <w:rsid w:val="0086434E"/>
    <w:rsid w:val="00864710"/>
    <w:rsid w:val="00864858"/>
    <w:rsid w:val="00865615"/>
    <w:rsid w:val="00865E70"/>
    <w:rsid w:val="00865F0E"/>
    <w:rsid w:val="00865FA2"/>
    <w:rsid w:val="0086638E"/>
    <w:rsid w:val="008665D0"/>
    <w:rsid w:val="00866FF6"/>
    <w:rsid w:val="00867076"/>
    <w:rsid w:val="00867F01"/>
    <w:rsid w:val="00867F24"/>
    <w:rsid w:val="008703F2"/>
    <w:rsid w:val="00870644"/>
    <w:rsid w:val="00870E00"/>
    <w:rsid w:val="00871050"/>
    <w:rsid w:val="00871F98"/>
    <w:rsid w:val="0087299D"/>
    <w:rsid w:val="00872BDE"/>
    <w:rsid w:val="00873CC6"/>
    <w:rsid w:val="00873F8F"/>
    <w:rsid w:val="008743BE"/>
    <w:rsid w:val="00874458"/>
    <w:rsid w:val="00874A67"/>
    <w:rsid w:val="00874B68"/>
    <w:rsid w:val="0087557D"/>
    <w:rsid w:val="008759D3"/>
    <w:rsid w:val="00875D1B"/>
    <w:rsid w:val="00875EB9"/>
    <w:rsid w:val="008761E2"/>
    <w:rsid w:val="008765D3"/>
    <w:rsid w:val="00876936"/>
    <w:rsid w:val="00876A80"/>
    <w:rsid w:val="00876C16"/>
    <w:rsid w:val="00876F04"/>
    <w:rsid w:val="00876F08"/>
    <w:rsid w:val="00877BE7"/>
    <w:rsid w:val="00877C5D"/>
    <w:rsid w:val="00877DE2"/>
    <w:rsid w:val="00880999"/>
    <w:rsid w:val="00880FE4"/>
    <w:rsid w:val="00881181"/>
    <w:rsid w:val="00881289"/>
    <w:rsid w:val="008812CF"/>
    <w:rsid w:val="00881473"/>
    <w:rsid w:val="008816CF"/>
    <w:rsid w:val="00881E9F"/>
    <w:rsid w:val="008827A9"/>
    <w:rsid w:val="00883378"/>
    <w:rsid w:val="0088342E"/>
    <w:rsid w:val="00883544"/>
    <w:rsid w:val="00883DE1"/>
    <w:rsid w:val="0088439D"/>
    <w:rsid w:val="008844CA"/>
    <w:rsid w:val="00884811"/>
    <w:rsid w:val="00884F50"/>
    <w:rsid w:val="00884F52"/>
    <w:rsid w:val="008851F6"/>
    <w:rsid w:val="00885379"/>
    <w:rsid w:val="00885539"/>
    <w:rsid w:val="00885713"/>
    <w:rsid w:val="008861DF"/>
    <w:rsid w:val="0088630D"/>
    <w:rsid w:val="008867FF"/>
    <w:rsid w:val="00886A24"/>
    <w:rsid w:val="008874DD"/>
    <w:rsid w:val="00887853"/>
    <w:rsid w:val="00887F8A"/>
    <w:rsid w:val="00890486"/>
    <w:rsid w:val="00890724"/>
    <w:rsid w:val="00890756"/>
    <w:rsid w:val="00891A8C"/>
    <w:rsid w:val="00891C99"/>
    <w:rsid w:val="00892C79"/>
    <w:rsid w:val="00893628"/>
    <w:rsid w:val="00894507"/>
    <w:rsid w:val="00894691"/>
    <w:rsid w:val="00895021"/>
    <w:rsid w:val="008952CB"/>
    <w:rsid w:val="00895631"/>
    <w:rsid w:val="0089649B"/>
    <w:rsid w:val="00896B22"/>
    <w:rsid w:val="0089737D"/>
    <w:rsid w:val="00897767"/>
    <w:rsid w:val="008A00A4"/>
    <w:rsid w:val="008A010B"/>
    <w:rsid w:val="008A0566"/>
    <w:rsid w:val="008A06C2"/>
    <w:rsid w:val="008A07AE"/>
    <w:rsid w:val="008A0F60"/>
    <w:rsid w:val="008A163E"/>
    <w:rsid w:val="008A19A6"/>
    <w:rsid w:val="008A1C65"/>
    <w:rsid w:val="008A21C4"/>
    <w:rsid w:val="008A23C8"/>
    <w:rsid w:val="008A2973"/>
    <w:rsid w:val="008A2992"/>
    <w:rsid w:val="008A29CF"/>
    <w:rsid w:val="008A2AA0"/>
    <w:rsid w:val="008A2F41"/>
    <w:rsid w:val="008A3DB6"/>
    <w:rsid w:val="008A4F14"/>
    <w:rsid w:val="008A5A1A"/>
    <w:rsid w:val="008A5D29"/>
    <w:rsid w:val="008A5D72"/>
    <w:rsid w:val="008A5DCA"/>
    <w:rsid w:val="008A66F3"/>
    <w:rsid w:val="008A691E"/>
    <w:rsid w:val="008A7096"/>
    <w:rsid w:val="008A7A70"/>
    <w:rsid w:val="008B0218"/>
    <w:rsid w:val="008B0A3E"/>
    <w:rsid w:val="008B1517"/>
    <w:rsid w:val="008B1873"/>
    <w:rsid w:val="008B1E3B"/>
    <w:rsid w:val="008B232B"/>
    <w:rsid w:val="008B25FF"/>
    <w:rsid w:val="008B2698"/>
    <w:rsid w:val="008B2724"/>
    <w:rsid w:val="008B2BF8"/>
    <w:rsid w:val="008B2D29"/>
    <w:rsid w:val="008B31E1"/>
    <w:rsid w:val="008B353D"/>
    <w:rsid w:val="008B3D81"/>
    <w:rsid w:val="008B412D"/>
    <w:rsid w:val="008B4331"/>
    <w:rsid w:val="008B46F4"/>
    <w:rsid w:val="008B4835"/>
    <w:rsid w:val="008B50A2"/>
    <w:rsid w:val="008B577D"/>
    <w:rsid w:val="008B58F2"/>
    <w:rsid w:val="008B5B6A"/>
    <w:rsid w:val="008B6793"/>
    <w:rsid w:val="008B6A0E"/>
    <w:rsid w:val="008B6D68"/>
    <w:rsid w:val="008B757A"/>
    <w:rsid w:val="008B78A9"/>
    <w:rsid w:val="008B7A92"/>
    <w:rsid w:val="008B7E5C"/>
    <w:rsid w:val="008C0BA4"/>
    <w:rsid w:val="008C0CE4"/>
    <w:rsid w:val="008C10AF"/>
    <w:rsid w:val="008C1A58"/>
    <w:rsid w:val="008C1D27"/>
    <w:rsid w:val="008C1F32"/>
    <w:rsid w:val="008C20E8"/>
    <w:rsid w:val="008C212E"/>
    <w:rsid w:val="008C2C5E"/>
    <w:rsid w:val="008C3066"/>
    <w:rsid w:val="008C30E9"/>
    <w:rsid w:val="008C3142"/>
    <w:rsid w:val="008C33BD"/>
    <w:rsid w:val="008C3610"/>
    <w:rsid w:val="008C368A"/>
    <w:rsid w:val="008C481D"/>
    <w:rsid w:val="008C52AF"/>
    <w:rsid w:val="008C5D1A"/>
    <w:rsid w:val="008C5D77"/>
    <w:rsid w:val="008C5DC8"/>
    <w:rsid w:val="008C69A5"/>
    <w:rsid w:val="008C6BE6"/>
    <w:rsid w:val="008C6FE0"/>
    <w:rsid w:val="008C7522"/>
    <w:rsid w:val="008C7EBE"/>
    <w:rsid w:val="008D0356"/>
    <w:rsid w:val="008D077F"/>
    <w:rsid w:val="008D097E"/>
    <w:rsid w:val="008D1336"/>
    <w:rsid w:val="008D1615"/>
    <w:rsid w:val="008D184D"/>
    <w:rsid w:val="008D20C3"/>
    <w:rsid w:val="008D2563"/>
    <w:rsid w:val="008D3236"/>
    <w:rsid w:val="008D35B8"/>
    <w:rsid w:val="008D3AFD"/>
    <w:rsid w:val="008D3BE8"/>
    <w:rsid w:val="008D3CA4"/>
    <w:rsid w:val="008D3F72"/>
    <w:rsid w:val="008D4102"/>
    <w:rsid w:val="008D46A6"/>
    <w:rsid w:val="008D48C2"/>
    <w:rsid w:val="008D4F4B"/>
    <w:rsid w:val="008D5722"/>
    <w:rsid w:val="008D5C99"/>
    <w:rsid w:val="008D5F45"/>
    <w:rsid w:val="008D60E9"/>
    <w:rsid w:val="008D6E3F"/>
    <w:rsid w:val="008D7C55"/>
    <w:rsid w:val="008E07A5"/>
    <w:rsid w:val="008E0AA7"/>
    <w:rsid w:val="008E0FE2"/>
    <w:rsid w:val="008E1B42"/>
    <w:rsid w:val="008E1D73"/>
    <w:rsid w:val="008E26ED"/>
    <w:rsid w:val="008E2C46"/>
    <w:rsid w:val="008E33D1"/>
    <w:rsid w:val="008E3773"/>
    <w:rsid w:val="008E40F6"/>
    <w:rsid w:val="008E41BD"/>
    <w:rsid w:val="008E46E9"/>
    <w:rsid w:val="008E529F"/>
    <w:rsid w:val="008E5C06"/>
    <w:rsid w:val="008E6959"/>
    <w:rsid w:val="008E70F1"/>
    <w:rsid w:val="008E71FE"/>
    <w:rsid w:val="008E7F69"/>
    <w:rsid w:val="008F03C6"/>
    <w:rsid w:val="008F0488"/>
    <w:rsid w:val="008F0928"/>
    <w:rsid w:val="008F0B93"/>
    <w:rsid w:val="008F12C0"/>
    <w:rsid w:val="008F1339"/>
    <w:rsid w:val="008F154F"/>
    <w:rsid w:val="008F1B9D"/>
    <w:rsid w:val="008F229B"/>
    <w:rsid w:val="008F28E5"/>
    <w:rsid w:val="008F2F66"/>
    <w:rsid w:val="008F3051"/>
    <w:rsid w:val="008F3101"/>
    <w:rsid w:val="008F345B"/>
    <w:rsid w:val="008F364F"/>
    <w:rsid w:val="008F5117"/>
    <w:rsid w:val="008F5818"/>
    <w:rsid w:val="008F5879"/>
    <w:rsid w:val="008F5883"/>
    <w:rsid w:val="008F5C48"/>
    <w:rsid w:val="008F5C69"/>
    <w:rsid w:val="008F6131"/>
    <w:rsid w:val="008F631F"/>
    <w:rsid w:val="008F6355"/>
    <w:rsid w:val="008F746E"/>
    <w:rsid w:val="008F7BEB"/>
    <w:rsid w:val="008F7CDF"/>
    <w:rsid w:val="008F7D94"/>
    <w:rsid w:val="009007CC"/>
    <w:rsid w:val="00900DFF"/>
    <w:rsid w:val="00900EB8"/>
    <w:rsid w:val="009011B6"/>
    <w:rsid w:val="0090172D"/>
    <w:rsid w:val="0090176D"/>
    <w:rsid w:val="009018E9"/>
    <w:rsid w:val="0090195A"/>
    <w:rsid w:val="00902AB6"/>
    <w:rsid w:val="00902AC7"/>
    <w:rsid w:val="00902EE4"/>
    <w:rsid w:val="00903C78"/>
    <w:rsid w:val="00903E2A"/>
    <w:rsid w:val="00903FEE"/>
    <w:rsid w:val="009043FE"/>
    <w:rsid w:val="009044E4"/>
    <w:rsid w:val="00904DBD"/>
    <w:rsid w:val="0090574E"/>
    <w:rsid w:val="0090578D"/>
    <w:rsid w:val="00905940"/>
    <w:rsid w:val="00905C36"/>
    <w:rsid w:val="00905F89"/>
    <w:rsid w:val="0090652C"/>
    <w:rsid w:val="0090703C"/>
    <w:rsid w:val="009079D6"/>
    <w:rsid w:val="009104A1"/>
    <w:rsid w:val="00910F3C"/>
    <w:rsid w:val="0091114B"/>
    <w:rsid w:val="0091155B"/>
    <w:rsid w:val="009115D1"/>
    <w:rsid w:val="009117E4"/>
    <w:rsid w:val="009117EB"/>
    <w:rsid w:val="009118BC"/>
    <w:rsid w:val="00911D85"/>
    <w:rsid w:val="00912253"/>
    <w:rsid w:val="0091239F"/>
    <w:rsid w:val="009125F6"/>
    <w:rsid w:val="00912721"/>
    <w:rsid w:val="00912829"/>
    <w:rsid w:val="009133A7"/>
    <w:rsid w:val="009134F4"/>
    <w:rsid w:val="00913E57"/>
    <w:rsid w:val="00913F32"/>
    <w:rsid w:val="00914166"/>
    <w:rsid w:val="00914C4D"/>
    <w:rsid w:val="00914CE9"/>
    <w:rsid w:val="009155F6"/>
    <w:rsid w:val="00915DB2"/>
    <w:rsid w:val="00916134"/>
    <w:rsid w:val="00916288"/>
    <w:rsid w:val="00916459"/>
    <w:rsid w:val="00916C74"/>
    <w:rsid w:val="00916CDB"/>
    <w:rsid w:val="0091721A"/>
    <w:rsid w:val="00917244"/>
    <w:rsid w:val="00917609"/>
    <w:rsid w:val="00920110"/>
    <w:rsid w:val="0092028F"/>
    <w:rsid w:val="00920881"/>
    <w:rsid w:val="009211B9"/>
    <w:rsid w:val="009214FF"/>
    <w:rsid w:val="00921AB1"/>
    <w:rsid w:val="00921F5A"/>
    <w:rsid w:val="00922833"/>
    <w:rsid w:val="00922951"/>
    <w:rsid w:val="00922A78"/>
    <w:rsid w:val="00923F13"/>
    <w:rsid w:val="00924152"/>
    <w:rsid w:val="0092445E"/>
    <w:rsid w:val="00924B14"/>
    <w:rsid w:val="00924F4E"/>
    <w:rsid w:val="0092541A"/>
    <w:rsid w:val="00925CBE"/>
    <w:rsid w:val="00925EF5"/>
    <w:rsid w:val="00925F0B"/>
    <w:rsid w:val="00925F35"/>
    <w:rsid w:val="0092754F"/>
    <w:rsid w:val="00927DEA"/>
    <w:rsid w:val="0093009B"/>
    <w:rsid w:val="009301A9"/>
    <w:rsid w:val="00930205"/>
    <w:rsid w:val="00930345"/>
    <w:rsid w:val="009303E1"/>
    <w:rsid w:val="009303EF"/>
    <w:rsid w:val="009306CD"/>
    <w:rsid w:val="00930A6D"/>
    <w:rsid w:val="00930D5D"/>
    <w:rsid w:val="00930D71"/>
    <w:rsid w:val="0093127A"/>
    <w:rsid w:val="00931527"/>
    <w:rsid w:val="0093156A"/>
    <w:rsid w:val="009315BF"/>
    <w:rsid w:val="00931DEF"/>
    <w:rsid w:val="00931FCC"/>
    <w:rsid w:val="00932D19"/>
    <w:rsid w:val="009337ED"/>
    <w:rsid w:val="0093384E"/>
    <w:rsid w:val="00934314"/>
    <w:rsid w:val="009344F0"/>
    <w:rsid w:val="00934D3D"/>
    <w:rsid w:val="009351A2"/>
    <w:rsid w:val="0093543F"/>
    <w:rsid w:val="009356D5"/>
    <w:rsid w:val="00936683"/>
    <w:rsid w:val="009369F5"/>
    <w:rsid w:val="00936C98"/>
    <w:rsid w:val="00937158"/>
    <w:rsid w:val="00937358"/>
    <w:rsid w:val="009377A8"/>
    <w:rsid w:val="00937E97"/>
    <w:rsid w:val="009401D0"/>
    <w:rsid w:val="009403FD"/>
    <w:rsid w:val="009406D2"/>
    <w:rsid w:val="00940B78"/>
    <w:rsid w:val="00940E0C"/>
    <w:rsid w:val="00940F3A"/>
    <w:rsid w:val="00941044"/>
    <w:rsid w:val="00941977"/>
    <w:rsid w:val="00941D55"/>
    <w:rsid w:val="009425B0"/>
    <w:rsid w:val="00942AA1"/>
    <w:rsid w:val="009433A8"/>
    <w:rsid w:val="0094364F"/>
    <w:rsid w:val="00943898"/>
    <w:rsid w:val="00943CB4"/>
    <w:rsid w:val="00943FEE"/>
    <w:rsid w:val="009448AB"/>
    <w:rsid w:val="009459A1"/>
    <w:rsid w:val="00945B18"/>
    <w:rsid w:val="00945F56"/>
    <w:rsid w:val="0094627B"/>
    <w:rsid w:val="00946B15"/>
    <w:rsid w:val="009472F6"/>
    <w:rsid w:val="0095019E"/>
    <w:rsid w:val="00950317"/>
    <w:rsid w:val="0095097F"/>
    <w:rsid w:val="00951B93"/>
    <w:rsid w:val="00951BC7"/>
    <w:rsid w:val="00951E4D"/>
    <w:rsid w:val="009522B7"/>
    <w:rsid w:val="009527EA"/>
    <w:rsid w:val="00952830"/>
    <w:rsid w:val="00952AE5"/>
    <w:rsid w:val="00953249"/>
    <w:rsid w:val="0095412E"/>
    <w:rsid w:val="00954203"/>
    <w:rsid w:val="00954D67"/>
    <w:rsid w:val="00955C5A"/>
    <w:rsid w:val="00955E7E"/>
    <w:rsid w:val="00955EC2"/>
    <w:rsid w:val="00955EFA"/>
    <w:rsid w:val="009564E1"/>
    <w:rsid w:val="009566C8"/>
    <w:rsid w:val="00956B05"/>
    <w:rsid w:val="009573B3"/>
    <w:rsid w:val="00957742"/>
    <w:rsid w:val="009604CA"/>
    <w:rsid w:val="009606E5"/>
    <w:rsid w:val="009608C6"/>
    <w:rsid w:val="00961460"/>
    <w:rsid w:val="009616DC"/>
    <w:rsid w:val="009618CD"/>
    <w:rsid w:val="00961AD8"/>
    <w:rsid w:val="00961B93"/>
    <w:rsid w:val="00961DB8"/>
    <w:rsid w:val="00962D20"/>
    <w:rsid w:val="0096372B"/>
    <w:rsid w:val="009638B3"/>
    <w:rsid w:val="009639BD"/>
    <w:rsid w:val="00964549"/>
    <w:rsid w:val="00964828"/>
    <w:rsid w:val="0096559F"/>
    <w:rsid w:val="00965ED6"/>
    <w:rsid w:val="009668D0"/>
    <w:rsid w:val="00966C24"/>
    <w:rsid w:val="00966E62"/>
    <w:rsid w:val="00966FF3"/>
    <w:rsid w:val="009670A0"/>
    <w:rsid w:val="00967184"/>
    <w:rsid w:val="009671B5"/>
    <w:rsid w:val="00967C48"/>
    <w:rsid w:val="00970635"/>
    <w:rsid w:val="00970815"/>
    <w:rsid w:val="0097084E"/>
    <w:rsid w:val="0097178B"/>
    <w:rsid w:val="00972DC8"/>
    <w:rsid w:val="009733BD"/>
    <w:rsid w:val="009736B5"/>
    <w:rsid w:val="00973774"/>
    <w:rsid w:val="00973801"/>
    <w:rsid w:val="00973AC0"/>
    <w:rsid w:val="00974566"/>
    <w:rsid w:val="00974758"/>
    <w:rsid w:val="0097493A"/>
    <w:rsid w:val="00974BA0"/>
    <w:rsid w:val="00976D5B"/>
    <w:rsid w:val="0097703A"/>
    <w:rsid w:val="00977E01"/>
    <w:rsid w:val="00977E25"/>
    <w:rsid w:val="009806B2"/>
    <w:rsid w:val="00980B87"/>
    <w:rsid w:val="00980BA4"/>
    <w:rsid w:val="00981036"/>
    <w:rsid w:val="00981164"/>
    <w:rsid w:val="0098142A"/>
    <w:rsid w:val="009818AD"/>
    <w:rsid w:val="00981A13"/>
    <w:rsid w:val="00981A7C"/>
    <w:rsid w:val="0098210A"/>
    <w:rsid w:val="00982399"/>
    <w:rsid w:val="0098267A"/>
    <w:rsid w:val="0098312F"/>
    <w:rsid w:val="0098383F"/>
    <w:rsid w:val="00983AC8"/>
    <w:rsid w:val="00983B5B"/>
    <w:rsid w:val="009841A7"/>
    <w:rsid w:val="009855B9"/>
    <w:rsid w:val="00985A0F"/>
    <w:rsid w:val="0098601C"/>
    <w:rsid w:val="00986368"/>
    <w:rsid w:val="00986688"/>
    <w:rsid w:val="009869DB"/>
    <w:rsid w:val="00986CAA"/>
    <w:rsid w:val="00987077"/>
    <w:rsid w:val="00987083"/>
    <w:rsid w:val="00987369"/>
    <w:rsid w:val="0099062D"/>
    <w:rsid w:val="0099089F"/>
    <w:rsid w:val="00990CE5"/>
    <w:rsid w:val="00990DD8"/>
    <w:rsid w:val="009911D6"/>
    <w:rsid w:val="00991BAD"/>
    <w:rsid w:val="00991FA1"/>
    <w:rsid w:val="00992414"/>
    <w:rsid w:val="00992B14"/>
    <w:rsid w:val="00992FAB"/>
    <w:rsid w:val="00993846"/>
    <w:rsid w:val="00994501"/>
    <w:rsid w:val="009949AE"/>
    <w:rsid w:val="00994A92"/>
    <w:rsid w:val="00995213"/>
    <w:rsid w:val="0099543C"/>
    <w:rsid w:val="00995820"/>
    <w:rsid w:val="00995D52"/>
    <w:rsid w:val="00995DD1"/>
    <w:rsid w:val="00996C92"/>
    <w:rsid w:val="00997CB0"/>
    <w:rsid w:val="00997D26"/>
    <w:rsid w:val="009A0485"/>
    <w:rsid w:val="009A0507"/>
    <w:rsid w:val="009A0876"/>
    <w:rsid w:val="009A095B"/>
    <w:rsid w:val="009A09DC"/>
    <w:rsid w:val="009A134C"/>
    <w:rsid w:val="009A1FF2"/>
    <w:rsid w:val="009A3756"/>
    <w:rsid w:val="009A4199"/>
    <w:rsid w:val="009A44A0"/>
    <w:rsid w:val="009A4566"/>
    <w:rsid w:val="009A4B25"/>
    <w:rsid w:val="009A5F84"/>
    <w:rsid w:val="009A60C8"/>
    <w:rsid w:val="009A6345"/>
    <w:rsid w:val="009A6BFE"/>
    <w:rsid w:val="009A709D"/>
    <w:rsid w:val="009B040A"/>
    <w:rsid w:val="009B04E7"/>
    <w:rsid w:val="009B0556"/>
    <w:rsid w:val="009B062B"/>
    <w:rsid w:val="009B0BA1"/>
    <w:rsid w:val="009B0C68"/>
    <w:rsid w:val="009B13D9"/>
    <w:rsid w:val="009B1664"/>
    <w:rsid w:val="009B182D"/>
    <w:rsid w:val="009B2AFE"/>
    <w:rsid w:val="009B36AC"/>
    <w:rsid w:val="009B3876"/>
    <w:rsid w:val="009B3AF3"/>
    <w:rsid w:val="009B4205"/>
    <w:rsid w:val="009B42D9"/>
    <w:rsid w:val="009B4D85"/>
    <w:rsid w:val="009B5013"/>
    <w:rsid w:val="009B5353"/>
    <w:rsid w:val="009B66D4"/>
    <w:rsid w:val="009B7336"/>
    <w:rsid w:val="009B7574"/>
    <w:rsid w:val="009B76C8"/>
    <w:rsid w:val="009B79F5"/>
    <w:rsid w:val="009B7BE1"/>
    <w:rsid w:val="009C0369"/>
    <w:rsid w:val="009C050B"/>
    <w:rsid w:val="009C0673"/>
    <w:rsid w:val="009C162B"/>
    <w:rsid w:val="009C1667"/>
    <w:rsid w:val="009C1800"/>
    <w:rsid w:val="009C186D"/>
    <w:rsid w:val="009C1BED"/>
    <w:rsid w:val="009C1F8E"/>
    <w:rsid w:val="009C2EB4"/>
    <w:rsid w:val="009C313E"/>
    <w:rsid w:val="009C326E"/>
    <w:rsid w:val="009C340B"/>
    <w:rsid w:val="009C3F94"/>
    <w:rsid w:val="009C418E"/>
    <w:rsid w:val="009C4A1F"/>
    <w:rsid w:val="009C50A1"/>
    <w:rsid w:val="009C5468"/>
    <w:rsid w:val="009C565D"/>
    <w:rsid w:val="009C58BB"/>
    <w:rsid w:val="009C5B8D"/>
    <w:rsid w:val="009C6332"/>
    <w:rsid w:val="009C637C"/>
    <w:rsid w:val="009C6C4A"/>
    <w:rsid w:val="009C6E42"/>
    <w:rsid w:val="009C6FEF"/>
    <w:rsid w:val="009C71BD"/>
    <w:rsid w:val="009C728B"/>
    <w:rsid w:val="009D003E"/>
    <w:rsid w:val="009D06F3"/>
    <w:rsid w:val="009D0916"/>
    <w:rsid w:val="009D0B29"/>
    <w:rsid w:val="009D123F"/>
    <w:rsid w:val="009D194C"/>
    <w:rsid w:val="009D1B32"/>
    <w:rsid w:val="009D2050"/>
    <w:rsid w:val="009D2291"/>
    <w:rsid w:val="009D279D"/>
    <w:rsid w:val="009D3B17"/>
    <w:rsid w:val="009D3B81"/>
    <w:rsid w:val="009D4D26"/>
    <w:rsid w:val="009D4EC6"/>
    <w:rsid w:val="009D5B25"/>
    <w:rsid w:val="009D6702"/>
    <w:rsid w:val="009D7355"/>
    <w:rsid w:val="009D760B"/>
    <w:rsid w:val="009D7646"/>
    <w:rsid w:val="009D7693"/>
    <w:rsid w:val="009D78EE"/>
    <w:rsid w:val="009D7D9E"/>
    <w:rsid w:val="009E081B"/>
    <w:rsid w:val="009E153C"/>
    <w:rsid w:val="009E196F"/>
    <w:rsid w:val="009E1AF8"/>
    <w:rsid w:val="009E1CD9"/>
    <w:rsid w:val="009E1FFC"/>
    <w:rsid w:val="009E2E6C"/>
    <w:rsid w:val="009E33DC"/>
    <w:rsid w:val="009E34DE"/>
    <w:rsid w:val="009E3572"/>
    <w:rsid w:val="009E38DA"/>
    <w:rsid w:val="009E3C13"/>
    <w:rsid w:val="009E41EB"/>
    <w:rsid w:val="009E4336"/>
    <w:rsid w:val="009E43C8"/>
    <w:rsid w:val="009E44CB"/>
    <w:rsid w:val="009E4C9D"/>
    <w:rsid w:val="009E59D5"/>
    <w:rsid w:val="009E5F5B"/>
    <w:rsid w:val="009E5F88"/>
    <w:rsid w:val="009E63AE"/>
    <w:rsid w:val="009E67EF"/>
    <w:rsid w:val="009E6C50"/>
    <w:rsid w:val="009E78CF"/>
    <w:rsid w:val="009F0DE9"/>
    <w:rsid w:val="009F1108"/>
    <w:rsid w:val="009F1167"/>
    <w:rsid w:val="009F1AD3"/>
    <w:rsid w:val="009F1C90"/>
    <w:rsid w:val="009F1CBE"/>
    <w:rsid w:val="009F2204"/>
    <w:rsid w:val="009F2576"/>
    <w:rsid w:val="009F2B01"/>
    <w:rsid w:val="009F2CDD"/>
    <w:rsid w:val="009F3372"/>
    <w:rsid w:val="009F382A"/>
    <w:rsid w:val="009F4299"/>
    <w:rsid w:val="009F459A"/>
    <w:rsid w:val="009F4AF2"/>
    <w:rsid w:val="009F4E40"/>
    <w:rsid w:val="009F532D"/>
    <w:rsid w:val="009F60AA"/>
    <w:rsid w:val="009F612C"/>
    <w:rsid w:val="009F62AC"/>
    <w:rsid w:val="009F673E"/>
    <w:rsid w:val="009F6B5E"/>
    <w:rsid w:val="009F6FA2"/>
    <w:rsid w:val="009F72D5"/>
    <w:rsid w:val="009F753E"/>
    <w:rsid w:val="009F7AC3"/>
    <w:rsid w:val="00A0034C"/>
    <w:rsid w:val="00A00BD5"/>
    <w:rsid w:val="00A01004"/>
    <w:rsid w:val="00A01A14"/>
    <w:rsid w:val="00A02C00"/>
    <w:rsid w:val="00A033BB"/>
    <w:rsid w:val="00A03921"/>
    <w:rsid w:val="00A03952"/>
    <w:rsid w:val="00A03BC8"/>
    <w:rsid w:val="00A0463D"/>
    <w:rsid w:val="00A04E4E"/>
    <w:rsid w:val="00A05494"/>
    <w:rsid w:val="00A056DE"/>
    <w:rsid w:val="00A05703"/>
    <w:rsid w:val="00A05DD8"/>
    <w:rsid w:val="00A060A0"/>
    <w:rsid w:val="00A060B6"/>
    <w:rsid w:val="00A0616C"/>
    <w:rsid w:val="00A0652D"/>
    <w:rsid w:val="00A06B34"/>
    <w:rsid w:val="00A07879"/>
    <w:rsid w:val="00A07DB9"/>
    <w:rsid w:val="00A10903"/>
    <w:rsid w:val="00A10D69"/>
    <w:rsid w:val="00A119F1"/>
    <w:rsid w:val="00A11C44"/>
    <w:rsid w:val="00A1237A"/>
    <w:rsid w:val="00A12456"/>
    <w:rsid w:val="00A125D3"/>
    <w:rsid w:val="00A1284E"/>
    <w:rsid w:val="00A1308F"/>
    <w:rsid w:val="00A132B6"/>
    <w:rsid w:val="00A134D6"/>
    <w:rsid w:val="00A1389F"/>
    <w:rsid w:val="00A13B3B"/>
    <w:rsid w:val="00A13E3C"/>
    <w:rsid w:val="00A1446A"/>
    <w:rsid w:val="00A148A5"/>
    <w:rsid w:val="00A14A90"/>
    <w:rsid w:val="00A14C61"/>
    <w:rsid w:val="00A15366"/>
    <w:rsid w:val="00A157CB"/>
    <w:rsid w:val="00A15C1C"/>
    <w:rsid w:val="00A15E68"/>
    <w:rsid w:val="00A15EA3"/>
    <w:rsid w:val="00A165DB"/>
    <w:rsid w:val="00A16721"/>
    <w:rsid w:val="00A1750A"/>
    <w:rsid w:val="00A17676"/>
    <w:rsid w:val="00A17CE2"/>
    <w:rsid w:val="00A17D34"/>
    <w:rsid w:val="00A200AF"/>
    <w:rsid w:val="00A21316"/>
    <w:rsid w:val="00A21529"/>
    <w:rsid w:val="00A2153D"/>
    <w:rsid w:val="00A2236F"/>
    <w:rsid w:val="00A22EEE"/>
    <w:rsid w:val="00A234BB"/>
    <w:rsid w:val="00A23F97"/>
    <w:rsid w:val="00A244BC"/>
    <w:rsid w:val="00A244C8"/>
    <w:rsid w:val="00A24682"/>
    <w:rsid w:val="00A24E73"/>
    <w:rsid w:val="00A25825"/>
    <w:rsid w:val="00A25917"/>
    <w:rsid w:val="00A26190"/>
    <w:rsid w:val="00A262DF"/>
    <w:rsid w:val="00A267D8"/>
    <w:rsid w:val="00A2683A"/>
    <w:rsid w:val="00A2739B"/>
    <w:rsid w:val="00A276DA"/>
    <w:rsid w:val="00A278AA"/>
    <w:rsid w:val="00A30453"/>
    <w:rsid w:val="00A30D13"/>
    <w:rsid w:val="00A30F0C"/>
    <w:rsid w:val="00A31145"/>
    <w:rsid w:val="00A314CF"/>
    <w:rsid w:val="00A31CB7"/>
    <w:rsid w:val="00A323EA"/>
    <w:rsid w:val="00A32445"/>
    <w:rsid w:val="00A32DC7"/>
    <w:rsid w:val="00A3316B"/>
    <w:rsid w:val="00A33A15"/>
    <w:rsid w:val="00A33D08"/>
    <w:rsid w:val="00A33F98"/>
    <w:rsid w:val="00A3428C"/>
    <w:rsid w:val="00A342BC"/>
    <w:rsid w:val="00A34A06"/>
    <w:rsid w:val="00A3572E"/>
    <w:rsid w:val="00A35B2F"/>
    <w:rsid w:val="00A35B67"/>
    <w:rsid w:val="00A35DA9"/>
    <w:rsid w:val="00A36507"/>
    <w:rsid w:val="00A368EE"/>
    <w:rsid w:val="00A36DC8"/>
    <w:rsid w:val="00A36EEA"/>
    <w:rsid w:val="00A370A4"/>
    <w:rsid w:val="00A375BD"/>
    <w:rsid w:val="00A3763D"/>
    <w:rsid w:val="00A406F5"/>
    <w:rsid w:val="00A40791"/>
    <w:rsid w:val="00A40E1B"/>
    <w:rsid w:val="00A41292"/>
    <w:rsid w:val="00A412AE"/>
    <w:rsid w:val="00A41714"/>
    <w:rsid w:val="00A41800"/>
    <w:rsid w:val="00A42228"/>
    <w:rsid w:val="00A4222A"/>
    <w:rsid w:val="00A42587"/>
    <w:rsid w:val="00A42800"/>
    <w:rsid w:val="00A42DB2"/>
    <w:rsid w:val="00A43FC8"/>
    <w:rsid w:val="00A4400F"/>
    <w:rsid w:val="00A4468A"/>
    <w:rsid w:val="00A446B2"/>
    <w:rsid w:val="00A45896"/>
    <w:rsid w:val="00A45CA9"/>
    <w:rsid w:val="00A46A63"/>
    <w:rsid w:val="00A46DB3"/>
    <w:rsid w:val="00A4763D"/>
    <w:rsid w:val="00A478E1"/>
    <w:rsid w:val="00A47914"/>
    <w:rsid w:val="00A47B81"/>
    <w:rsid w:val="00A47BC4"/>
    <w:rsid w:val="00A5040B"/>
    <w:rsid w:val="00A5049D"/>
    <w:rsid w:val="00A50605"/>
    <w:rsid w:val="00A507F4"/>
    <w:rsid w:val="00A5092E"/>
    <w:rsid w:val="00A50CE8"/>
    <w:rsid w:val="00A510C9"/>
    <w:rsid w:val="00A51B5D"/>
    <w:rsid w:val="00A51CCB"/>
    <w:rsid w:val="00A53674"/>
    <w:rsid w:val="00A54783"/>
    <w:rsid w:val="00A54824"/>
    <w:rsid w:val="00A54CB2"/>
    <w:rsid w:val="00A54CE2"/>
    <w:rsid w:val="00A54EA1"/>
    <w:rsid w:val="00A5506B"/>
    <w:rsid w:val="00A55961"/>
    <w:rsid w:val="00A55C1E"/>
    <w:rsid w:val="00A562FC"/>
    <w:rsid w:val="00A56409"/>
    <w:rsid w:val="00A564A0"/>
    <w:rsid w:val="00A565D7"/>
    <w:rsid w:val="00A56F33"/>
    <w:rsid w:val="00A5767D"/>
    <w:rsid w:val="00A579BA"/>
    <w:rsid w:val="00A57B5B"/>
    <w:rsid w:val="00A6089A"/>
    <w:rsid w:val="00A60C2B"/>
    <w:rsid w:val="00A60DAD"/>
    <w:rsid w:val="00A61984"/>
    <w:rsid w:val="00A6234D"/>
    <w:rsid w:val="00A62AAE"/>
    <w:rsid w:val="00A62BA1"/>
    <w:rsid w:val="00A6313E"/>
    <w:rsid w:val="00A639C6"/>
    <w:rsid w:val="00A64D68"/>
    <w:rsid w:val="00A6576B"/>
    <w:rsid w:val="00A66357"/>
    <w:rsid w:val="00A6692D"/>
    <w:rsid w:val="00A66FB9"/>
    <w:rsid w:val="00A673F8"/>
    <w:rsid w:val="00A67941"/>
    <w:rsid w:val="00A7013C"/>
    <w:rsid w:val="00A702AA"/>
    <w:rsid w:val="00A7061D"/>
    <w:rsid w:val="00A70D64"/>
    <w:rsid w:val="00A714D4"/>
    <w:rsid w:val="00A71577"/>
    <w:rsid w:val="00A71578"/>
    <w:rsid w:val="00A71CC9"/>
    <w:rsid w:val="00A727C0"/>
    <w:rsid w:val="00A72969"/>
    <w:rsid w:val="00A7296D"/>
    <w:rsid w:val="00A729D5"/>
    <w:rsid w:val="00A72ADC"/>
    <w:rsid w:val="00A741DF"/>
    <w:rsid w:val="00A74200"/>
    <w:rsid w:val="00A7483F"/>
    <w:rsid w:val="00A7533B"/>
    <w:rsid w:val="00A75715"/>
    <w:rsid w:val="00A76031"/>
    <w:rsid w:val="00A7621E"/>
    <w:rsid w:val="00A76690"/>
    <w:rsid w:val="00A768FF"/>
    <w:rsid w:val="00A77835"/>
    <w:rsid w:val="00A801E7"/>
    <w:rsid w:val="00A80D10"/>
    <w:rsid w:val="00A812E2"/>
    <w:rsid w:val="00A8193B"/>
    <w:rsid w:val="00A81C00"/>
    <w:rsid w:val="00A820D0"/>
    <w:rsid w:val="00A822DA"/>
    <w:rsid w:val="00A828FA"/>
    <w:rsid w:val="00A82DF0"/>
    <w:rsid w:val="00A82EEF"/>
    <w:rsid w:val="00A82FBA"/>
    <w:rsid w:val="00A846D9"/>
    <w:rsid w:val="00A84A96"/>
    <w:rsid w:val="00A84CA3"/>
    <w:rsid w:val="00A8504B"/>
    <w:rsid w:val="00A85CEC"/>
    <w:rsid w:val="00A8632C"/>
    <w:rsid w:val="00A864CE"/>
    <w:rsid w:val="00A866F8"/>
    <w:rsid w:val="00A8670F"/>
    <w:rsid w:val="00A869D5"/>
    <w:rsid w:val="00A86D9C"/>
    <w:rsid w:val="00A900D8"/>
    <w:rsid w:val="00A904B3"/>
    <w:rsid w:val="00A906B6"/>
    <w:rsid w:val="00A91513"/>
    <w:rsid w:val="00A91527"/>
    <w:rsid w:val="00A919F2"/>
    <w:rsid w:val="00A91A50"/>
    <w:rsid w:val="00A91F7E"/>
    <w:rsid w:val="00A92B79"/>
    <w:rsid w:val="00A92BE2"/>
    <w:rsid w:val="00A92E0D"/>
    <w:rsid w:val="00A930A8"/>
    <w:rsid w:val="00A942F1"/>
    <w:rsid w:val="00A94A89"/>
    <w:rsid w:val="00A94D0C"/>
    <w:rsid w:val="00A95190"/>
    <w:rsid w:val="00A951A5"/>
    <w:rsid w:val="00A95584"/>
    <w:rsid w:val="00A95A03"/>
    <w:rsid w:val="00A967C9"/>
    <w:rsid w:val="00A96870"/>
    <w:rsid w:val="00A969F4"/>
    <w:rsid w:val="00A96B2D"/>
    <w:rsid w:val="00A96DDC"/>
    <w:rsid w:val="00A9722A"/>
    <w:rsid w:val="00A97337"/>
    <w:rsid w:val="00A97356"/>
    <w:rsid w:val="00A974DA"/>
    <w:rsid w:val="00A97F24"/>
    <w:rsid w:val="00AA09D8"/>
    <w:rsid w:val="00AA0D8D"/>
    <w:rsid w:val="00AA0FB3"/>
    <w:rsid w:val="00AA17CA"/>
    <w:rsid w:val="00AA182D"/>
    <w:rsid w:val="00AA1868"/>
    <w:rsid w:val="00AA1C7D"/>
    <w:rsid w:val="00AA21E2"/>
    <w:rsid w:val="00AA2DC2"/>
    <w:rsid w:val="00AA362D"/>
    <w:rsid w:val="00AA37DD"/>
    <w:rsid w:val="00AA3B93"/>
    <w:rsid w:val="00AA4303"/>
    <w:rsid w:val="00AA4431"/>
    <w:rsid w:val="00AA4635"/>
    <w:rsid w:val="00AA472C"/>
    <w:rsid w:val="00AA4C0E"/>
    <w:rsid w:val="00AA5475"/>
    <w:rsid w:val="00AA5FC3"/>
    <w:rsid w:val="00AA6CB2"/>
    <w:rsid w:val="00AA7017"/>
    <w:rsid w:val="00AA71C8"/>
    <w:rsid w:val="00AA7215"/>
    <w:rsid w:val="00AA73AC"/>
    <w:rsid w:val="00AB0130"/>
    <w:rsid w:val="00AB0730"/>
    <w:rsid w:val="00AB087F"/>
    <w:rsid w:val="00AB0F89"/>
    <w:rsid w:val="00AB1090"/>
    <w:rsid w:val="00AB111E"/>
    <w:rsid w:val="00AB11AD"/>
    <w:rsid w:val="00AB11FF"/>
    <w:rsid w:val="00AB12CF"/>
    <w:rsid w:val="00AB232B"/>
    <w:rsid w:val="00AB2761"/>
    <w:rsid w:val="00AB3445"/>
    <w:rsid w:val="00AB3479"/>
    <w:rsid w:val="00AB3DE2"/>
    <w:rsid w:val="00AB49B2"/>
    <w:rsid w:val="00AB4A4B"/>
    <w:rsid w:val="00AB4D62"/>
    <w:rsid w:val="00AB5100"/>
    <w:rsid w:val="00AB5A42"/>
    <w:rsid w:val="00AB6015"/>
    <w:rsid w:val="00AB622E"/>
    <w:rsid w:val="00AB6483"/>
    <w:rsid w:val="00AB6540"/>
    <w:rsid w:val="00AB6715"/>
    <w:rsid w:val="00AB67B1"/>
    <w:rsid w:val="00AB6944"/>
    <w:rsid w:val="00AB6BC1"/>
    <w:rsid w:val="00AB73BE"/>
    <w:rsid w:val="00AB7EC3"/>
    <w:rsid w:val="00AC01B5"/>
    <w:rsid w:val="00AC02F8"/>
    <w:rsid w:val="00AC0C2C"/>
    <w:rsid w:val="00AC14C2"/>
    <w:rsid w:val="00AC16BF"/>
    <w:rsid w:val="00AC189C"/>
    <w:rsid w:val="00AC2007"/>
    <w:rsid w:val="00AC2444"/>
    <w:rsid w:val="00AC284A"/>
    <w:rsid w:val="00AC2B6B"/>
    <w:rsid w:val="00AC31E2"/>
    <w:rsid w:val="00AC3BAD"/>
    <w:rsid w:val="00AC3E22"/>
    <w:rsid w:val="00AC3E92"/>
    <w:rsid w:val="00AC3F2A"/>
    <w:rsid w:val="00AC4502"/>
    <w:rsid w:val="00AC4BD6"/>
    <w:rsid w:val="00AC4DD2"/>
    <w:rsid w:val="00AC507D"/>
    <w:rsid w:val="00AC5082"/>
    <w:rsid w:val="00AC5317"/>
    <w:rsid w:val="00AC5512"/>
    <w:rsid w:val="00AC571A"/>
    <w:rsid w:val="00AC6549"/>
    <w:rsid w:val="00AC66A9"/>
    <w:rsid w:val="00AC78AC"/>
    <w:rsid w:val="00AC7AD6"/>
    <w:rsid w:val="00AC7D7F"/>
    <w:rsid w:val="00AD076C"/>
    <w:rsid w:val="00AD09A8"/>
    <w:rsid w:val="00AD28F9"/>
    <w:rsid w:val="00AD29FD"/>
    <w:rsid w:val="00AD2CD8"/>
    <w:rsid w:val="00AD3653"/>
    <w:rsid w:val="00AD3EDA"/>
    <w:rsid w:val="00AD3FB2"/>
    <w:rsid w:val="00AD495E"/>
    <w:rsid w:val="00AD4D38"/>
    <w:rsid w:val="00AD579E"/>
    <w:rsid w:val="00AD5810"/>
    <w:rsid w:val="00AD5C85"/>
    <w:rsid w:val="00AD5E3D"/>
    <w:rsid w:val="00AD66A9"/>
    <w:rsid w:val="00AD6862"/>
    <w:rsid w:val="00AD6C62"/>
    <w:rsid w:val="00AD6D44"/>
    <w:rsid w:val="00AD6D8A"/>
    <w:rsid w:val="00AD73CA"/>
    <w:rsid w:val="00AD7486"/>
    <w:rsid w:val="00AD7571"/>
    <w:rsid w:val="00AD75CE"/>
    <w:rsid w:val="00AD767E"/>
    <w:rsid w:val="00AD7694"/>
    <w:rsid w:val="00AD78B1"/>
    <w:rsid w:val="00AD7B9B"/>
    <w:rsid w:val="00AD7DA2"/>
    <w:rsid w:val="00AE002B"/>
    <w:rsid w:val="00AE0C38"/>
    <w:rsid w:val="00AE0F59"/>
    <w:rsid w:val="00AE1A53"/>
    <w:rsid w:val="00AE1AE0"/>
    <w:rsid w:val="00AE1CB8"/>
    <w:rsid w:val="00AE2411"/>
    <w:rsid w:val="00AE2568"/>
    <w:rsid w:val="00AE272E"/>
    <w:rsid w:val="00AE2A62"/>
    <w:rsid w:val="00AE2CE5"/>
    <w:rsid w:val="00AE2D88"/>
    <w:rsid w:val="00AE2DC5"/>
    <w:rsid w:val="00AE2FEF"/>
    <w:rsid w:val="00AE3265"/>
    <w:rsid w:val="00AE35C7"/>
    <w:rsid w:val="00AE3C30"/>
    <w:rsid w:val="00AE4510"/>
    <w:rsid w:val="00AE49CE"/>
    <w:rsid w:val="00AE4D7A"/>
    <w:rsid w:val="00AE4E95"/>
    <w:rsid w:val="00AE69A1"/>
    <w:rsid w:val="00AE7238"/>
    <w:rsid w:val="00AE7EC0"/>
    <w:rsid w:val="00AE7FFD"/>
    <w:rsid w:val="00AF00D4"/>
    <w:rsid w:val="00AF043C"/>
    <w:rsid w:val="00AF0C3B"/>
    <w:rsid w:val="00AF0E11"/>
    <w:rsid w:val="00AF1084"/>
    <w:rsid w:val="00AF1B80"/>
    <w:rsid w:val="00AF2E85"/>
    <w:rsid w:val="00AF2F60"/>
    <w:rsid w:val="00AF30DD"/>
    <w:rsid w:val="00AF3C99"/>
    <w:rsid w:val="00AF456B"/>
    <w:rsid w:val="00AF47AE"/>
    <w:rsid w:val="00AF492D"/>
    <w:rsid w:val="00AF4EB3"/>
    <w:rsid w:val="00AF4EBA"/>
    <w:rsid w:val="00AF51B0"/>
    <w:rsid w:val="00AF5250"/>
    <w:rsid w:val="00AF5B2E"/>
    <w:rsid w:val="00AF709A"/>
    <w:rsid w:val="00AF7BF5"/>
    <w:rsid w:val="00AF7FA9"/>
    <w:rsid w:val="00B00093"/>
    <w:rsid w:val="00B002C3"/>
    <w:rsid w:val="00B004A5"/>
    <w:rsid w:val="00B00A8A"/>
    <w:rsid w:val="00B00B30"/>
    <w:rsid w:val="00B00C28"/>
    <w:rsid w:val="00B01029"/>
    <w:rsid w:val="00B0168B"/>
    <w:rsid w:val="00B01833"/>
    <w:rsid w:val="00B01D42"/>
    <w:rsid w:val="00B01DE2"/>
    <w:rsid w:val="00B023CC"/>
    <w:rsid w:val="00B0266A"/>
    <w:rsid w:val="00B026D0"/>
    <w:rsid w:val="00B03325"/>
    <w:rsid w:val="00B03AD2"/>
    <w:rsid w:val="00B03CDE"/>
    <w:rsid w:val="00B03EFA"/>
    <w:rsid w:val="00B04670"/>
    <w:rsid w:val="00B04A2E"/>
    <w:rsid w:val="00B04B23"/>
    <w:rsid w:val="00B04DD3"/>
    <w:rsid w:val="00B050FD"/>
    <w:rsid w:val="00B0530E"/>
    <w:rsid w:val="00B06B29"/>
    <w:rsid w:val="00B06CFF"/>
    <w:rsid w:val="00B076EC"/>
    <w:rsid w:val="00B10270"/>
    <w:rsid w:val="00B102BA"/>
    <w:rsid w:val="00B109A9"/>
    <w:rsid w:val="00B10D40"/>
    <w:rsid w:val="00B10DEF"/>
    <w:rsid w:val="00B111AC"/>
    <w:rsid w:val="00B112C4"/>
    <w:rsid w:val="00B1172B"/>
    <w:rsid w:val="00B1199F"/>
    <w:rsid w:val="00B11C78"/>
    <w:rsid w:val="00B11D20"/>
    <w:rsid w:val="00B120BF"/>
    <w:rsid w:val="00B12A87"/>
    <w:rsid w:val="00B133E6"/>
    <w:rsid w:val="00B142B9"/>
    <w:rsid w:val="00B146CC"/>
    <w:rsid w:val="00B14F2A"/>
    <w:rsid w:val="00B14FAF"/>
    <w:rsid w:val="00B1540A"/>
    <w:rsid w:val="00B15547"/>
    <w:rsid w:val="00B15674"/>
    <w:rsid w:val="00B15D7C"/>
    <w:rsid w:val="00B16FF4"/>
    <w:rsid w:val="00B17395"/>
    <w:rsid w:val="00B17A73"/>
    <w:rsid w:val="00B17AF0"/>
    <w:rsid w:val="00B20177"/>
    <w:rsid w:val="00B202F4"/>
    <w:rsid w:val="00B20453"/>
    <w:rsid w:val="00B2146A"/>
    <w:rsid w:val="00B21954"/>
    <w:rsid w:val="00B21D6D"/>
    <w:rsid w:val="00B21E68"/>
    <w:rsid w:val="00B220BA"/>
    <w:rsid w:val="00B22179"/>
    <w:rsid w:val="00B226AF"/>
    <w:rsid w:val="00B22D61"/>
    <w:rsid w:val="00B23280"/>
    <w:rsid w:val="00B239BF"/>
    <w:rsid w:val="00B240F8"/>
    <w:rsid w:val="00B249FB"/>
    <w:rsid w:val="00B2528F"/>
    <w:rsid w:val="00B25DCC"/>
    <w:rsid w:val="00B25F9D"/>
    <w:rsid w:val="00B260A2"/>
    <w:rsid w:val="00B26797"/>
    <w:rsid w:val="00B26D9F"/>
    <w:rsid w:val="00B27074"/>
    <w:rsid w:val="00B273CD"/>
    <w:rsid w:val="00B2747C"/>
    <w:rsid w:val="00B275B7"/>
    <w:rsid w:val="00B27E2E"/>
    <w:rsid w:val="00B30A6B"/>
    <w:rsid w:val="00B30BC9"/>
    <w:rsid w:val="00B30D82"/>
    <w:rsid w:val="00B30ED2"/>
    <w:rsid w:val="00B3163A"/>
    <w:rsid w:val="00B31B46"/>
    <w:rsid w:val="00B3223C"/>
    <w:rsid w:val="00B328E0"/>
    <w:rsid w:val="00B32BC7"/>
    <w:rsid w:val="00B32C68"/>
    <w:rsid w:val="00B33752"/>
    <w:rsid w:val="00B3380D"/>
    <w:rsid w:val="00B34761"/>
    <w:rsid w:val="00B348B9"/>
    <w:rsid w:val="00B34E8D"/>
    <w:rsid w:val="00B34F34"/>
    <w:rsid w:val="00B35091"/>
    <w:rsid w:val="00B35920"/>
    <w:rsid w:val="00B35C9F"/>
    <w:rsid w:val="00B366BC"/>
    <w:rsid w:val="00B36950"/>
    <w:rsid w:val="00B36A78"/>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864"/>
    <w:rsid w:val="00B41877"/>
    <w:rsid w:val="00B42EC0"/>
    <w:rsid w:val="00B432C4"/>
    <w:rsid w:val="00B4392C"/>
    <w:rsid w:val="00B4431E"/>
    <w:rsid w:val="00B44FAB"/>
    <w:rsid w:val="00B44FDF"/>
    <w:rsid w:val="00B456DA"/>
    <w:rsid w:val="00B45E15"/>
    <w:rsid w:val="00B46973"/>
    <w:rsid w:val="00B46A70"/>
    <w:rsid w:val="00B46B52"/>
    <w:rsid w:val="00B47067"/>
    <w:rsid w:val="00B4714F"/>
    <w:rsid w:val="00B47A2C"/>
    <w:rsid w:val="00B47F71"/>
    <w:rsid w:val="00B5009F"/>
    <w:rsid w:val="00B50AAF"/>
    <w:rsid w:val="00B50CEA"/>
    <w:rsid w:val="00B50E67"/>
    <w:rsid w:val="00B50F6E"/>
    <w:rsid w:val="00B51309"/>
    <w:rsid w:val="00B51B34"/>
    <w:rsid w:val="00B522B5"/>
    <w:rsid w:val="00B52EB2"/>
    <w:rsid w:val="00B530D3"/>
    <w:rsid w:val="00B535E0"/>
    <w:rsid w:val="00B53849"/>
    <w:rsid w:val="00B5398C"/>
    <w:rsid w:val="00B53CC1"/>
    <w:rsid w:val="00B53D64"/>
    <w:rsid w:val="00B53D84"/>
    <w:rsid w:val="00B53DE2"/>
    <w:rsid w:val="00B54088"/>
    <w:rsid w:val="00B542C2"/>
    <w:rsid w:val="00B546BA"/>
    <w:rsid w:val="00B54809"/>
    <w:rsid w:val="00B54DFD"/>
    <w:rsid w:val="00B54FD2"/>
    <w:rsid w:val="00B550CE"/>
    <w:rsid w:val="00B55BE2"/>
    <w:rsid w:val="00B55D1C"/>
    <w:rsid w:val="00B55FCC"/>
    <w:rsid w:val="00B56435"/>
    <w:rsid w:val="00B56956"/>
    <w:rsid w:val="00B570C3"/>
    <w:rsid w:val="00B577C5"/>
    <w:rsid w:val="00B57984"/>
    <w:rsid w:val="00B57D79"/>
    <w:rsid w:val="00B6031F"/>
    <w:rsid w:val="00B60647"/>
    <w:rsid w:val="00B60955"/>
    <w:rsid w:val="00B60BEE"/>
    <w:rsid w:val="00B60E00"/>
    <w:rsid w:val="00B61044"/>
    <w:rsid w:val="00B6124E"/>
    <w:rsid w:val="00B616D1"/>
    <w:rsid w:val="00B62422"/>
    <w:rsid w:val="00B628A7"/>
    <w:rsid w:val="00B63A7C"/>
    <w:rsid w:val="00B63AEC"/>
    <w:rsid w:val="00B63CF7"/>
    <w:rsid w:val="00B64567"/>
    <w:rsid w:val="00B64AC1"/>
    <w:rsid w:val="00B64C50"/>
    <w:rsid w:val="00B64CCC"/>
    <w:rsid w:val="00B64E51"/>
    <w:rsid w:val="00B64F84"/>
    <w:rsid w:val="00B65145"/>
    <w:rsid w:val="00B6581E"/>
    <w:rsid w:val="00B6585B"/>
    <w:rsid w:val="00B659EE"/>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974"/>
    <w:rsid w:val="00B72D86"/>
    <w:rsid w:val="00B737C6"/>
    <w:rsid w:val="00B73BAC"/>
    <w:rsid w:val="00B7457A"/>
    <w:rsid w:val="00B74597"/>
    <w:rsid w:val="00B7472D"/>
    <w:rsid w:val="00B74B6A"/>
    <w:rsid w:val="00B75242"/>
    <w:rsid w:val="00B75676"/>
    <w:rsid w:val="00B763F2"/>
    <w:rsid w:val="00B769DB"/>
    <w:rsid w:val="00B76A47"/>
    <w:rsid w:val="00B77159"/>
    <w:rsid w:val="00B777FE"/>
    <w:rsid w:val="00B77AC6"/>
    <w:rsid w:val="00B77B7D"/>
    <w:rsid w:val="00B77F3E"/>
    <w:rsid w:val="00B80F88"/>
    <w:rsid w:val="00B80FDF"/>
    <w:rsid w:val="00B80FED"/>
    <w:rsid w:val="00B8152F"/>
    <w:rsid w:val="00B817ED"/>
    <w:rsid w:val="00B81ED7"/>
    <w:rsid w:val="00B82FD7"/>
    <w:rsid w:val="00B832E8"/>
    <w:rsid w:val="00B834CE"/>
    <w:rsid w:val="00B839AC"/>
    <w:rsid w:val="00B83D8A"/>
    <w:rsid w:val="00B84746"/>
    <w:rsid w:val="00B849B8"/>
    <w:rsid w:val="00B85727"/>
    <w:rsid w:val="00B85BF9"/>
    <w:rsid w:val="00B86112"/>
    <w:rsid w:val="00B86487"/>
    <w:rsid w:val="00B86E64"/>
    <w:rsid w:val="00B87133"/>
    <w:rsid w:val="00B87376"/>
    <w:rsid w:val="00B87FDA"/>
    <w:rsid w:val="00B90F89"/>
    <w:rsid w:val="00B910FF"/>
    <w:rsid w:val="00B911CA"/>
    <w:rsid w:val="00B91803"/>
    <w:rsid w:val="00B91C64"/>
    <w:rsid w:val="00B9233F"/>
    <w:rsid w:val="00B9304B"/>
    <w:rsid w:val="00B931F8"/>
    <w:rsid w:val="00B9346A"/>
    <w:rsid w:val="00B93CB0"/>
    <w:rsid w:val="00B93E55"/>
    <w:rsid w:val="00B9410C"/>
    <w:rsid w:val="00B941FB"/>
    <w:rsid w:val="00B9437E"/>
    <w:rsid w:val="00B944AD"/>
    <w:rsid w:val="00B95883"/>
    <w:rsid w:val="00B95B7A"/>
    <w:rsid w:val="00B96114"/>
    <w:rsid w:val="00B96246"/>
    <w:rsid w:val="00B968D9"/>
    <w:rsid w:val="00B96D9C"/>
    <w:rsid w:val="00B97279"/>
    <w:rsid w:val="00B97AED"/>
    <w:rsid w:val="00B97E04"/>
    <w:rsid w:val="00BA0024"/>
    <w:rsid w:val="00BA08B5"/>
    <w:rsid w:val="00BA09FB"/>
    <w:rsid w:val="00BA0ACA"/>
    <w:rsid w:val="00BA0C25"/>
    <w:rsid w:val="00BA0C9A"/>
    <w:rsid w:val="00BA1D86"/>
    <w:rsid w:val="00BA2619"/>
    <w:rsid w:val="00BA2C3B"/>
    <w:rsid w:val="00BA3519"/>
    <w:rsid w:val="00BA3DB2"/>
    <w:rsid w:val="00BA4907"/>
    <w:rsid w:val="00BA4F87"/>
    <w:rsid w:val="00BA5840"/>
    <w:rsid w:val="00BA5B8A"/>
    <w:rsid w:val="00BA5E33"/>
    <w:rsid w:val="00BA671D"/>
    <w:rsid w:val="00BA677B"/>
    <w:rsid w:val="00BA6B8D"/>
    <w:rsid w:val="00BA6D08"/>
    <w:rsid w:val="00BA75EA"/>
    <w:rsid w:val="00BA7883"/>
    <w:rsid w:val="00BA7BD0"/>
    <w:rsid w:val="00BB099C"/>
    <w:rsid w:val="00BB0E3A"/>
    <w:rsid w:val="00BB0F9B"/>
    <w:rsid w:val="00BB10CD"/>
    <w:rsid w:val="00BB10EB"/>
    <w:rsid w:val="00BB1536"/>
    <w:rsid w:val="00BB1EB3"/>
    <w:rsid w:val="00BB1F00"/>
    <w:rsid w:val="00BB2654"/>
    <w:rsid w:val="00BB318D"/>
    <w:rsid w:val="00BB36D0"/>
    <w:rsid w:val="00BB3953"/>
    <w:rsid w:val="00BB4263"/>
    <w:rsid w:val="00BB4BC3"/>
    <w:rsid w:val="00BB4E53"/>
    <w:rsid w:val="00BB4F0E"/>
    <w:rsid w:val="00BB50A9"/>
    <w:rsid w:val="00BB62B5"/>
    <w:rsid w:val="00BB6339"/>
    <w:rsid w:val="00BB6493"/>
    <w:rsid w:val="00BB658B"/>
    <w:rsid w:val="00BB65B4"/>
    <w:rsid w:val="00BB6FB0"/>
    <w:rsid w:val="00BB721E"/>
    <w:rsid w:val="00BB7566"/>
    <w:rsid w:val="00BB7AD0"/>
    <w:rsid w:val="00BB7E29"/>
    <w:rsid w:val="00BC010F"/>
    <w:rsid w:val="00BC0276"/>
    <w:rsid w:val="00BC05BE"/>
    <w:rsid w:val="00BC0643"/>
    <w:rsid w:val="00BC0826"/>
    <w:rsid w:val="00BC0862"/>
    <w:rsid w:val="00BC095D"/>
    <w:rsid w:val="00BC13C7"/>
    <w:rsid w:val="00BC1593"/>
    <w:rsid w:val="00BC1A66"/>
    <w:rsid w:val="00BC1BD1"/>
    <w:rsid w:val="00BC1DEA"/>
    <w:rsid w:val="00BC2160"/>
    <w:rsid w:val="00BC2218"/>
    <w:rsid w:val="00BC22CC"/>
    <w:rsid w:val="00BC247F"/>
    <w:rsid w:val="00BC2821"/>
    <w:rsid w:val="00BC33A9"/>
    <w:rsid w:val="00BC3908"/>
    <w:rsid w:val="00BC3AF1"/>
    <w:rsid w:val="00BC3B20"/>
    <w:rsid w:val="00BC3F37"/>
    <w:rsid w:val="00BC44DE"/>
    <w:rsid w:val="00BC498A"/>
    <w:rsid w:val="00BC4C0C"/>
    <w:rsid w:val="00BC5148"/>
    <w:rsid w:val="00BC51BF"/>
    <w:rsid w:val="00BC52DF"/>
    <w:rsid w:val="00BC5448"/>
    <w:rsid w:val="00BC5754"/>
    <w:rsid w:val="00BC6240"/>
    <w:rsid w:val="00BC6D66"/>
    <w:rsid w:val="00BC7C56"/>
    <w:rsid w:val="00BD04DB"/>
    <w:rsid w:val="00BD0DD3"/>
    <w:rsid w:val="00BD1283"/>
    <w:rsid w:val="00BD12A8"/>
    <w:rsid w:val="00BD1438"/>
    <w:rsid w:val="00BD167D"/>
    <w:rsid w:val="00BD1997"/>
    <w:rsid w:val="00BD1E02"/>
    <w:rsid w:val="00BD24A4"/>
    <w:rsid w:val="00BD301E"/>
    <w:rsid w:val="00BD3966"/>
    <w:rsid w:val="00BD3FE7"/>
    <w:rsid w:val="00BD42CF"/>
    <w:rsid w:val="00BD4332"/>
    <w:rsid w:val="00BD44D3"/>
    <w:rsid w:val="00BD4A2A"/>
    <w:rsid w:val="00BD5E8C"/>
    <w:rsid w:val="00BD65F9"/>
    <w:rsid w:val="00BD67FA"/>
    <w:rsid w:val="00BD6FE7"/>
    <w:rsid w:val="00BD7E93"/>
    <w:rsid w:val="00BE03D5"/>
    <w:rsid w:val="00BE0AAB"/>
    <w:rsid w:val="00BE0F28"/>
    <w:rsid w:val="00BE130C"/>
    <w:rsid w:val="00BE219A"/>
    <w:rsid w:val="00BE2248"/>
    <w:rsid w:val="00BE2569"/>
    <w:rsid w:val="00BE358C"/>
    <w:rsid w:val="00BE3D0F"/>
    <w:rsid w:val="00BE4028"/>
    <w:rsid w:val="00BE4BEE"/>
    <w:rsid w:val="00BE4D07"/>
    <w:rsid w:val="00BE4E31"/>
    <w:rsid w:val="00BE65CF"/>
    <w:rsid w:val="00BE6CD4"/>
    <w:rsid w:val="00BE6E5C"/>
    <w:rsid w:val="00BE714A"/>
    <w:rsid w:val="00BE75A8"/>
    <w:rsid w:val="00BE7B97"/>
    <w:rsid w:val="00BF01BE"/>
    <w:rsid w:val="00BF01CE"/>
    <w:rsid w:val="00BF0AE6"/>
    <w:rsid w:val="00BF0C54"/>
    <w:rsid w:val="00BF1375"/>
    <w:rsid w:val="00BF14D4"/>
    <w:rsid w:val="00BF1A24"/>
    <w:rsid w:val="00BF1DA5"/>
    <w:rsid w:val="00BF1DB6"/>
    <w:rsid w:val="00BF1E6A"/>
    <w:rsid w:val="00BF1F4C"/>
    <w:rsid w:val="00BF3A79"/>
    <w:rsid w:val="00BF3CAA"/>
    <w:rsid w:val="00BF4046"/>
    <w:rsid w:val="00BF406B"/>
    <w:rsid w:val="00BF418C"/>
    <w:rsid w:val="00BF4542"/>
    <w:rsid w:val="00BF4591"/>
    <w:rsid w:val="00BF46D2"/>
    <w:rsid w:val="00BF48A2"/>
    <w:rsid w:val="00BF4C83"/>
    <w:rsid w:val="00BF517E"/>
    <w:rsid w:val="00BF57DE"/>
    <w:rsid w:val="00BF5F05"/>
    <w:rsid w:val="00BF64F0"/>
    <w:rsid w:val="00BF6515"/>
    <w:rsid w:val="00BF670D"/>
    <w:rsid w:val="00BF676C"/>
    <w:rsid w:val="00BF68DE"/>
    <w:rsid w:val="00BF6B42"/>
    <w:rsid w:val="00BF6D9B"/>
    <w:rsid w:val="00BF6F06"/>
    <w:rsid w:val="00BF7149"/>
    <w:rsid w:val="00BF7B4D"/>
    <w:rsid w:val="00BF7C06"/>
    <w:rsid w:val="00BF7CB7"/>
    <w:rsid w:val="00C00215"/>
    <w:rsid w:val="00C002C9"/>
    <w:rsid w:val="00C013FA"/>
    <w:rsid w:val="00C02AE8"/>
    <w:rsid w:val="00C03510"/>
    <w:rsid w:val="00C03B43"/>
    <w:rsid w:val="00C040E9"/>
    <w:rsid w:val="00C055A7"/>
    <w:rsid w:val="00C0564F"/>
    <w:rsid w:val="00C05A0D"/>
    <w:rsid w:val="00C061E3"/>
    <w:rsid w:val="00C0652A"/>
    <w:rsid w:val="00C06926"/>
    <w:rsid w:val="00C06C64"/>
    <w:rsid w:val="00C06D4A"/>
    <w:rsid w:val="00C06D4B"/>
    <w:rsid w:val="00C06FF1"/>
    <w:rsid w:val="00C07059"/>
    <w:rsid w:val="00C07431"/>
    <w:rsid w:val="00C07775"/>
    <w:rsid w:val="00C07953"/>
    <w:rsid w:val="00C102D0"/>
    <w:rsid w:val="00C104BF"/>
    <w:rsid w:val="00C10C6C"/>
    <w:rsid w:val="00C112D9"/>
    <w:rsid w:val="00C11A80"/>
    <w:rsid w:val="00C12BEE"/>
    <w:rsid w:val="00C13086"/>
    <w:rsid w:val="00C13168"/>
    <w:rsid w:val="00C13960"/>
    <w:rsid w:val="00C13ED0"/>
    <w:rsid w:val="00C14B8E"/>
    <w:rsid w:val="00C151BC"/>
    <w:rsid w:val="00C1539A"/>
    <w:rsid w:val="00C15D95"/>
    <w:rsid w:val="00C161AA"/>
    <w:rsid w:val="00C16866"/>
    <w:rsid w:val="00C168DA"/>
    <w:rsid w:val="00C16A70"/>
    <w:rsid w:val="00C16CB7"/>
    <w:rsid w:val="00C1700E"/>
    <w:rsid w:val="00C1782C"/>
    <w:rsid w:val="00C17BE9"/>
    <w:rsid w:val="00C17EB4"/>
    <w:rsid w:val="00C17FD3"/>
    <w:rsid w:val="00C2012C"/>
    <w:rsid w:val="00C203DE"/>
    <w:rsid w:val="00C21641"/>
    <w:rsid w:val="00C21EDC"/>
    <w:rsid w:val="00C221BE"/>
    <w:rsid w:val="00C2287C"/>
    <w:rsid w:val="00C23022"/>
    <w:rsid w:val="00C23962"/>
    <w:rsid w:val="00C23F23"/>
    <w:rsid w:val="00C24844"/>
    <w:rsid w:val="00C24F36"/>
    <w:rsid w:val="00C2532F"/>
    <w:rsid w:val="00C25723"/>
    <w:rsid w:val="00C25970"/>
    <w:rsid w:val="00C2632D"/>
    <w:rsid w:val="00C26E30"/>
    <w:rsid w:val="00C274CC"/>
    <w:rsid w:val="00C27561"/>
    <w:rsid w:val="00C27611"/>
    <w:rsid w:val="00C3039D"/>
    <w:rsid w:val="00C30817"/>
    <w:rsid w:val="00C30D12"/>
    <w:rsid w:val="00C30D70"/>
    <w:rsid w:val="00C30F60"/>
    <w:rsid w:val="00C316AE"/>
    <w:rsid w:val="00C32392"/>
    <w:rsid w:val="00C32664"/>
    <w:rsid w:val="00C3271D"/>
    <w:rsid w:val="00C330F0"/>
    <w:rsid w:val="00C334E8"/>
    <w:rsid w:val="00C3379C"/>
    <w:rsid w:val="00C3432F"/>
    <w:rsid w:val="00C35558"/>
    <w:rsid w:val="00C35733"/>
    <w:rsid w:val="00C362D1"/>
    <w:rsid w:val="00C366DD"/>
    <w:rsid w:val="00C369D4"/>
    <w:rsid w:val="00C37833"/>
    <w:rsid w:val="00C378D1"/>
    <w:rsid w:val="00C37957"/>
    <w:rsid w:val="00C379F1"/>
    <w:rsid w:val="00C41A5D"/>
    <w:rsid w:val="00C42158"/>
    <w:rsid w:val="00C4246B"/>
    <w:rsid w:val="00C4288F"/>
    <w:rsid w:val="00C42BF7"/>
    <w:rsid w:val="00C433A3"/>
    <w:rsid w:val="00C43A7C"/>
    <w:rsid w:val="00C43A80"/>
    <w:rsid w:val="00C441FB"/>
    <w:rsid w:val="00C44698"/>
    <w:rsid w:val="00C447D4"/>
    <w:rsid w:val="00C4484F"/>
    <w:rsid w:val="00C44C3C"/>
    <w:rsid w:val="00C44FC0"/>
    <w:rsid w:val="00C4564E"/>
    <w:rsid w:val="00C459A8"/>
    <w:rsid w:val="00C45E40"/>
    <w:rsid w:val="00C463D5"/>
    <w:rsid w:val="00C47B7D"/>
    <w:rsid w:val="00C47C9A"/>
    <w:rsid w:val="00C5014A"/>
    <w:rsid w:val="00C51983"/>
    <w:rsid w:val="00C51F1D"/>
    <w:rsid w:val="00C51FE8"/>
    <w:rsid w:val="00C5227B"/>
    <w:rsid w:val="00C529B7"/>
    <w:rsid w:val="00C52BF9"/>
    <w:rsid w:val="00C52DD5"/>
    <w:rsid w:val="00C531BD"/>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9B0"/>
    <w:rsid w:val="00C62E74"/>
    <w:rsid w:val="00C62FCF"/>
    <w:rsid w:val="00C6310C"/>
    <w:rsid w:val="00C631CF"/>
    <w:rsid w:val="00C64244"/>
    <w:rsid w:val="00C6442E"/>
    <w:rsid w:val="00C6456D"/>
    <w:rsid w:val="00C64BA6"/>
    <w:rsid w:val="00C65A7F"/>
    <w:rsid w:val="00C665BA"/>
    <w:rsid w:val="00C6680B"/>
    <w:rsid w:val="00C678A4"/>
    <w:rsid w:val="00C7038C"/>
    <w:rsid w:val="00C7077B"/>
    <w:rsid w:val="00C70C5B"/>
    <w:rsid w:val="00C7102D"/>
    <w:rsid w:val="00C71201"/>
    <w:rsid w:val="00C71283"/>
    <w:rsid w:val="00C7133D"/>
    <w:rsid w:val="00C71EC1"/>
    <w:rsid w:val="00C72541"/>
    <w:rsid w:val="00C727E7"/>
    <w:rsid w:val="00C728C2"/>
    <w:rsid w:val="00C72CE6"/>
    <w:rsid w:val="00C730C6"/>
    <w:rsid w:val="00C731B6"/>
    <w:rsid w:val="00C73200"/>
    <w:rsid w:val="00C73C3A"/>
    <w:rsid w:val="00C744E0"/>
    <w:rsid w:val="00C7475E"/>
    <w:rsid w:val="00C74AA0"/>
    <w:rsid w:val="00C75B53"/>
    <w:rsid w:val="00C75D5B"/>
    <w:rsid w:val="00C77104"/>
    <w:rsid w:val="00C77DCD"/>
    <w:rsid w:val="00C77F16"/>
    <w:rsid w:val="00C77F50"/>
    <w:rsid w:val="00C80EC6"/>
    <w:rsid w:val="00C810D2"/>
    <w:rsid w:val="00C811F0"/>
    <w:rsid w:val="00C81440"/>
    <w:rsid w:val="00C81755"/>
    <w:rsid w:val="00C817E7"/>
    <w:rsid w:val="00C82216"/>
    <w:rsid w:val="00C82454"/>
    <w:rsid w:val="00C82A1F"/>
    <w:rsid w:val="00C82BA9"/>
    <w:rsid w:val="00C82BBB"/>
    <w:rsid w:val="00C831D7"/>
    <w:rsid w:val="00C838EE"/>
    <w:rsid w:val="00C83961"/>
    <w:rsid w:val="00C84152"/>
    <w:rsid w:val="00C844D0"/>
    <w:rsid w:val="00C850B3"/>
    <w:rsid w:val="00C85801"/>
    <w:rsid w:val="00C8635A"/>
    <w:rsid w:val="00C86FB6"/>
    <w:rsid w:val="00C8745B"/>
    <w:rsid w:val="00C874EF"/>
    <w:rsid w:val="00C87698"/>
    <w:rsid w:val="00C87F19"/>
    <w:rsid w:val="00C87F76"/>
    <w:rsid w:val="00C903F6"/>
    <w:rsid w:val="00C90592"/>
    <w:rsid w:val="00C90723"/>
    <w:rsid w:val="00C90A15"/>
    <w:rsid w:val="00C90F30"/>
    <w:rsid w:val="00C90F59"/>
    <w:rsid w:val="00C918A0"/>
    <w:rsid w:val="00C92510"/>
    <w:rsid w:val="00C925AD"/>
    <w:rsid w:val="00C92BF5"/>
    <w:rsid w:val="00C92D12"/>
    <w:rsid w:val="00C930D5"/>
    <w:rsid w:val="00C93952"/>
    <w:rsid w:val="00C9395F"/>
    <w:rsid w:val="00C93DCF"/>
    <w:rsid w:val="00C94BB4"/>
    <w:rsid w:val="00C94BB9"/>
    <w:rsid w:val="00C94ECC"/>
    <w:rsid w:val="00C9501F"/>
    <w:rsid w:val="00C955CA"/>
    <w:rsid w:val="00C95B48"/>
    <w:rsid w:val="00C96297"/>
    <w:rsid w:val="00C9638D"/>
    <w:rsid w:val="00C96629"/>
    <w:rsid w:val="00C96F9D"/>
    <w:rsid w:val="00C972DE"/>
    <w:rsid w:val="00C973DC"/>
    <w:rsid w:val="00C97C60"/>
    <w:rsid w:val="00CA015B"/>
    <w:rsid w:val="00CA04F0"/>
    <w:rsid w:val="00CA08AA"/>
    <w:rsid w:val="00CA0D85"/>
    <w:rsid w:val="00CA0EF3"/>
    <w:rsid w:val="00CA1168"/>
    <w:rsid w:val="00CA14DD"/>
    <w:rsid w:val="00CA19F8"/>
    <w:rsid w:val="00CA1D2C"/>
    <w:rsid w:val="00CA295C"/>
    <w:rsid w:val="00CA297D"/>
    <w:rsid w:val="00CA38AD"/>
    <w:rsid w:val="00CA3ED1"/>
    <w:rsid w:val="00CA46C4"/>
    <w:rsid w:val="00CA4E7B"/>
    <w:rsid w:val="00CA52E3"/>
    <w:rsid w:val="00CA59DE"/>
    <w:rsid w:val="00CA59F7"/>
    <w:rsid w:val="00CA5A17"/>
    <w:rsid w:val="00CA5EC4"/>
    <w:rsid w:val="00CA614F"/>
    <w:rsid w:val="00CA6389"/>
    <w:rsid w:val="00CA699F"/>
    <w:rsid w:val="00CA7301"/>
    <w:rsid w:val="00CA7CF9"/>
    <w:rsid w:val="00CB0385"/>
    <w:rsid w:val="00CB0A61"/>
    <w:rsid w:val="00CB0B7D"/>
    <w:rsid w:val="00CB1448"/>
    <w:rsid w:val="00CB20CA"/>
    <w:rsid w:val="00CB23C4"/>
    <w:rsid w:val="00CB4538"/>
    <w:rsid w:val="00CB4742"/>
    <w:rsid w:val="00CB4C8F"/>
    <w:rsid w:val="00CB4F40"/>
    <w:rsid w:val="00CB5655"/>
    <w:rsid w:val="00CB5C69"/>
    <w:rsid w:val="00CB6984"/>
    <w:rsid w:val="00CB6B0C"/>
    <w:rsid w:val="00CB6C04"/>
    <w:rsid w:val="00CC04E8"/>
    <w:rsid w:val="00CC11BF"/>
    <w:rsid w:val="00CC12A8"/>
    <w:rsid w:val="00CC1502"/>
    <w:rsid w:val="00CC17CB"/>
    <w:rsid w:val="00CC1D33"/>
    <w:rsid w:val="00CC1FBE"/>
    <w:rsid w:val="00CC2390"/>
    <w:rsid w:val="00CC24B9"/>
    <w:rsid w:val="00CC2F7D"/>
    <w:rsid w:val="00CC35FC"/>
    <w:rsid w:val="00CC37C7"/>
    <w:rsid w:val="00CC3D25"/>
    <w:rsid w:val="00CC4310"/>
    <w:rsid w:val="00CC4B65"/>
    <w:rsid w:val="00CC4C93"/>
    <w:rsid w:val="00CC4E7C"/>
    <w:rsid w:val="00CC5187"/>
    <w:rsid w:val="00CC521F"/>
    <w:rsid w:val="00CC5238"/>
    <w:rsid w:val="00CC56F7"/>
    <w:rsid w:val="00CC5D28"/>
    <w:rsid w:val="00CC6376"/>
    <w:rsid w:val="00CC63FA"/>
    <w:rsid w:val="00CC6610"/>
    <w:rsid w:val="00CC6B50"/>
    <w:rsid w:val="00CC6B91"/>
    <w:rsid w:val="00CC6D89"/>
    <w:rsid w:val="00CC7380"/>
    <w:rsid w:val="00CC756D"/>
    <w:rsid w:val="00CC79AD"/>
    <w:rsid w:val="00CC79C3"/>
    <w:rsid w:val="00CC7E55"/>
    <w:rsid w:val="00CD06E7"/>
    <w:rsid w:val="00CD0CB6"/>
    <w:rsid w:val="00CD0DCB"/>
    <w:rsid w:val="00CD0EB1"/>
    <w:rsid w:val="00CD10CB"/>
    <w:rsid w:val="00CD1D73"/>
    <w:rsid w:val="00CD2127"/>
    <w:rsid w:val="00CD2A97"/>
    <w:rsid w:val="00CD3412"/>
    <w:rsid w:val="00CD39A6"/>
    <w:rsid w:val="00CD4084"/>
    <w:rsid w:val="00CD4EC2"/>
    <w:rsid w:val="00CD506D"/>
    <w:rsid w:val="00CD5E7A"/>
    <w:rsid w:val="00CD6282"/>
    <w:rsid w:val="00CD647C"/>
    <w:rsid w:val="00CD6AAE"/>
    <w:rsid w:val="00CD6EA9"/>
    <w:rsid w:val="00CD7157"/>
    <w:rsid w:val="00CD7868"/>
    <w:rsid w:val="00CD7896"/>
    <w:rsid w:val="00CD7AF8"/>
    <w:rsid w:val="00CD7CA6"/>
    <w:rsid w:val="00CE0D52"/>
    <w:rsid w:val="00CE0F70"/>
    <w:rsid w:val="00CE12C7"/>
    <w:rsid w:val="00CE134C"/>
    <w:rsid w:val="00CE13F3"/>
    <w:rsid w:val="00CE172B"/>
    <w:rsid w:val="00CE25A0"/>
    <w:rsid w:val="00CE3076"/>
    <w:rsid w:val="00CE311E"/>
    <w:rsid w:val="00CE35E9"/>
    <w:rsid w:val="00CE3980"/>
    <w:rsid w:val="00CE3B4B"/>
    <w:rsid w:val="00CE3EE2"/>
    <w:rsid w:val="00CE4FE8"/>
    <w:rsid w:val="00CE7274"/>
    <w:rsid w:val="00CF0175"/>
    <w:rsid w:val="00CF0C44"/>
    <w:rsid w:val="00CF0E2A"/>
    <w:rsid w:val="00CF1001"/>
    <w:rsid w:val="00CF11C5"/>
    <w:rsid w:val="00CF1520"/>
    <w:rsid w:val="00CF1A9C"/>
    <w:rsid w:val="00CF21F0"/>
    <w:rsid w:val="00CF221C"/>
    <w:rsid w:val="00CF28B1"/>
    <w:rsid w:val="00CF2CBD"/>
    <w:rsid w:val="00CF2CE0"/>
    <w:rsid w:val="00CF3759"/>
    <w:rsid w:val="00CF37E0"/>
    <w:rsid w:val="00CF3D13"/>
    <w:rsid w:val="00CF4519"/>
    <w:rsid w:val="00CF4FAC"/>
    <w:rsid w:val="00CF5033"/>
    <w:rsid w:val="00CF5467"/>
    <w:rsid w:val="00CF58E4"/>
    <w:rsid w:val="00CF70A8"/>
    <w:rsid w:val="00CF746D"/>
    <w:rsid w:val="00CF74DB"/>
    <w:rsid w:val="00CF77E1"/>
    <w:rsid w:val="00D001BD"/>
    <w:rsid w:val="00D00510"/>
    <w:rsid w:val="00D01093"/>
    <w:rsid w:val="00D010AE"/>
    <w:rsid w:val="00D0136F"/>
    <w:rsid w:val="00D0190D"/>
    <w:rsid w:val="00D01F4E"/>
    <w:rsid w:val="00D0227E"/>
    <w:rsid w:val="00D022F6"/>
    <w:rsid w:val="00D02AAF"/>
    <w:rsid w:val="00D02ED2"/>
    <w:rsid w:val="00D03CE4"/>
    <w:rsid w:val="00D04591"/>
    <w:rsid w:val="00D047CF"/>
    <w:rsid w:val="00D04B5E"/>
    <w:rsid w:val="00D04D7A"/>
    <w:rsid w:val="00D054DD"/>
    <w:rsid w:val="00D056E8"/>
    <w:rsid w:val="00D05CA6"/>
    <w:rsid w:val="00D06680"/>
    <w:rsid w:val="00D0705A"/>
    <w:rsid w:val="00D0725D"/>
    <w:rsid w:val="00D101A5"/>
    <w:rsid w:val="00D10C57"/>
    <w:rsid w:val="00D12A28"/>
    <w:rsid w:val="00D12A78"/>
    <w:rsid w:val="00D12B31"/>
    <w:rsid w:val="00D131C0"/>
    <w:rsid w:val="00D131CE"/>
    <w:rsid w:val="00D149EE"/>
    <w:rsid w:val="00D15504"/>
    <w:rsid w:val="00D15950"/>
    <w:rsid w:val="00D16F80"/>
    <w:rsid w:val="00D170BE"/>
    <w:rsid w:val="00D17864"/>
    <w:rsid w:val="00D17F21"/>
    <w:rsid w:val="00D20446"/>
    <w:rsid w:val="00D21525"/>
    <w:rsid w:val="00D2168B"/>
    <w:rsid w:val="00D21E49"/>
    <w:rsid w:val="00D22006"/>
    <w:rsid w:val="00D22922"/>
    <w:rsid w:val="00D2384D"/>
    <w:rsid w:val="00D23B5C"/>
    <w:rsid w:val="00D23F2E"/>
    <w:rsid w:val="00D24C75"/>
    <w:rsid w:val="00D250D7"/>
    <w:rsid w:val="00D26109"/>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E68"/>
    <w:rsid w:val="00D347DB"/>
    <w:rsid w:val="00D3481A"/>
    <w:rsid w:val="00D34956"/>
    <w:rsid w:val="00D350ED"/>
    <w:rsid w:val="00D3517A"/>
    <w:rsid w:val="00D35A0F"/>
    <w:rsid w:val="00D364AF"/>
    <w:rsid w:val="00D36559"/>
    <w:rsid w:val="00D3655C"/>
    <w:rsid w:val="00D369A2"/>
    <w:rsid w:val="00D36A92"/>
    <w:rsid w:val="00D37418"/>
    <w:rsid w:val="00D376E9"/>
    <w:rsid w:val="00D40325"/>
    <w:rsid w:val="00D408D3"/>
    <w:rsid w:val="00D40B0A"/>
    <w:rsid w:val="00D41500"/>
    <w:rsid w:val="00D4151B"/>
    <w:rsid w:val="00D41C48"/>
    <w:rsid w:val="00D41EBA"/>
    <w:rsid w:val="00D4263D"/>
    <w:rsid w:val="00D435EB"/>
    <w:rsid w:val="00D4496D"/>
    <w:rsid w:val="00D44A58"/>
    <w:rsid w:val="00D45432"/>
    <w:rsid w:val="00D455D8"/>
    <w:rsid w:val="00D45A12"/>
    <w:rsid w:val="00D45CE2"/>
    <w:rsid w:val="00D45FEA"/>
    <w:rsid w:val="00D461A9"/>
    <w:rsid w:val="00D47865"/>
    <w:rsid w:val="00D47E1F"/>
    <w:rsid w:val="00D503EB"/>
    <w:rsid w:val="00D505F3"/>
    <w:rsid w:val="00D50742"/>
    <w:rsid w:val="00D512FE"/>
    <w:rsid w:val="00D5212B"/>
    <w:rsid w:val="00D52B99"/>
    <w:rsid w:val="00D5331E"/>
    <w:rsid w:val="00D53483"/>
    <w:rsid w:val="00D53752"/>
    <w:rsid w:val="00D5394C"/>
    <w:rsid w:val="00D53F68"/>
    <w:rsid w:val="00D54641"/>
    <w:rsid w:val="00D54BC5"/>
    <w:rsid w:val="00D551CC"/>
    <w:rsid w:val="00D551D7"/>
    <w:rsid w:val="00D55824"/>
    <w:rsid w:val="00D5588C"/>
    <w:rsid w:val="00D55AE6"/>
    <w:rsid w:val="00D55C21"/>
    <w:rsid w:val="00D55F2D"/>
    <w:rsid w:val="00D5651C"/>
    <w:rsid w:val="00D566AD"/>
    <w:rsid w:val="00D5673A"/>
    <w:rsid w:val="00D5680F"/>
    <w:rsid w:val="00D56F5C"/>
    <w:rsid w:val="00D5706D"/>
    <w:rsid w:val="00D573F0"/>
    <w:rsid w:val="00D57945"/>
    <w:rsid w:val="00D57CFF"/>
    <w:rsid w:val="00D608BF"/>
    <w:rsid w:val="00D61340"/>
    <w:rsid w:val="00D61DC8"/>
    <w:rsid w:val="00D62826"/>
    <w:rsid w:val="00D63254"/>
    <w:rsid w:val="00D63A3E"/>
    <w:rsid w:val="00D64C90"/>
    <w:rsid w:val="00D64D4C"/>
    <w:rsid w:val="00D64F50"/>
    <w:rsid w:val="00D66118"/>
    <w:rsid w:val="00D6617B"/>
    <w:rsid w:val="00D662B2"/>
    <w:rsid w:val="00D663EA"/>
    <w:rsid w:val="00D66C84"/>
    <w:rsid w:val="00D66DB4"/>
    <w:rsid w:val="00D66FB2"/>
    <w:rsid w:val="00D6725D"/>
    <w:rsid w:val="00D672D6"/>
    <w:rsid w:val="00D6740C"/>
    <w:rsid w:val="00D67493"/>
    <w:rsid w:val="00D6754F"/>
    <w:rsid w:val="00D67628"/>
    <w:rsid w:val="00D6783A"/>
    <w:rsid w:val="00D67B3D"/>
    <w:rsid w:val="00D67C24"/>
    <w:rsid w:val="00D67DA6"/>
    <w:rsid w:val="00D67E49"/>
    <w:rsid w:val="00D70787"/>
    <w:rsid w:val="00D70A56"/>
    <w:rsid w:val="00D70C19"/>
    <w:rsid w:val="00D71153"/>
    <w:rsid w:val="00D71250"/>
    <w:rsid w:val="00D716D0"/>
    <w:rsid w:val="00D7175D"/>
    <w:rsid w:val="00D71C0A"/>
    <w:rsid w:val="00D7259D"/>
    <w:rsid w:val="00D725EB"/>
    <w:rsid w:val="00D7308E"/>
    <w:rsid w:val="00D735F7"/>
    <w:rsid w:val="00D736CB"/>
    <w:rsid w:val="00D73884"/>
    <w:rsid w:val="00D73A5F"/>
    <w:rsid w:val="00D73BCD"/>
    <w:rsid w:val="00D73C3D"/>
    <w:rsid w:val="00D7401C"/>
    <w:rsid w:val="00D74E67"/>
    <w:rsid w:val="00D75669"/>
    <w:rsid w:val="00D75CE2"/>
    <w:rsid w:val="00D766D6"/>
    <w:rsid w:val="00D76BF3"/>
    <w:rsid w:val="00D77135"/>
    <w:rsid w:val="00D774C0"/>
    <w:rsid w:val="00D77C23"/>
    <w:rsid w:val="00D77EF6"/>
    <w:rsid w:val="00D80249"/>
    <w:rsid w:val="00D80273"/>
    <w:rsid w:val="00D80AAA"/>
    <w:rsid w:val="00D80B7E"/>
    <w:rsid w:val="00D80DB9"/>
    <w:rsid w:val="00D81463"/>
    <w:rsid w:val="00D81559"/>
    <w:rsid w:val="00D82C6D"/>
    <w:rsid w:val="00D83268"/>
    <w:rsid w:val="00D8386C"/>
    <w:rsid w:val="00D83933"/>
    <w:rsid w:val="00D8398D"/>
    <w:rsid w:val="00D83D37"/>
    <w:rsid w:val="00D841C2"/>
    <w:rsid w:val="00D8468E"/>
    <w:rsid w:val="00D84856"/>
    <w:rsid w:val="00D8487F"/>
    <w:rsid w:val="00D8497A"/>
    <w:rsid w:val="00D85EAB"/>
    <w:rsid w:val="00D85EEA"/>
    <w:rsid w:val="00D862B3"/>
    <w:rsid w:val="00D8633D"/>
    <w:rsid w:val="00D867D6"/>
    <w:rsid w:val="00D8691A"/>
    <w:rsid w:val="00D86A57"/>
    <w:rsid w:val="00D86A60"/>
    <w:rsid w:val="00D86BE4"/>
    <w:rsid w:val="00D871BD"/>
    <w:rsid w:val="00D87CC2"/>
    <w:rsid w:val="00D902BB"/>
    <w:rsid w:val="00D9094B"/>
    <w:rsid w:val="00D90E18"/>
    <w:rsid w:val="00D90EA4"/>
    <w:rsid w:val="00D92CD6"/>
    <w:rsid w:val="00D92EEA"/>
    <w:rsid w:val="00D92EEF"/>
    <w:rsid w:val="00D936E6"/>
    <w:rsid w:val="00D939B5"/>
    <w:rsid w:val="00D946E1"/>
    <w:rsid w:val="00D94B08"/>
    <w:rsid w:val="00D950ED"/>
    <w:rsid w:val="00D95382"/>
    <w:rsid w:val="00D95D6A"/>
    <w:rsid w:val="00D97A7D"/>
    <w:rsid w:val="00DA063D"/>
    <w:rsid w:val="00DA0A9B"/>
    <w:rsid w:val="00DA0E2D"/>
    <w:rsid w:val="00DA1FE6"/>
    <w:rsid w:val="00DA2077"/>
    <w:rsid w:val="00DA2107"/>
    <w:rsid w:val="00DA24A0"/>
    <w:rsid w:val="00DA28CE"/>
    <w:rsid w:val="00DA300C"/>
    <w:rsid w:val="00DA38BD"/>
    <w:rsid w:val="00DA3CE0"/>
    <w:rsid w:val="00DA4443"/>
    <w:rsid w:val="00DA449F"/>
    <w:rsid w:val="00DA451B"/>
    <w:rsid w:val="00DA459A"/>
    <w:rsid w:val="00DA4856"/>
    <w:rsid w:val="00DA50E3"/>
    <w:rsid w:val="00DA5731"/>
    <w:rsid w:val="00DA577F"/>
    <w:rsid w:val="00DA5854"/>
    <w:rsid w:val="00DA5E8E"/>
    <w:rsid w:val="00DA6396"/>
    <w:rsid w:val="00DA67A1"/>
    <w:rsid w:val="00DA6C9D"/>
    <w:rsid w:val="00DA6F12"/>
    <w:rsid w:val="00DA76B0"/>
    <w:rsid w:val="00DA78D6"/>
    <w:rsid w:val="00DA7E5D"/>
    <w:rsid w:val="00DA7F3E"/>
    <w:rsid w:val="00DA7F72"/>
    <w:rsid w:val="00DA7FE0"/>
    <w:rsid w:val="00DB01C7"/>
    <w:rsid w:val="00DB0673"/>
    <w:rsid w:val="00DB0742"/>
    <w:rsid w:val="00DB09D7"/>
    <w:rsid w:val="00DB0DBD"/>
    <w:rsid w:val="00DB137D"/>
    <w:rsid w:val="00DB179E"/>
    <w:rsid w:val="00DB18D4"/>
    <w:rsid w:val="00DB20B9"/>
    <w:rsid w:val="00DB210C"/>
    <w:rsid w:val="00DB21DD"/>
    <w:rsid w:val="00DB2A83"/>
    <w:rsid w:val="00DB2B72"/>
    <w:rsid w:val="00DB30AF"/>
    <w:rsid w:val="00DB3469"/>
    <w:rsid w:val="00DB390F"/>
    <w:rsid w:val="00DB3E85"/>
    <w:rsid w:val="00DB413F"/>
    <w:rsid w:val="00DB4FA4"/>
    <w:rsid w:val="00DB56FB"/>
    <w:rsid w:val="00DB65E8"/>
    <w:rsid w:val="00DB69E2"/>
    <w:rsid w:val="00DB7248"/>
    <w:rsid w:val="00DB7490"/>
    <w:rsid w:val="00DB7E7F"/>
    <w:rsid w:val="00DC01AA"/>
    <w:rsid w:val="00DC084A"/>
    <w:rsid w:val="00DC23DF"/>
    <w:rsid w:val="00DC243D"/>
    <w:rsid w:val="00DC27BC"/>
    <w:rsid w:val="00DC288D"/>
    <w:rsid w:val="00DC2A5B"/>
    <w:rsid w:val="00DC2CA8"/>
    <w:rsid w:val="00DC2D62"/>
    <w:rsid w:val="00DC303A"/>
    <w:rsid w:val="00DC3CAB"/>
    <w:rsid w:val="00DC3CEF"/>
    <w:rsid w:val="00DC3EF5"/>
    <w:rsid w:val="00DC3F90"/>
    <w:rsid w:val="00DC4F6F"/>
    <w:rsid w:val="00DC54E0"/>
    <w:rsid w:val="00DC58A8"/>
    <w:rsid w:val="00DC668D"/>
    <w:rsid w:val="00DC6ABB"/>
    <w:rsid w:val="00DC708F"/>
    <w:rsid w:val="00DD013F"/>
    <w:rsid w:val="00DD01F0"/>
    <w:rsid w:val="00DD070B"/>
    <w:rsid w:val="00DD096E"/>
    <w:rsid w:val="00DD14EF"/>
    <w:rsid w:val="00DD1523"/>
    <w:rsid w:val="00DD1554"/>
    <w:rsid w:val="00DD1D35"/>
    <w:rsid w:val="00DD2077"/>
    <w:rsid w:val="00DD2331"/>
    <w:rsid w:val="00DD2ADC"/>
    <w:rsid w:val="00DD2B00"/>
    <w:rsid w:val="00DD2DD6"/>
    <w:rsid w:val="00DD2F91"/>
    <w:rsid w:val="00DD31C8"/>
    <w:rsid w:val="00DD3AB2"/>
    <w:rsid w:val="00DD3AFB"/>
    <w:rsid w:val="00DD3D62"/>
    <w:rsid w:val="00DD3E5B"/>
    <w:rsid w:val="00DD40BB"/>
    <w:rsid w:val="00DD4282"/>
    <w:rsid w:val="00DD43E3"/>
    <w:rsid w:val="00DD46FD"/>
    <w:rsid w:val="00DD474A"/>
    <w:rsid w:val="00DD482D"/>
    <w:rsid w:val="00DD48FD"/>
    <w:rsid w:val="00DD4C51"/>
    <w:rsid w:val="00DD4DD0"/>
    <w:rsid w:val="00DD4DFF"/>
    <w:rsid w:val="00DD515D"/>
    <w:rsid w:val="00DD5309"/>
    <w:rsid w:val="00DD6146"/>
    <w:rsid w:val="00DD629B"/>
    <w:rsid w:val="00DD6589"/>
    <w:rsid w:val="00DD67B9"/>
    <w:rsid w:val="00DD67F3"/>
    <w:rsid w:val="00DD6BCA"/>
    <w:rsid w:val="00DD6E18"/>
    <w:rsid w:val="00DD6FB0"/>
    <w:rsid w:val="00DD736B"/>
    <w:rsid w:val="00DD74EA"/>
    <w:rsid w:val="00DD758B"/>
    <w:rsid w:val="00DD783E"/>
    <w:rsid w:val="00DD78FB"/>
    <w:rsid w:val="00DD79C7"/>
    <w:rsid w:val="00DD7EDD"/>
    <w:rsid w:val="00DE0052"/>
    <w:rsid w:val="00DE08A2"/>
    <w:rsid w:val="00DE0E28"/>
    <w:rsid w:val="00DE138D"/>
    <w:rsid w:val="00DE16C2"/>
    <w:rsid w:val="00DE18C0"/>
    <w:rsid w:val="00DE1CD8"/>
    <w:rsid w:val="00DE247B"/>
    <w:rsid w:val="00DE298E"/>
    <w:rsid w:val="00DE2FE2"/>
    <w:rsid w:val="00DE32DF"/>
    <w:rsid w:val="00DE3411"/>
    <w:rsid w:val="00DE3867"/>
    <w:rsid w:val="00DE3CBB"/>
    <w:rsid w:val="00DE3D8E"/>
    <w:rsid w:val="00DE3F8E"/>
    <w:rsid w:val="00DE42DE"/>
    <w:rsid w:val="00DE4B70"/>
    <w:rsid w:val="00DE524A"/>
    <w:rsid w:val="00DE5859"/>
    <w:rsid w:val="00DE5C0B"/>
    <w:rsid w:val="00DE610C"/>
    <w:rsid w:val="00DE6623"/>
    <w:rsid w:val="00DE6DDA"/>
    <w:rsid w:val="00DE700A"/>
    <w:rsid w:val="00DE7C77"/>
    <w:rsid w:val="00DE7E53"/>
    <w:rsid w:val="00DF0320"/>
    <w:rsid w:val="00DF04C0"/>
    <w:rsid w:val="00DF079D"/>
    <w:rsid w:val="00DF0B8A"/>
    <w:rsid w:val="00DF0CCC"/>
    <w:rsid w:val="00DF0FF8"/>
    <w:rsid w:val="00DF217B"/>
    <w:rsid w:val="00DF2450"/>
    <w:rsid w:val="00DF24C9"/>
    <w:rsid w:val="00DF2735"/>
    <w:rsid w:val="00DF31C1"/>
    <w:rsid w:val="00DF3395"/>
    <w:rsid w:val="00DF34E6"/>
    <w:rsid w:val="00DF3554"/>
    <w:rsid w:val="00DF365E"/>
    <w:rsid w:val="00DF4282"/>
    <w:rsid w:val="00DF474F"/>
    <w:rsid w:val="00DF4DB5"/>
    <w:rsid w:val="00DF50EB"/>
    <w:rsid w:val="00DF55D0"/>
    <w:rsid w:val="00DF5A7F"/>
    <w:rsid w:val="00DF5EE8"/>
    <w:rsid w:val="00DF630B"/>
    <w:rsid w:val="00DF63CD"/>
    <w:rsid w:val="00DF6521"/>
    <w:rsid w:val="00DF652F"/>
    <w:rsid w:val="00DF6589"/>
    <w:rsid w:val="00DF6BC5"/>
    <w:rsid w:val="00DF7808"/>
    <w:rsid w:val="00E000B1"/>
    <w:rsid w:val="00E001DB"/>
    <w:rsid w:val="00E01107"/>
    <w:rsid w:val="00E019A3"/>
    <w:rsid w:val="00E023F9"/>
    <w:rsid w:val="00E02591"/>
    <w:rsid w:val="00E02A75"/>
    <w:rsid w:val="00E0349C"/>
    <w:rsid w:val="00E03A3D"/>
    <w:rsid w:val="00E03E0C"/>
    <w:rsid w:val="00E03FE0"/>
    <w:rsid w:val="00E03FFA"/>
    <w:rsid w:val="00E0446A"/>
    <w:rsid w:val="00E0461C"/>
    <w:rsid w:val="00E0492C"/>
    <w:rsid w:val="00E04CC8"/>
    <w:rsid w:val="00E04D77"/>
    <w:rsid w:val="00E04E92"/>
    <w:rsid w:val="00E0598B"/>
    <w:rsid w:val="00E0611B"/>
    <w:rsid w:val="00E061D2"/>
    <w:rsid w:val="00E072F3"/>
    <w:rsid w:val="00E075EF"/>
    <w:rsid w:val="00E0766D"/>
    <w:rsid w:val="00E07723"/>
    <w:rsid w:val="00E079B4"/>
    <w:rsid w:val="00E07CAF"/>
    <w:rsid w:val="00E07CE5"/>
    <w:rsid w:val="00E07E1C"/>
    <w:rsid w:val="00E101AE"/>
    <w:rsid w:val="00E10920"/>
    <w:rsid w:val="00E10CD6"/>
    <w:rsid w:val="00E11A96"/>
    <w:rsid w:val="00E11C61"/>
    <w:rsid w:val="00E11E22"/>
    <w:rsid w:val="00E12647"/>
    <w:rsid w:val="00E12743"/>
    <w:rsid w:val="00E12A37"/>
    <w:rsid w:val="00E13023"/>
    <w:rsid w:val="00E136EE"/>
    <w:rsid w:val="00E137BD"/>
    <w:rsid w:val="00E140F6"/>
    <w:rsid w:val="00E1445D"/>
    <w:rsid w:val="00E148DF"/>
    <w:rsid w:val="00E14B16"/>
    <w:rsid w:val="00E16014"/>
    <w:rsid w:val="00E16580"/>
    <w:rsid w:val="00E16EEB"/>
    <w:rsid w:val="00E175F8"/>
    <w:rsid w:val="00E176EB"/>
    <w:rsid w:val="00E17931"/>
    <w:rsid w:val="00E20164"/>
    <w:rsid w:val="00E20446"/>
    <w:rsid w:val="00E2141F"/>
    <w:rsid w:val="00E21A08"/>
    <w:rsid w:val="00E21D30"/>
    <w:rsid w:val="00E22126"/>
    <w:rsid w:val="00E2212B"/>
    <w:rsid w:val="00E229E0"/>
    <w:rsid w:val="00E22BE3"/>
    <w:rsid w:val="00E22D4F"/>
    <w:rsid w:val="00E233D2"/>
    <w:rsid w:val="00E235CB"/>
    <w:rsid w:val="00E23806"/>
    <w:rsid w:val="00E23923"/>
    <w:rsid w:val="00E23C60"/>
    <w:rsid w:val="00E241CC"/>
    <w:rsid w:val="00E24596"/>
    <w:rsid w:val="00E24663"/>
    <w:rsid w:val="00E24765"/>
    <w:rsid w:val="00E24898"/>
    <w:rsid w:val="00E2524A"/>
    <w:rsid w:val="00E25B38"/>
    <w:rsid w:val="00E2600E"/>
    <w:rsid w:val="00E26078"/>
    <w:rsid w:val="00E26148"/>
    <w:rsid w:val="00E26308"/>
    <w:rsid w:val="00E2685A"/>
    <w:rsid w:val="00E26E06"/>
    <w:rsid w:val="00E27195"/>
    <w:rsid w:val="00E271A7"/>
    <w:rsid w:val="00E274E5"/>
    <w:rsid w:val="00E2780E"/>
    <w:rsid w:val="00E30150"/>
    <w:rsid w:val="00E30598"/>
    <w:rsid w:val="00E30714"/>
    <w:rsid w:val="00E30C4B"/>
    <w:rsid w:val="00E31332"/>
    <w:rsid w:val="00E313E8"/>
    <w:rsid w:val="00E31BC2"/>
    <w:rsid w:val="00E32218"/>
    <w:rsid w:val="00E32830"/>
    <w:rsid w:val="00E331C5"/>
    <w:rsid w:val="00E3377E"/>
    <w:rsid w:val="00E33D98"/>
    <w:rsid w:val="00E34635"/>
    <w:rsid w:val="00E348CC"/>
    <w:rsid w:val="00E3509B"/>
    <w:rsid w:val="00E35358"/>
    <w:rsid w:val="00E3535A"/>
    <w:rsid w:val="00E35375"/>
    <w:rsid w:val="00E35849"/>
    <w:rsid w:val="00E35EC0"/>
    <w:rsid w:val="00E365ED"/>
    <w:rsid w:val="00E36A57"/>
    <w:rsid w:val="00E36D2D"/>
    <w:rsid w:val="00E37009"/>
    <w:rsid w:val="00E3728B"/>
    <w:rsid w:val="00E37C9B"/>
    <w:rsid w:val="00E37E06"/>
    <w:rsid w:val="00E37F7C"/>
    <w:rsid w:val="00E37FBC"/>
    <w:rsid w:val="00E402FF"/>
    <w:rsid w:val="00E40453"/>
    <w:rsid w:val="00E409DD"/>
    <w:rsid w:val="00E40BC4"/>
    <w:rsid w:val="00E40BCA"/>
    <w:rsid w:val="00E40F2C"/>
    <w:rsid w:val="00E42B5D"/>
    <w:rsid w:val="00E43927"/>
    <w:rsid w:val="00E43A12"/>
    <w:rsid w:val="00E43AF5"/>
    <w:rsid w:val="00E43CB2"/>
    <w:rsid w:val="00E43CBB"/>
    <w:rsid w:val="00E442C8"/>
    <w:rsid w:val="00E442DD"/>
    <w:rsid w:val="00E44360"/>
    <w:rsid w:val="00E4460B"/>
    <w:rsid w:val="00E4460D"/>
    <w:rsid w:val="00E44A16"/>
    <w:rsid w:val="00E44B30"/>
    <w:rsid w:val="00E44BAA"/>
    <w:rsid w:val="00E45332"/>
    <w:rsid w:val="00E45474"/>
    <w:rsid w:val="00E45850"/>
    <w:rsid w:val="00E45A1C"/>
    <w:rsid w:val="00E45B17"/>
    <w:rsid w:val="00E460D0"/>
    <w:rsid w:val="00E46993"/>
    <w:rsid w:val="00E46C50"/>
    <w:rsid w:val="00E47163"/>
    <w:rsid w:val="00E478BF"/>
    <w:rsid w:val="00E5042E"/>
    <w:rsid w:val="00E50C1F"/>
    <w:rsid w:val="00E51761"/>
    <w:rsid w:val="00E51BE6"/>
    <w:rsid w:val="00E51C44"/>
    <w:rsid w:val="00E51CBA"/>
    <w:rsid w:val="00E51F35"/>
    <w:rsid w:val="00E541B5"/>
    <w:rsid w:val="00E542AE"/>
    <w:rsid w:val="00E54337"/>
    <w:rsid w:val="00E54674"/>
    <w:rsid w:val="00E54F63"/>
    <w:rsid w:val="00E5577B"/>
    <w:rsid w:val="00E55CF4"/>
    <w:rsid w:val="00E55D13"/>
    <w:rsid w:val="00E5620D"/>
    <w:rsid w:val="00E5625A"/>
    <w:rsid w:val="00E56359"/>
    <w:rsid w:val="00E567D6"/>
    <w:rsid w:val="00E56F3E"/>
    <w:rsid w:val="00E5709A"/>
    <w:rsid w:val="00E571D6"/>
    <w:rsid w:val="00E5733E"/>
    <w:rsid w:val="00E5749B"/>
    <w:rsid w:val="00E60825"/>
    <w:rsid w:val="00E61024"/>
    <w:rsid w:val="00E612CA"/>
    <w:rsid w:val="00E615B7"/>
    <w:rsid w:val="00E61A0A"/>
    <w:rsid w:val="00E61A14"/>
    <w:rsid w:val="00E62F6D"/>
    <w:rsid w:val="00E63142"/>
    <w:rsid w:val="00E639E3"/>
    <w:rsid w:val="00E63CE4"/>
    <w:rsid w:val="00E64485"/>
    <w:rsid w:val="00E64A4A"/>
    <w:rsid w:val="00E65481"/>
    <w:rsid w:val="00E65A78"/>
    <w:rsid w:val="00E65A7C"/>
    <w:rsid w:val="00E66683"/>
    <w:rsid w:val="00E66D29"/>
    <w:rsid w:val="00E66F4E"/>
    <w:rsid w:val="00E67F8E"/>
    <w:rsid w:val="00E70115"/>
    <w:rsid w:val="00E7013B"/>
    <w:rsid w:val="00E7057F"/>
    <w:rsid w:val="00E70A4C"/>
    <w:rsid w:val="00E70AFC"/>
    <w:rsid w:val="00E70EE3"/>
    <w:rsid w:val="00E70FB9"/>
    <w:rsid w:val="00E71A58"/>
    <w:rsid w:val="00E71E88"/>
    <w:rsid w:val="00E726DA"/>
    <w:rsid w:val="00E72A30"/>
    <w:rsid w:val="00E72B6F"/>
    <w:rsid w:val="00E72BF9"/>
    <w:rsid w:val="00E72EB4"/>
    <w:rsid w:val="00E746D1"/>
    <w:rsid w:val="00E748E2"/>
    <w:rsid w:val="00E74A15"/>
    <w:rsid w:val="00E74C95"/>
    <w:rsid w:val="00E74D38"/>
    <w:rsid w:val="00E74E31"/>
    <w:rsid w:val="00E75807"/>
    <w:rsid w:val="00E7589F"/>
    <w:rsid w:val="00E7597A"/>
    <w:rsid w:val="00E75AD9"/>
    <w:rsid w:val="00E75CE2"/>
    <w:rsid w:val="00E75EFD"/>
    <w:rsid w:val="00E7617B"/>
    <w:rsid w:val="00E7697F"/>
    <w:rsid w:val="00E76BD2"/>
    <w:rsid w:val="00E77FD3"/>
    <w:rsid w:val="00E803FC"/>
    <w:rsid w:val="00E8053F"/>
    <w:rsid w:val="00E818E6"/>
    <w:rsid w:val="00E81920"/>
    <w:rsid w:val="00E82AC2"/>
    <w:rsid w:val="00E82B20"/>
    <w:rsid w:val="00E832DD"/>
    <w:rsid w:val="00E83AC9"/>
    <w:rsid w:val="00E83AFA"/>
    <w:rsid w:val="00E83DD2"/>
    <w:rsid w:val="00E8405D"/>
    <w:rsid w:val="00E843A8"/>
    <w:rsid w:val="00E8445B"/>
    <w:rsid w:val="00E84A1D"/>
    <w:rsid w:val="00E84F44"/>
    <w:rsid w:val="00E85AE9"/>
    <w:rsid w:val="00E85C12"/>
    <w:rsid w:val="00E85DDC"/>
    <w:rsid w:val="00E8640D"/>
    <w:rsid w:val="00E867E2"/>
    <w:rsid w:val="00E86AA1"/>
    <w:rsid w:val="00E86D1D"/>
    <w:rsid w:val="00E86DE1"/>
    <w:rsid w:val="00E86FFF"/>
    <w:rsid w:val="00E87517"/>
    <w:rsid w:val="00E877FC"/>
    <w:rsid w:val="00E87BE5"/>
    <w:rsid w:val="00E90119"/>
    <w:rsid w:val="00E905A7"/>
    <w:rsid w:val="00E91692"/>
    <w:rsid w:val="00E91C6B"/>
    <w:rsid w:val="00E92B28"/>
    <w:rsid w:val="00E92E1E"/>
    <w:rsid w:val="00E92F27"/>
    <w:rsid w:val="00E93236"/>
    <w:rsid w:val="00E9446E"/>
    <w:rsid w:val="00E9447B"/>
    <w:rsid w:val="00E94538"/>
    <w:rsid w:val="00E94B6E"/>
    <w:rsid w:val="00E94BAB"/>
    <w:rsid w:val="00E94D39"/>
    <w:rsid w:val="00E95883"/>
    <w:rsid w:val="00E95D6F"/>
    <w:rsid w:val="00E95DE2"/>
    <w:rsid w:val="00E96185"/>
    <w:rsid w:val="00E9698C"/>
    <w:rsid w:val="00E96BAC"/>
    <w:rsid w:val="00E96EC7"/>
    <w:rsid w:val="00E971D4"/>
    <w:rsid w:val="00E971F2"/>
    <w:rsid w:val="00E97909"/>
    <w:rsid w:val="00EA0390"/>
    <w:rsid w:val="00EA071E"/>
    <w:rsid w:val="00EA081E"/>
    <w:rsid w:val="00EA154F"/>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E3C"/>
    <w:rsid w:val="00EA728B"/>
    <w:rsid w:val="00EB049A"/>
    <w:rsid w:val="00EB0549"/>
    <w:rsid w:val="00EB06F6"/>
    <w:rsid w:val="00EB0ECC"/>
    <w:rsid w:val="00EB0FEC"/>
    <w:rsid w:val="00EB13CF"/>
    <w:rsid w:val="00EB2190"/>
    <w:rsid w:val="00EB22D9"/>
    <w:rsid w:val="00EB23FE"/>
    <w:rsid w:val="00EB2635"/>
    <w:rsid w:val="00EB2F3E"/>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C15"/>
    <w:rsid w:val="00EB6D49"/>
    <w:rsid w:val="00EB72C8"/>
    <w:rsid w:val="00EB7B92"/>
    <w:rsid w:val="00EB7D4A"/>
    <w:rsid w:val="00EC0248"/>
    <w:rsid w:val="00EC08F7"/>
    <w:rsid w:val="00EC1CF6"/>
    <w:rsid w:val="00EC1F6C"/>
    <w:rsid w:val="00EC23A3"/>
    <w:rsid w:val="00EC2840"/>
    <w:rsid w:val="00EC29D7"/>
    <w:rsid w:val="00EC3198"/>
    <w:rsid w:val="00EC348E"/>
    <w:rsid w:val="00EC397D"/>
    <w:rsid w:val="00EC3C67"/>
    <w:rsid w:val="00EC41CD"/>
    <w:rsid w:val="00EC47B0"/>
    <w:rsid w:val="00EC4C13"/>
    <w:rsid w:val="00EC50B9"/>
    <w:rsid w:val="00EC5DF5"/>
    <w:rsid w:val="00EC64E5"/>
    <w:rsid w:val="00EC65DA"/>
    <w:rsid w:val="00EC67FC"/>
    <w:rsid w:val="00EC6834"/>
    <w:rsid w:val="00EC6B7B"/>
    <w:rsid w:val="00EC734F"/>
    <w:rsid w:val="00EC7949"/>
    <w:rsid w:val="00ED0398"/>
    <w:rsid w:val="00ED094C"/>
    <w:rsid w:val="00ED0A98"/>
    <w:rsid w:val="00ED0B19"/>
    <w:rsid w:val="00ED0EA9"/>
    <w:rsid w:val="00ED0F28"/>
    <w:rsid w:val="00ED13D0"/>
    <w:rsid w:val="00ED1821"/>
    <w:rsid w:val="00ED19F0"/>
    <w:rsid w:val="00ED1D0F"/>
    <w:rsid w:val="00ED1F36"/>
    <w:rsid w:val="00ED22BF"/>
    <w:rsid w:val="00ED280A"/>
    <w:rsid w:val="00ED2C8C"/>
    <w:rsid w:val="00ED2EA7"/>
    <w:rsid w:val="00ED3171"/>
    <w:rsid w:val="00ED3AAA"/>
    <w:rsid w:val="00ED3C10"/>
    <w:rsid w:val="00ED40F5"/>
    <w:rsid w:val="00ED4244"/>
    <w:rsid w:val="00ED4B8D"/>
    <w:rsid w:val="00ED4C18"/>
    <w:rsid w:val="00ED4ED3"/>
    <w:rsid w:val="00ED5406"/>
    <w:rsid w:val="00ED625A"/>
    <w:rsid w:val="00ED6559"/>
    <w:rsid w:val="00ED6ABA"/>
    <w:rsid w:val="00ED7180"/>
    <w:rsid w:val="00ED7ED0"/>
    <w:rsid w:val="00ED7EE2"/>
    <w:rsid w:val="00EE07D6"/>
    <w:rsid w:val="00EE0E38"/>
    <w:rsid w:val="00EE10B6"/>
    <w:rsid w:val="00EE11CF"/>
    <w:rsid w:val="00EE131A"/>
    <w:rsid w:val="00EE13D1"/>
    <w:rsid w:val="00EE271B"/>
    <w:rsid w:val="00EE32A8"/>
    <w:rsid w:val="00EE36B2"/>
    <w:rsid w:val="00EE3F20"/>
    <w:rsid w:val="00EE4A2F"/>
    <w:rsid w:val="00EE5017"/>
    <w:rsid w:val="00EE5558"/>
    <w:rsid w:val="00EE5714"/>
    <w:rsid w:val="00EE5F54"/>
    <w:rsid w:val="00EE631C"/>
    <w:rsid w:val="00EE64E5"/>
    <w:rsid w:val="00EE6979"/>
    <w:rsid w:val="00EE74A6"/>
    <w:rsid w:val="00EE7502"/>
    <w:rsid w:val="00EE7627"/>
    <w:rsid w:val="00EF00AE"/>
    <w:rsid w:val="00EF0196"/>
    <w:rsid w:val="00EF0E1E"/>
    <w:rsid w:val="00EF0F2B"/>
    <w:rsid w:val="00EF133E"/>
    <w:rsid w:val="00EF1889"/>
    <w:rsid w:val="00EF257B"/>
    <w:rsid w:val="00EF25E5"/>
    <w:rsid w:val="00EF28D9"/>
    <w:rsid w:val="00EF3372"/>
    <w:rsid w:val="00EF34C9"/>
    <w:rsid w:val="00EF421C"/>
    <w:rsid w:val="00EF5575"/>
    <w:rsid w:val="00EF5A8D"/>
    <w:rsid w:val="00EF5BE9"/>
    <w:rsid w:val="00EF629E"/>
    <w:rsid w:val="00EF6908"/>
    <w:rsid w:val="00EF6F9D"/>
    <w:rsid w:val="00EF7515"/>
    <w:rsid w:val="00EF755D"/>
    <w:rsid w:val="00EF7E6D"/>
    <w:rsid w:val="00EF7F9A"/>
    <w:rsid w:val="00F0050E"/>
    <w:rsid w:val="00F0072D"/>
    <w:rsid w:val="00F00A16"/>
    <w:rsid w:val="00F00CEB"/>
    <w:rsid w:val="00F01C40"/>
    <w:rsid w:val="00F02540"/>
    <w:rsid w:val="00F02D25"/>
    <w:rsid w:val="00F02EB3"/>
    <w:rsid w:val="00F02F77"/>
    <w:rsid w:val="00F0359B"/>
    <w:rsid w:val="00F03D37"/>
    <w:rsid w:val="00F04739"/>
    <w:rsid w:val="00F04A99"/>
    <w:rsid w:val="00F04F2E"/>
    <w:rsid w:val="00F05073"/>
    <w:rsid w:val="00F05244"/>
    <w:rsid w:val="00F05289"/>
    <w:rsid w:val="00F05EA8"/>
    <w:rsid w:val="00F063C4"/>
    <w:rsid w:val="00F065A5"/>
    <w:rsid w:val="00F1047F"/>
    <w:rsid w:val="00F105B4"/>
    <w:rsid w:val="00F114EB"/>
    <w:rsid w:val="00F119B8"/>
    <w:rsid w:val="00F119D5"/>
    <w:rsid w:val="00F121D8"/>
    <w:rsid w:val="00F12637"/>
    <w:rsid w:val="00F1273D"/>
    <w:rsid w:val="00F1322C"/>
    <w:rsid w:val="00F13A41"/>
    <w:rsid w:val="00F13D9B"/>
    <w:rsid w:val="00F14116"/>
    <w:rsid w:val="00F14BE6"/>
    <w:rsid w:val="00F15318"/>
    <w:rsid w:val="00F16504"/>
    <w:rsid w:val="00F167FC"/>
    <w:rsid w:val="00F17B6B"/>
    <w:rsid w:val="00F17D62"/>
    <w:rsid w:val="00F20134"/>
    <w:rsid w:val="00F2053B"/>
    <w:rsid w:val="00F20548"/>
    <w:rsid w:val="00F20DF2"/>
    <w:rsid w:val="00F20EC4"/>
    <w:rsid w:val="00F21356"/>
    <w:rsid w:val="00F219F8"/>
    <w:rsid w:val="00F22233"/>
    <w:rsid w:val="00F2265D"/>
    <w:rsid w:val="00F22B29"/>
    <w:rsid w:val="00F22B7E"/>
    <w:rsid w:val="00F22D14"/>
    <w:rsid w:val="00F22EEF"/>
    <w:rsid w:val="00F22F17"/>
    <w:rsid w:val="00F2329A"/>
    <w:rsid w:val="00F238B6"/>
    <w:rsid w:val="00F2421B"/>
    <w:rsid w:val="00F246D6"/>
    <w:rsid w:val="00F2494A"/>
    <w:rsid w:val="00F2523D"/>
    <w:rsid w:val="00F25241"/>
    <w:rsid w:val="00F26098"/>
    <w:rsid w:val="00F26109"/>
    <w:rsid w:val="00F26486"/>
    <w:rsid w:val="00F26F88"/>
    <w:rsid w:val="00F27B63"/>
    <w:rsid w:val="00F27CEA"/>
    <w:rsid w:val="00F30C82"/>
    <w:rsid w:val="00F30FE5"/>
    <w:rsid w:val="00F3145D"/>
    <w:rsid w:val="00F31574"/>
    <w:rsid w:val="00F319C1"/>
    <w:rsid w:val="00F31B8E"/>
    <w:rsid w:val="00F31B9D"/>
    <w:rsid w:val="00F31ED9"/>
    <w:rsid w:val="00F320FD"/>
    <w:rsid w:val="00F32280"/>
    <w:rsid w:val="00F32615"/>
    <w:rsid w:val="00F32A43"/>
    <w:rsid w:val="00F33CDD"/>
    <w:rsid w:val="00F342DF"/>
    <w:rsid w:val="00F34844"/>
    <w:rsid w:val="00F349D9"/>
    <w:rsid w:val="00F34B5D"/>
    <w:rsid w:val="00F35571"/>
    <w:rsid w:val="00F35C91"/>
    <w:rsid w:val="00F36B9F"/>
    <w:rsid w:val="00F36DE9"/>
    <w:rsid w:val="00F36FF3"/>
    <w:rsid w:val="00F3718D"/>
    <w:rsid w:val="00F373B1"/>
    <w:rsid w:val="00F37610"/>
    <w:rsid w:val="00F37AA6"/>
    <w:rsid w:val="00F404E2"/>
    <w:rsid w:val="00F40A36"/>
    <w:rsid w:val="00F40A44"/>
    <w:rsid w:val="00F40AE5"/>
    <w:rsid w:val="00F40B14"/>
    <w:rsid w:val="00F40CC1"/>
    <w:rsid w:val="00F4150D"/>
    <w:rsid w:val="00F41C44"/>
    <w:rsid w:val="00F41CF2"/>
    <w:rsid w:val="00F42101"/>
    <w:rsid w:val="00F423D5"/>
    <w:rsid w:val="00F428C2"/>
    <w:rsid w:val="00F428FA"/>
    <w:rsid w:val="00F42E48"/>
    <w:rsid w:val="00F42E8D"/>
    <w:rsid w:val="00F43544"/>
    <w:rsid w:val="00F4395F"/>
    <w:rsid w:val="00F43BCE"/>
    <w:rsid w:val="00F442D3"/>
    <w:rsid w:val="00F449F0"/>
    <w:rsid w:val="00F45191"/>
    <w:rsid w:val="00F46284"/>
    <w:rsid w:val="00F46C6E"/>
    <w:rsid w:val="00F46D1E"/>
    <w:rsid w:val="00F479B5"/>
    <w:rsid w:val="00F47A22"/>
    <w:rsid w:val="00F47F56"/>
    <w:rsid w:val="00F506CD"/>
    <w:rsid w:val="00F51331"/>
    <w:rsid w:val="00F51BCC"/>
    <w:rsid w:val="00F52129"/>
    <w:rsid w:val="00F5224A"/>
    <w:rsid w:val="00F5324A"/>
    <w:rsid w:val="00F538D9"/>
    <w:rsid w:val="00F55331"/>
    <w:rsid w:val="00F55CB9"/>
    <w:rsid w:val="00F55F38"/>
    <w:rsid w:val="00F55FA4"/>
    <w:rsid w:val="00F55FAC"/>
    <w:rsid w:val="00F56053"/>
    <w:rsid w:val="00F5648F"/>
    <w:rsid w:val="00F5686E"/>
    <w:rsid w:val="00F5735D"/>
    <w:rsid w:val="00F5769F"/>
    <w:rsid w:val="00F576DC"/>
    <w:rsid w:val="00F57966"/>
    <w:rsid w:val="00F60262"/>
    <w:rsid w:val="00F6045E"/>
    <w:rsid w:val="00F6188A"/>
    <w:rsid w:val="00F61F60"/>
    <w:rsid w:val="00F621CE"/>
    <w:rsid w:val="00F6229D"/>
    <w:rsid w:val="00F62F9B"/>
    <w:rsid w:val="00F6367D"/>
    <w:rsid w:val="00F63804"/>
    <w:rsid w:val="00F63F4F"/>
    <w:rsid w:val="00F6426C"/>
    <w:rsid w:val="00F649A5"/>
    <w:rsid w:val="00F65098"/>
    <w:rsid w:val="00F6537A"/>
    <w:rsid w:val="00F6570C"/>
    <w:rsid w:val="00F657A3"/>
    <w:rsid w:val="00F65A48"/>
    <w:rsid w:val="00F663AA"/>
    <w:rsid w:val="00F66608"/>
    <w:rsid w:val="00F66952"/>
    <w:rsid w:val="00F66BAB"/>
    <w:rsid w:val="00F66E5F"/>
    <w:rsid w:val="00F670BF"/>
    <w:rsid w:val="00F67509"/>
    <w:rsid w:val="00F677F9"/>
    <w:rsid w:val="00F701AC"/>
    <w:rsid w:val="00F702CC"/>
    <w:rsid w:val="00F70A58"/>
    <w:rsid w:val="00F70D9F"/>
    <w:rsid w:val="00F70E2B"/>
    <w:rsid w:val="00F711F8"/>
    <w:rsid w:val="00F71739"/>
    <w:rsid w:val="00F71B58"/>
    <w:rsid w:val="00F722EE"/>
    <w:rsid w:val="00F7427F"/>
    <w:rsid w:val="00F7544C"/>
    <w:rsid w:val="00F75848"/>
    <w:rsid w:val="00F75A6B"/>
    <w:rsid w:val="00F76FBF"/>
    <w:rsid w:val="00F7702C"/>
    <w:rsid w:val="00F77A2D"/>
    <w:rsid w:val="00F77C89"/>
    <w:rsid w:val="00F808C9"/>
    <w:rsid w:val="00F80EE2"/>
    <w:rsid w:val="00F80FD0"/>
    <w:rsid w:val="00F81044"/>
    <w:rsid w:val="00F8111D"/>
    <w:rsid w:val="00F81AF6"/>
    <w:rsid w:val="00F81F92"/>
    <w:rsid w:val="00F8205B"/>
    <w:rsid w:val="00F8250A"/>
    <w:rsid w:val="00F83BAB"/>
    <w:rsid w:val="00F841E1"/>
    <w:rsid w:val="00F84976"/>
    <w:rsid w:val="00F84A98"/>
    <w:rsid w:val="00F84AF1"/>
    <w:rsid w:val="00F84CB1"/>
    <w:rsid w:val="00F8508C"/>
    <w:rsid w:val="00F8566C"/>
    <w:rsid w:val="00F8590E"/>
    <w:rsid w:val="00F85945"/>
    <w:rsid w:val="00F85F2A"/>
    <w:rsid w:val="00F864BA"/>
    <w:rsid w:val="00F86E67"/>
    <w:rsid w:val="00F871D1"/>
    <w:rsid w:val="00F87C8C"/>
    <w:rsid w:val="00F9014A"/>
    <w:rsid w:val="00F90421"/>
    <w:rsid w:val="00F9051D"/>
    <w:rsid w:val="00F90884"/>
    <w:rsid w:val="00F908E1"/>
    <w:rsid w:val="00F9094B"/>
    <w:rsid w:val="00F90E4F"/>
    <w:rsid w:val="00F90FF4"/>
    <w:rsid w:val="00F917B1"/>
    <w:rsid w:val="00F91B1B"/>
    <w:rsid w:val="00F91C1C"/>
    <w:rsid w:val="00F91DAE"/>
    <w:rsid w:val="00F9293F"/>
    <w:rsid w:val="00F92BB5"/>
    <w:rsid w:val="00F92C0D"/>
    <w:rsid w:val="00F92F6A"/>
    <w:rsid w:val="00F92FDA"/>
    <w:rsid w:val="00F93187"/>
    <w:rsid w:val="00F933FB"/>
    <w:rsid w:val="00F938DA"/>
    <w:rsid w:val="00F938FA"/>
    <w:rsid w:val="00F940B2"/>
    <w:rsid w:val="00F941A2"/>
    <w:rsid w:val="00F94267"/>
    <w:rsid w:val="00F94C80"/>
    <w:rsid w:val="00F94EF5"/>
    <w:rsid w:val="00F94F7D"/>
    <w:rsid w:val="00F9501A"/>
    <w:rsid w:val="00F9511C"/>
    <w:rsid w:val="00F959DB"/>
    <w:rsid w:val="00F960A6"/>
    <w:rsid w:val="00F960DC"/>
    <w:rsid w:val="00F96272"/>
    <w:rsid w:val="00F962A3"/>
    <w:rsid w:val="00F96563"/>
    <w:rsid w:val="00F96E32"/>
    <w:rsid w:val="00F9776D"/>
    <w:rsid w:val="00FA0591"/>
    <w:rsid w:val="00FA05DC"/>
    <w:rsid w:val="00FA0CC5"/>
    <w:rsid w:val="00FA16DC"/>
    <w:rsid w:val="00FA17D9"/>
    <w:rsid w:val="00FA1D00"/>
    <w:rsid w:val="00FA1FBF"/>
    <w:rsid w:val="00FA2425"/>
    <w:rsid w:val="00FA2F4A"/>
    <w:rsid w:val="00FA30BF"/>
    <w:rsid w:val="00FA338F"/>
    <w:rsid w:val="00FA354B"/>
    <w:rsid w:val="00FA35FC"/>
    <w:rsid w:val="00FA3932"/>
    <w:rsid w:val="00FA3E90"/>
    <w:rsid w:val="00FA43EE"/>
    <w:rsid w:val="00FA4F46"/>
    <w:rsid w:val="00FA5076"/>
    <w:rsid w:val="00FA5447"/>
    <w:rsid w:val="00FA5645"/>
    <w:rsid w:val="00FA7004"/>
    <w:rsid w:val="00FA7522"/>
    <w:rsid w:val="00FA7FFA"/>
    <w:rsid w:val="00FB0238"/>
    <w:rsid w:val="00FB0CFB"/>
    <w:rsid w:val="00FB113D"/>
    <w:rsid w:val="00FB1253"/>
    <w:rsid w:val="00FB13DC"/>
    <w:rsid w:val="00FB23CF"/>
    <w:rsid w:val="00FB2FC7"/>
    <w:rsid w:val="00FB34C5"/>
    <w:rsid w:val="00FB35F0"/>
    <w:rsid w:val="00FB399F"/>
    <w:rsid w:val="00FB3B0B"/>
    <w:rsid w:val="00FB4560"/>
    <w:rsid w:val="00FB4E7B"/>
    <w:rsid w:val="00FB55DE"/>
    <w:rsid w:val="00FB5BCC"/>
    <w:rsid w:val="00FB5CC4"/>
    <w:rsid w:val="00FB610C"/>
    <w:rsid w:val="00FB63BB"/>
    <w:rsid w:val="00FB6A27"/>
    <w:rsid w:val="00FB6C25"/>
    <w:rsid w:val="00FB6EB8"/>
    <w:rsid w:val="00FC08FD"/>
    <w:rsid w:val="00FC0AB0"/>
    <w:rsid w:val="00FC1DD1"/>
    <w:rsid w:val="00FC1E9A"/>
    <w:rsid w:val="00FC202D"/>
    <w:rsid w:val="00FC2A20"/>
    <w:rsid w:val="00FC2FB0"/>
    <w:rsid w:val="00FC3647"/>
    <w:rsid w:val="00FC3B64"/>
    <w:rsid w:val="00FC3B6A"/>
    <w:rsid w:val="00FC555B"/>
    <w:rsid w:val="00FC5EA6"/>
    <w:rsid w:val="00FC63A5"/>
    <w:rsid w:val="00FC63F6"/>
    <w:rsid w:val="00FC70B2"/>
    <w:rsid w:val="00FC71F9"/>
    <w:rsid w:val="00FC73C9"/>
    <w:rsid w:val="00FC740A"/>
    <w:rsid w:val="00FC75D3"/>
    <w:rsid w:val="00FC75F7"/>
    <w:rsid w:val="00FC783D"/>
    <w:rsid w:val="00FC7C4E"/>
    <w:rsid w:val="00FC7EF0"/>
    <w:rsid w:val="00FD0158"/>
    <w:rsid w:val="00FD05BA"/>
    <w:rsid w:val="00FD05C7"/>
    <w:rsid w:val="00FD115B"/>
    <w:rsid w:val="00FD1244"/>
    <w:rsid w:val="00FD1438"/>
    <w:rsid w:val="00FD1E5E"/>
    <w:rsid w:val="00FD25C7"/>
    <w:rsid w:val="00FD2D9C"/>
    <w:rsid w:val="00FD40B5"/>
    <w:rsid w:val="00FD42C6"/>
    <w:rsid w:val="00FD4891"/>
    <w:rsid w:val="00FD4A95"/>
    <w:rsid w:val="00FD4DE1"/>
    <w:rsid w:val="00FD5172"/>
    <w:rsid w:val="00FD51AC"/>
    <w:rsid w:val="00FD51C0"/>
    <w:rsid w:val="00FD5232"/>
    <w:rsid w:val="00FD5624"/>
    <w:rsid w:val="00FD5C48"/>
    <w:rsid w:val="00FD6004"/>
    <w:rsid w:val="00FD621F"/>
    <w:rsid w:val="00FD66DE"/>
    <w:rsid w:val="00FD6803"/>
    <w:rsid w:val="00FD70AA"/>
    <w:rsid w:val="00FD70D1"/>
    <w:rsid w:val="00FD721A"/>
    <w:rsid w:val="00FD7A2D"/>
    <w:rsid w:val="00FD7C27"/>
    <w:rsid w:val="00FE0504"/>
    <w:rsid w:val="00FE06BB"/>
    <w:rsid w:val="00FE0BB9"/>
    <w:rsid w:val="00FE0F8D"/>
    <w:rsid w:val="00FE1094"/>
    <w:rsid w:val="00FE1641"/>
    <w:rsid w:val="00FE1D1A"/>
    <w:rsid w:val="00FE222F"/>
    <w:rsid w:val="00FE3142"/>
    <w:rsid w:val="00FE315D"/>
    <w:rsid w:val="00FE3C30"/>
    <w:rsid w:val="00FE3ED2"/>
    <w:rsid w:val="00FE3EFC"/>
    <w:rsid w:val="00FE4932"/>
    <w:rsid w:val="00FE4A95"/>
    <w:rsid w:val="00FE4CF3"/>
    <w:rsid w:val="00FE53F5"/>
    <w:rsid w:val="00FE5BCA"/>
    <w:rsid w:val="00FE5C06"/>
    <w:rsid w:val="00FE5C73"/>
    <w:rsid w:val="00FE609F"/>
    <w:rsid w:val="00FE739C"/>
    <w:rsid w:val="00FE78F4"/>
    <w:rsid w:val="00FE7F9C"/>
    <w:rsid w:val="00FF0BD9"/>
    <w:rsid w:val="00FF0BFA"/>
    <w:rsid w:val="00FF0DC4"/>
    <w:rsid w:val="00FF1084"/>
    <w:rsid w:val="00FF1DF4"/>
    <w:rsid w:val="00FF255F"/>
    <w:rsid w:val="00FF2AA3"/>
    <w:rsid w:val="00FF30A2"/>
    <w:rsid w:val="00FF39E7"/>
    <w:rsid w:val="00FF39EE"/>
    <w:rsid w:val="00FF42E0"/>
    <w:rsid w:val="00FF4A82"/>
    <w:rsid w:val="00FF4AA0"/>
    <w:rsid w:val="00FF4BFE"/>
    <w:rsid w:val="00FF5443"/>
    <w:rsid w:val="00FF5A7A"/>
    <w:rsid w:val="00FF5B6F"/>
    <w:rsid w:val="00FF68BD"/>
    <w:rsid w:val="00FF700D"/>
    <w:rsid w:val="00FF7875"/>
    <w:rsid w:val="00FF7C64"/>
    <w:rsid w:val="00FF7F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1B46687A"/>
  <w15:chartTrackingRefBased/>
  <w15:docId w15:val="{EB039FBF-BC10-45BE-98B7-62004AC2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8"/>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9"/>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42"/>
      </w:numPr>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character" w:styleId="Fotnotsreferens">
    <w:name w:val="footnote reference"/>
    <w:basedOn w:val="Standardstycketeckensnitt"/>
    <w:uiPriority w:val="99"/>
    <w:unhideWhenUsed/>
    <w:locked/>
    <w:rsid w:val="00BB4E53"/>
    <w:rPr>
      <w:vertAlign w:val="superscript"/>
    </w:rPr>
  </w:style>
  <w:style w:type="paragraph" w:styleId="Slutnotstext">
    <w:name w:val="endnote text"/>
    <w:basedOn w:val="Normal"/>
    <w:link w:val="SlutnotstextChar"/>
    <w:uiPriority w:val="99"/>
    <w:semiHidden/>
    <w:unhideWhenUsed/>
    <w:rsid w:val="0009785C"/>
    <w:pPr>
      <w:spacing w:line="240" w:lineRule="auto"/>
    </w:pPr>
    <w:rPr>
      <w:sz w:val="20"/>
      <w:szCs w:val="20"/>
    </w:rPr>
  </w:style>
  <w:style w:type="character" w:customStyle="1" w:styleId="SlutnotstextChar">
    <w:name w:val="Slutnotstext Char"/>
    <w:basedOn w:val="Standardstycketeckensnitt"/>
    <w:link w:val="Slutnotstext"/>
    <w:uiPriority w:val="99"/>
    <w:semiHidden/>
    <w:rsid w:val="0009785C"/>
    <w:rPr>
      <w:kern w:val="28"/>
      <w:sz w:val="20"/>
      <w:szCs w:val="20"/>
      <w:lang w:val="sv-SE"/>
      <w14:numSpacing w14:val="proportional"/>
    </w:rPr>
  </w:style>
  <w:style w:type="character" w:styleId="Slutnotsreferens">
    <w:name w:val="endnote reference"/>
    <w:basedOn w:val="Standardstycketeckensnitt"/>
    <w:uiPriority w:val="99"/>
    <w:semiHidden/>
    <w:unhideWhenUsed/>
    <w:rsid w:val="0009785C"/>
    <w:rPr>
      <w:vertAlign w:val="superscript"/>
    </w:rPr>
  </w:style>
  <w:style w:type="paragraph" w:styleId="Normalwebb">
    <w:name w:val="Normal (Web)"/>
    <w:basedOn w:val="Normal"/>
    <w:uiPriority w:val="99"/>
    <w:semiHidden/>
    <w:unhideWhenUsed/>
    <w:locked/>
    <w:rsid w:val="00766F3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styleId="AnvndHyperlnk">
    <w:name w:val="FollowedHyperlink"/>
    <w:basedOn w:val="Standardstycketeckensnitt"/>
    <w:uiPriority w:val="58"/>
    <w:semiHidden/>
    <w:locked/>
    <w:rsid w:val="00F22B7E"/>
    <w:rPr>
      <w:color w:val="954F72" w:themeColor="followedHyperlink"/>
      <w:u w:val="single"/>
    </w:rPr>
  </w:style>
  <w:style w:type="character" w:styleId="Olstomnmnande">
    <w:name w:val="Unresolved Mention"/>
    <w:basedOn w:val="Standardstycketeckensnitt"/>
    <w:uiPriority w:val="99"/>
    <w:semiHidden/>
    <w:unhideWhenUsed/>
    <w:rsid w:val="003E0582"/>
    <w:rPr>
      <w:color w:val="605E5C"/>
      <w:shd w:val="clear" w:color="auto" w:fill="E1DFDD"/>
    </w:rPr>
  </w:style>
  <w:style w:type="paragraph" w:styleId="Revision">
    <w:name w:val="Revision"/>
    <w:hidden/>
    <w:uiPriority w:val="99"/>
    <w:semiHidden/>
    <w:rsid w:val="00AE35C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66657">
      <w:bodyDiv w:val="1"/>
      <w:marLeft w:val="0"/>
      <w:marRight w:val="0"/>
      <w:marTop w:val="0"/>
      <w:marBottom w:val="0"/>
      <w:divBdr>
        <w:top w:val="none" w:sz="0" w:space="0" w:color="auto"/>
        <w:left w:val="none" w:sz="0" w:space="0" w:color="auto"/>
        <w:bottom w:val="none" w:sz="0" w:space="0" w:color="auto"/>
        <w:right w:val="none" w:sz="0" w:space="0" w:color="auto"/>
      </w:divBdr>
    </w:div>
    <w:div w:id="139200979">
      <w:bodyDiv w:val="1"/>
      <w:marLeft w:val="0"/>
      <w:marRight w:val="0"/>
      <w:marTop w:val="0"/>
      <w:marBottom w:val="0"/>
      <w:divBdr>
        <w:top w:val="none" w:sz="0" w:space="0" w:color="auto"/>
        <w:left w:val="none" w:sz="0" w:space="0" w:color="auto"/>
        <w:bottom w:val="none" w:sz="0" w:space="0" w:color="auto"/>
        <w:right w:val="none" w:sz="0" w:space="0" w:color="auto"/>
      </w:divBdr>
    </w:div>
    <w:div w:id="14505660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3712335">
      <w:bodyDiv w:val="1"/>
      <w:marLeft w:val="0"/>
      <w:marRight w:val="0"/>
      <w:marTop w:val="0"/>
      <w:marBottom w:val="0"/>
      <w:divBdr>
        <w:top w:val="none" w:sz="0" w:space="0" w:color="auto"/>
        <w:left w:val="none" w:sz="0" w:space="0" w:color="auto"/>
        <w:bottom w:val="none" w:sz="0" w:space="0" w:color="auto"/>
        <w:right w:val="none" w:sz="0" w:space="0" w:color="auto"/>
      </w:divBdr>
    </w:div>
    <w:div w:id="240141170">
      <w:bodyDiv w:val="1"/>
      <w:marLeft w:val="0"/>
      <w:marRight w:val="0"/>
      <w:marTop w:val="0"/>
      <w:marBottom w:val="0"/>
      <w:divBdr>
        <w:top w:val="none" w:sz="0" w:space="0" w:color="auto"/>
        <w:left w:val="none" w:sz="0" w:space="0" w:color="auto"/>
        <w:bottom w:val="none" w:sz="0" w:space="0" w:color="auto"/>
        <w:right w:val="none" w:sz="0" w:space="0" w:color="auto"/>
      </w:divBdr>
    </w:div>
    <w:div w:id="331185723">
      <w:bodyDiv w:val="1"/>
      <w:marLeft w:val="0"/>
      <w:marRight w:val="0"/>
      <w:marTop w:val="0"/>
      <w:marBottom w:val="0"/>
      <w:divBdr>
        <w:top w:val="none" w:sz="0" w:space="0" w:color="auto"/>
        <w:left w:val="none" w:sz="0" w:space="0" w:color="auto"/>
        <w:bottom w:val="none" w:sz="0" w:space="0" w:color="auto"/>
        <w:right w:val="none" w:sz="0" w:space="0" w:color="auto"/>
      </w:divBdr>
    </w:div>
    <w:div w:id="333606118">
      <w:bodyDiv w:val="1"/>
      <w:marLeft w:val="0"/>
      <w:marRight w:val="0"/>
      <w:marTop w:val="0"/>
      <w:marBottom w:val="0"/>
      <w:divBdr>
        <w:top w:val="none" w:sz="0" w:space="0" w:color="auto"/>
        <w:left w:val="none" w:sz="0" w:space="0" w:color="auto"/>
        <w:bottom w:val="none" w:sz="0" w:space="0" w:color="auto"/>
        <w:right w:val="none" w:sz="0" w:space="0" w:color="auto"/>
      </w:divBdr>
    </w:div>
    <w:div w:id="379209815">
      <w:bodyDiv w:val="1"/>
      <w:marLeft w:val="0"/>
      <w:marRight w:val="0"/>
      <w:marTop w:val="0"/>
      <w:marBottom w:val="0"/>
      <w:divBdr>
        <w:top w:val="none" w:sz="0" w:space="0" w:color="auto"/>
        <w:left w:val="none" w:sz="0" w:space="0" w:color="auto"/>
        <w:bottom w:val="none" w:sz="0" w:space="0" w:color="auto"/>
        <w:right w:val="none" w:sz="0" w:space="0" w:color="auto"/>
      </w:divBdr>
    </w:div>
    <w:div w:id="454179535">
      <w:bodyDiv w:val="1"/>
      <w:marLeft w:val="0"/>
      <w:marRight w:val="0"/>
      <w:marTop w:val="0"/>
      <w:marBottom w:val="0"/>
      <w:divBdr>
        <w:top w:val="none" w:sz="0" w:space="0" w:color="auto"/>
        <w:left w:val="none" w:sz="0" w:space="0" w:color="auto"/>
        <w:bottom w:val="none" w:sz="0" w:space="0" w:color="auto"/>
        <w:right w:val="none" w:sz="0" w:space="0" w:color="auto"/>
      </w:divBdr>
    </w:div>
    <w:div w:id="486477021">
      <w:bodyDiv w:val="1"/>
      <w:marLeft w:val="0"/>
      <w:marRight w:val="0"/>
      <w:marTop w:val="0"/>
      <w:marBottom w:val="0"/>
      <w:divBdr>
        <w:top w:val="none" w:sz="0" w:space="0" w:color="auto"/>
        <w:left w:val="none" w:sz="0" w:space="0" w:color="auto"/>
        <w:bottom w:val="none" w:sz="0" w:space="0" w:color="auto"/>
        <w:right w:val="none" w:sz="0" w:space="0" w:color="auto"/>
      </w:divBdr>
    </w:div>
    <w:div w:id="520625193">
      <w:bodyDiv w:val="1"/>
      <w:marLeft w:val="0"/>
      <w:marRight w:val="0"/>
      <w:marTop w:val="0"/>
      <w:marBottom w:val="0"/>
      <w:divBdr>
        <w:top w:val="none" w:sz="0" w:space="0" w:color="auto"/>
        <w:left w:val="none" w:sz="0" w:space="0" w:color="auto"/>
        <w:bottom w:val="none" w:sz="0" w:space="0" w:color="auto"/>
        <w:right w:val="none" w:sz="0" w:space="0" w:color="auto"/>
      </w:divBdr>
    </w:div>
    <w:div w:id="589505992">
      <w:bodyDiv w:val="1"/>
      <w:marLeft w:val="0"/>
      <w:marRight w:val="0"/>
      <w:marTop w:val="0"/>
      <w:marBottom w:val="0"/>
      <w:divBdr>
        <w:top w:val="none" w:sz="0" w:space="0" w:color="auto"/>
        <w:left w:val="none" w:sz="0" w:space="0" w:color="auto"/>
        <w:bottom w:val="none" w:sz="0" w:space="0" w:color="auto"/>
        <w:right w:val="none" w:sz="0" w:space="0" w:color="auto"/>
      </w:divBdr>
    </w:div>
    <w:div w:id="613250550">
      <w:bodyDiv w:val="1"/>
      <w:marLeft w:val="0"/>
      <w:marRight w:val="0"/>
      <w:marTop w:val="0"/>
      <w:marBottom w:val="0"/>
      <w:divBdr>
        <w:top w:val="none" w:sz="0" w:space="0" w:color="auto"/>
        <w:left w:val="none" w:sz="0" w:space="0" w:color="auto"/>
        <w:bottom w:val="none" w:sz="0" w:space="0" w:color="auto"/>
        <w:right w:val="none" w:sz="0" w:space="0" w:color="auto"/>
      </w:divBdr>
    </w:div>
    <w:div w:id="699166173">
      <w:bodyDiv w:val="1"/>
      <w:marLeft w:val="0"/>
      <w:marRight w:val="0"/>
      <w:marTop w:val="0"/>
      <w:marBottom w:val="0"/>
      <w:divBdr>
        <w:top w:val="none" w:sz="0" w:space="0" w:color="auto"/>
        <w:left w:val="none" w:sz="0" w:space="0" w:color="auto"/>
        <w:bottom w:val="none" w:sz="0" w:space="0" w:color="auto"/>
        <w:right w:val="none" w:sz="0" w:space="0" w:color="auto"/>
      </w:divBdr>
    </w:div>
    <w:div w:id="712121061">
      <w:bodyDiv w:val="1"/>
      <w:marLeft w:val="0"/>
      <w:marRight w:val="0"/>
      <w:marTop w:val="0"/>
      <w:marBottom w:val="0"/>
      <w:divBdr>
        <w:top w:val="none" w:sz="0" w:space="0" w:color="auto"/>
        <w:left w:val="none" w:sz="0" w:space="0" w:color="auto"/>
        <w:bottom w:val="none" w:sz="0" w:space="0" w:color="auto"/>
        <w:right w:val="none" w:sz="0" w:space="0" w:color="auto"/>
      </w:divBdr>
    </w:div>
    <w:div w:id="87087427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1861668">
      <w:bodyDiv w:val="1"/>
      <w:marLeft w:val="0"/>
      <w:marRight w:val="0"/>
      <w:marTop w:val="0"/>
      <w:marBottom w:val="0"/>
      <w:divBdr>
        <w:top w:val="none" w:sz="0" w:space="0" w:color="auto"/>
        <w:left w:val="none" w:sz="0" w:space="0" w:color="auto"/>
        <w:bottom w:val="none" w:sz="0" w:space="0" w:color="auto"/>
        <w:right w:val="none" w:sz="0" w:space="0" w:color="auto"/>
      </w:divBdr>
    </w:div>
    <w:div w:id="1010327794">
      <w:bodyDiv w:val="1"/>
      <w:marLeft w:val="0"/>
      <w:marRight w:val="0"/>
      <w:marTop w:val="0"/>
      <w:marBottom w:val="0"/>
      <w:divBdr>
        <w:top w:val="none" w:sz="0" w:space="0" w:color="auto"/>
        <w:left w:val="none" w:sz="0" w:space="0" w:color="auto"/>
        <w:bottom w:val="none" w:sz="0" w:space="0" w:color="auto"/>
        <w:right w:val="none" w:sz="0" w:space="0" w:color="auto"/>
      </w:divBdr>
    </w:div>
    <w:div w:id="1011876955">
      <w:bodyDiv w:val="1"/>
      <w:marLeft w:val="0"/>
      <w:marRight w:val="0"/>
      <w:marTop w:val="0"/>
      <w:marBottom w:val="0"/>
      <w:divBdr>
        <w:top w:val="none" w:sz="0" w:space="0" w:color="auto"/>
        <w:left w:val="none" w:sz="0" w:space="0" w:color="auto"/>
        <w:bottom w:val="none" w:sz="0" w:space="0" w:color="auto"/>
        <w:right w:val="none" w:sz="0" w:space="0" w:color="auto"/>
      </w:divBdr>
    </w:div>
    <w:div w:id="1051345570">
      <w:bodyDiv w:val="1"/>
      <w:marLeft w:val="0"/>
      <w:marRight w:val="0"/>
      <w:marTop w:val="0"/>
      <w:marBottom w:val="0"/>
      <w:divBdr>
        <w:top w:val="none" w:sz="0" w:space="0" w:color="auto"/>
        <w:left w:val="none" w:sz="0" w:space="0" w:color="auto"/>
        <w:bottom w:val="none" w:sz="0" w:space="0" w:color="auto"/>
        <w:right w:val="none" w:sz="0" w:space="0" w:color="auto"/>
      </w:divBdr>
    </w:div>
    <w:div w:id="1106121773">
      <w:bodyDiv w:val="1"/>
      <w:marLeft w:val="0"/>
      <w:marRight w:val="0"/>
      <w:marTop w:val="0"/>
      <w:marBottom w:val="0"/>
      <w:divBdr>
        <w:top w:val="none" w:sz="0" w:space="0" w:color="auto"/>
        <w:left w:val="none" w:sz="0" w:space="0" w:color="auto"/>
        <w:bottom w:val="none" w:sz="0" w:space="0" w:color="auto"/>
        <w:right w:val="none" w:sz="0" w:space="0" w:color="auto"/>
      </w:divBdr>
    </w:div>
    <w:div w:id="1185751457">
      <w:bodyDiv w:val="1"/>
      <w:marLeft w:val="0"/>
      <w:marRight w:val="0"/>
      <w:marTop w:val="0"/>
      <w:marBottom w:val="0"/>
      <w:divBdr>
        <w:top w:val="none" w:sz="0" w:space="0" w:color="auto"/>
        <w:left w:val="none" w:sz="0" w:space="0" w:color="auto"/>
        <w:bottom w:val="none" w:sz="0" w:space="0" w:color="auto"/>
        <w:right w:val="none" w:sz="0" w:space="0" w:color="auto"/>
      </w:divBdr>
    </w:div>
    <w:div w:id="1264192930">
      <w:bodyDiv w:val="1"/>
      <w:marLeft w:val="0"/>
      <w:marRight w:val="0"/>
      <w:marTop w:val="0"/>
      <w:marBottom w:val="0"/>
      <w:divBdr>
        <w:top w:val="none" w:sz="0" w:space="0" w:color="auto"/>
        <w:left w:val="none" w:sz="0" w:space="0" w:color="auto"/>
        <w:bottom w:val="none" w:sz="0" w:space="0" w:color="auto"/>
        <w:right w:val="none" w:sz="0" w:space="0" w:color="auto"/>
      </w:divBdr>
    </w:div>
    <w:div w:id="1325356085">
      <w:bodyDiv w:val="1"/>
      <w:marLeft w:val="0"/>
      <w:marRight w:val="0"/>
      <w:marTop w:val="0"/>
      <w:marBottom w:val="0"/>
      <w:divBdr>
        <w:top w:val="none" w:sz="0" w:space="0" w:color="auto"/>
        <w:left w:val="none" w:sz="0" w:space="0" w:color="auto"/>
        <w:bottom w:val="none" w:sz="0" w:space="0" w:color="auto"/>
        <w:right w:val="none" w:sz="0" w:space="0" w:color="auto"/>
      </w:divBdr>
    </w:div>
    <w:div w:id="1330718921">
      <w:bodyDiv w:val="1"/>
      <w:marLeft w:val="0"/>
      <w:marRight w:val="0"/>
      <w:marTop w:val="0"/>
      <w:marBottom w:val="0"/>
      <w:divBdr>
        <w:top w:val="none" w:sz="0" w:space="0" w:color="auto"/>
        <w:left w:val="none" w:sz="0" w:space="0" w:color="auto"/>
        <w:bottom w:val="none" w:sz="0" w:space="0" w:color="auto"/>
        <w:right w:val="none" w:sz="0" w:space="0" w:color="auto"/>
      </w:divBdr>
    </w:div>
    <w:div w:id="1336565947">
      <w:bodyDiv w:val="1"/>
      <w:marLeft w:val="0"/>
      <w:marRight w:val="0"/>
      <w:marTop w:val="0"/>
      <w:marBottom w:val="0"/>
      <w:divBdr>
        <w:top w:val="none" w:sz="0" w:space="0" w:color="auto"/>
        <w:left w:val="none" w:sz="0" w:space="0" w:color="auto"/>
        <w:bottom w:val="none" w:sz="0" w:space="0" w:color="auto"/>
        <w:right w:val="none" w:sz="0" w:space="0" w:color="auto"/>
      </w:divBdr>
    </w:div>
    <w:div w:id="1529610581">
      <w:bodyDiv w:val="1"/>
      <w:marLeft w:val="0"/>
      <w:marRight w:val="0"/>
      <w:marTop w:val="0"/>
      <w:marBottom w:val="0"/>
      <w:divBdr>
        <w:top w:val="none" w:sz="0" w:space="0" w:color="auto"/>
        <w:left w:val="none" w:sz="0" w:space="0" w:color="auto"/>
        <w:bottom w:val="none" w:sz="0" w:space="0" w:color="auto"/>
        <w:right w:val="none" w:sz="0" w:space="0" w:color="auto"/>
      </w:divBdr>
    </w:div>
    <w:div w:id="1538658088">
      <w:bodyDiv w:val="1"/>
      <w:marLeft w:val="0"/>
      <w:marRight w:val="0"/>
      <w:marTop w:val="0"/>
      <w:marBottom w:val="0"/>
      <w:divBdr>
        <w:top w:val="none" w:sz="0" w:space="0" w:color="auto"/>
        <w:left w:val="none" w:sz="0" w:space="0" w:color="auto"/>
        <w:bottom w:val="none" w:sz="0" w:space="0" w:color="auto"/>
        <w:right w:val="none" w:sz="0" w:space="0" w:color="auto"/>
      </w:divBdr>
    </w:div>
    <w:div w:id="1630669988">
      <w:bodyDiv w:val="1"/>
      <w:marLeft w:val="0"/>
      <w:marRight w:val="0"/>
      <w:marTop w:val="0"/>
      <w:marBottom w:val="0"/>
      <w:divBdr>
        <w:top w:val="none" w:sz="0" w:space="0" w:color="auto"/>
        <w:left w:val="none" w:sz="0" w:space="0" w:color="auto"/>
        <w:bottom w:val="none" w:sz="0" w:space="0" w:color="auto"/>
        <w:right w:val="none" w:sz="0" w:space="0" w:color="auto"/>
      </w:divBdr>
    </w:div>
    <w:div w:id="1656958535">
      <w:bodyDiv w:val="1"/>
      <w:marLeft w:val="0"/>
      <w:marRight w:val="0"/>
      <w:marTop w:val="0"/>
      <w:marBottom w:val="0"/>
      <w:divBdr>
        <w:top w:val="none" w:sz="0" w:space="0" w:color="auto"/>
        <w:left w:val="none" w:sz="0" w:space="0" w:color="auto"/>
        <w:bottom w:val="none" w:sz="0" w:space="0" w:color="auto"/>
        <w:right w:val="none" w:sz="0" w:space="0" w:color="auto"/>
      </w:divBdr>
    </w:div>
    <w:div w:id="1661930972">
      <w:bodyDiv w:val="1"/>
      <w:marLeft w:val="0"/>
      <w:marRight w:val="0"/>
      <w:marTop w:val="0"/>
      <w:marBottom w:val="0"/>
      <w:divBdr>
        <w:top w:val="none" w:sz="0" w:space="0" w:color="auto"/>
        <w:left w:val="none" w:sz="0" w:space="0" w:color="auto"/>
        <w:bottom w:val="none" w:sz="0" w:space="0" w:color="auto"/>
        <w:right w:val="none" w:sz="0" w:space="0" w:color="auto"/>
      </w:divBdr>
    </w:div>
    <w:div w:id="1746027263">
      <w:bodyDiv w:val="1"/>
      <w:marLeft w:val="0"/>
      <w:marRight w:val="0"/>
      <w:marTop w:val="0"/>
      <w:marBottom w:val="0"/>
      <w:divBdr>
        <w:top w:val="none" w:sz="0" w:space="0" w:color="auto"/>
        <w:left w:val="none" w:sz="0" w:space="0" w:color="auto"/>
        <w:bottom w:val="none" w:sz="0" w:space="0" w:color="auto"/>
        <w:right w:val="none" w:sz="0" w:space="0" w:color="auto"/>
      </w:divBdr>
    </w:div>
    <w:div w:id="1987784598">
      <w:bodyDiv w:val="1"/>
      <w:marLeft w:val="0"/>
      <w:marRight w:val="0"/>
      <w:marTop w:val="0"/>
      <w:marBottom w:val="0"/>
      <w:divBdr>
        <w:top w:val="none" w:sz="0" w:space="0" w:color="auto"/>
        <w:left w:val="none" w:sz="0" w:space="0" w:color="auto"/>
        <w:bottom w:val="none" w:sz="0" w:space="0" w:color="auto"/>
        <w:right w:val="none" w:sz="0" w:space="0" w:color="auto"/>
      </w:divBdr>
    </w:div>
    <w:div w:id="2000885441">
      <w:bodyDiv w:val="1"/>
      <w:marLeft w:val="0"/>
      <w:marRight w:val="0"/>
      <w:marTop w:val="0"/>
      <w:marBottom w:val="0"/>
      <w:divBdr>
        <w:top w:val="none" w:sz="0" w:space="0" w:color="auto"/>
        <w:left w:val="none" w:sz="0" w:space="0" w:color="auto"/>
        <w:bottom w:val="none" w:sz="0" w:space="0" w:color="auto"/>
        <w:right w:val="none" w:sz="0" w:space="0" w:color="auto"/>
      </w:divBdr>
    </w:div>
    <w:div w:id="2007124315">
      <w:bodyDiv w:val="1"/>
      <w:marLeft w:val="0"/>
      <w:marRight w:val="0"/>
      <w:marTop w:val="0"/>
      <w:marBottom w:val="0"/>
      <w:divBdr>
        <w:top w:val="none" w:sz="0" w:space="0" w:color="auto"/>
        <w:left w:val="none" w:sz="0" w:space="0" w:color="auto"/>
        <w:bottom w:val="none" w:sz="0" w:space="0" w:color="auto"/>
        <w:right w:val="none" w:sz="0" w:space="0" w:color="auto"/>
      </w:divBdr>
    </w:div>
    <w:div w:id="2023898661">
      <w:bodyDiv w:val="1"/>
      <w:marLeft w:val="0"/>
      <w:marRight w:val="0"/>
      <w:marTop w:val="0"/>
      <w:marBottom w:val="0"/>
      <w:divBdr>
        <w:top w:val="none" w:sz="0" w:space="0" w:color="auto"/>
        <w:left w:val="none" w:sz="0" w:space="0" w:color="auto"/>
        <w:bottom w:val="none" w:sz="0" w:space="0" w:color="auto"/>
        <w:right w:val="none" w:sz="0" w:space="0" w:color="auto"/>
      </w:divBdr>
    </w:div>
    <w:div w:id="204767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header" Target="header3.xml"/><Relationship Id="rId21" Type="http://schemas.openxmlformats.org/officeDocument/2006/relationships/chart" Target="charts/chart11.xml"/><Relationship Id="rId34" Type="http://schemas.openxmlformats.org/officeDocument/2006/relationships/chart" Target="charts/chart22.xml"/><Relationship Id="rId42" Type="http://schemas.openxmlformats.org/officeDocument/2006/relationships/glossaryDocument" Target="glossary/document.xml"/><Relationship Id="rId7" Type="http://schemas.openxmlformats.org/officeDocument/2006/relationships/settings" Target="settings.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41" Type="http://schemas.openxmlformats.org/officeDocument/2006/relationships/fontTable" Target="fontTable.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0.xm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customXml" Target="../customXml/item2.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hart" Target="charts/chart9.xml"/><Relationship Id="rId31" Type="http://schemas.openxmlformats.org/officeDocument/2006/relationships/image" Target="media/image2.png"/><Relationship Id="rId44"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image" Target="media/image1.png"/><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webSettings" Target="webSetting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1.xml"/><Relationship Id="rId38" Type="http://schemas.openxmlformats.org/officeDocument/2006/relationships/footer" Target="footer2.xml"/><Relationship Id="rId46"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ei.se/om-oss/nyheter/2024/2024-04-03-nu-har-ei-beslutat-om-elnatsforetagens-intaktsramar-for-perioden-2024-202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file:///\\fshome2\fshome2share\jn0106aa\H&#246;st%202023\Hush&#229;llens%20konsumtion%20kvartal%202000_2024.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fsgem1.riksdagen.se\fsgem1share\V\Team\Reformteamet\Excel\SKR\SKR%20Statsbidrag%20v&#228;rdes&#228;kring%20april%202024.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fsgem1.riksdagen.se\fsgem1share\V\Team\Reformteamet\Excel\SCB%2021.-resultatrakning-for-regioner-och-regionkoncernen-utfall-per-30-april-2023-samt-prognos-2023_aug.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fsgem1.riksdagen.se\fsgem1share\V\Team\Reformteamet\Excel\Socialstyrelsen%20Nationella%20planeringsst&#246;det%202023%20o%202024.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fsgem1.riksdagen.se\fsgem1share\V\Team\Reformteamet\Excel\Socialstyrelsen%20Nationella%20planeringsst&#246;det%202023%20o%202024.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fsgem1.riksdagen.se\fsgem1share\V\Team\Reformteamet\Excel\SKR\SKR%20Kostnader%20f&#246;r%20hyrpersonal%202023.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fsgem1.riksdagen.se\fsgem1share\V\Team\Reformteamet\Excel\SCB%20P&#229;b&#246;rjade%20l&#228;genheter%20fr&#229;n%201975%20t%202023.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fsgem1.riksdagen.se\fsgem1share\V\Team\Reformteamet\Excel\LO\AF%20arbets&#246;shet%20i%20A-kassor%20feb%202024.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fsgem1.riksdagen.se\fsgem1share\V\Team\Reformteamet\Excel\KI,%20realdisponibelinkomst%20juni%202023.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fsgem1.riksdagen.se\fsgem1share\V\Team\Reformteamet\Excel\SCB%20Levnadsf&#246;rh&#229;llanden%202022-2023.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fsgem1.riksdagen.se\fsgem1share\V\Team\Reformteamet\RUT\2024_482%20JSA%20-%20Bilaga%20-%20Slutleverans.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n0106aa\AppData\Local\Microsoft\Windows\INetCache\Content.Outlook\9TS5MP4K\SCB%20P&#229;b&#246;rjade%20l&#228;genheter%20fr&#229;n%201975%20t%202023.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1" Type="http://schemas.openxmlformats.org/officeDocument/2006/relationships/oleObject" Target="file:///\\fshome2\fshome2share\jn0106aa\H&#246;st%202023\Diagram%20bruttoskuld%202024%20l&#228;nderj&#228;mf&#246;relse.xls" TargetMode="External"/></Relationships>
</file>

<file path=word/charts/_rels/chart21.xml.rels><?xml version="1.0" encoding="UTF-8" standalone="yes"?>
<Relationships xmlns="http://schemas.openxmlformats.org/package/2006/relationships"><Relationship Id="rId3" Type="http://schemas.openxmlformats.org/officeDocument/2006/relationships/oleObject" Target="file:///\\fshome2\fshome2share\jn0106aa\H&#246;st%202023\Diagram%20nettost&#228;llning.xlsx" TargetMode="External"/><Relationship Id="rId2" Type="http://schemas.microsoft.com/office/2011/relationships/chartColorStyle" Target="colors20.xml"/><Relationship Id="rId1" Type="http://schemas.microsoft.com/office/2011/relationships/chartStyle" Target="style20.xml"/></Relationships>
</file>

<file path=word/charts/_rels/chart22.xml.rels><?xml version="1.0" encoding="UTF-8" standalone="yes"?>
<Relationships xmlns="http://schemas.openxmlformats.org/package/2006/relationships"><Relationship Id="rId3" Type="http://schemas.openxmlformats.org/officeDocument/2006/relationships/oleObject" Target="file:///\\fshome3\fshome3share\te0429aa\Arbetsdokument\Documents\Reformteamet\&#197;tg&#228;rder%20f&#246;r%20v&#228;rdefull%20natur,%20v&#229;r&#228;ndringsbudget%202024.xlsx" TargetMode="External"/><Relationship Id="rId2" Type="http://schemas.microsoft.com/office/2011/relationships/chartColorStyle" Target="colors21.xml"/><Relationship Id="rId1" Type="http://schemas.microsoft.com/office/2011/relationships/chartStyle" Target="style21.xml"/></Relationships>
</file>

<file path=word/charts/_rels/chart3.xml.rels><?xml version="1.0" encoding="UTF-8" standalone="yes"?>
<Relationships xmlns="http://schemas.openxmlformats.org/package/2006/relationships"><Relationship Id="rId3" Type="http://schemas.openxmlformats.org/officeDocument/2006/relationships/oleObject" Target="file:///\\fshome2\fshome2share\jn0106aa\H&#246;st%202023\Diagram%20arbetsl&#246;shet%20syss_AKUfebr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n0106aa\Downloads\Diagramunderlag-Konjunkturlaget-Mars-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shome2\fshome2share\jn0106aa\H&#246;st%202023\Diagram%20vinstandel%201980_202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fshome2\fshome2share\jn0106aa\H&#246;st%202023\Diagram%20styrr&#228;nt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fshome2\fshome2share\jn0106aa\H&#246;st%202023\Diagram%20KPIF.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fshome2\fshome2share\jn0106aa\H&#246;st%202023\Kapitalinkomster%20diagram.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fshome2\fshome2share\jn0106aa\H&#246;st%202023\Kopia%20av%20UBS%20Global%20Wealth%20Repor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'F0904'!$B$4</c:f>
              <c:strCache>
                <c:ptCount val="1"/>
                <c:pt idx="0">
                  <c:v>Fasta priser, säsongsrensade värden, procentuell förändring</c:v>
                </c:pt>
              </c:strCache>
            </c:strRef>
          </c:tx>
          <c:spPr>
            <a:solidFill>
              <a:srgbClr val="0070C0"/>
            </a:solidFill>
            <a:ln>
              <a:solidFill>
                <a:srgbClr val="0070C0"/>
              </a:solidFill>
            </a:ln>
            <a:effectLst/>
          </c:spPr>
          <c:invertIfNegative val="0"/>
          <c:cat>
            <c:strRef>
              <c:f>'F0904'!$C$3:$CU$3</c:f>
              <c:strCache>
                <c:ptCount val="97"/>
                <c:pt idx="0">
                  <c:v>2000Q1</c:v>
                </c:pt>
                <c:pt idx="1">
                  <c:v>2000Q2</c:v>
                </c:pt>
                <c:pt idx="2">
                  <c:v>2000Q3</c:v>
                </c:pt>
                <c:pt idx="3">
                  <c:v>2000Q4</c:v>
                </c:pt>
                <c:pt idx="4">
                  <c:v>2001Q1</c:v>
                </c:pt>
                <c:pt idx="5">
                  <c:v>2001Q2</c:v>
                </c:pt>
                <c:pt idx="6">
                  <c:v>2001Q3</c:v>
                </c:pt>
                <c:pt idx="7">
                  <c:v>2001Q4</c:v>
                </c:pt>
                <c:pt idx="8">
                  <c:v>2002Q1</c:v>
                </c:pt>
                <c:pt idx="9">
                  <c:v>2002Q2</c:v>
                </c:pt>
                <c:pt idx="10">
                  <c:v>2002Q3</c:v>
                </c:pt>
                <c:pt idx="11">
                  <c:v>2002Q4</c:v>
                </c:pt>
                <c:pt idx="12">
                  <c:v>2003Q1</c:v>
                </c:pt>
                <c:pt idx="13">
                  <c:v>2003Q2</c:v>
                </c:pt>
                <c:pt idx="14">
                  <c:v>2003Q3</c:v>
                </c:pt>
                <c:pt idx="15">
                  <c:v>2003Q4</c:v>
                </c:pt>
                <c:pt idx="16">
                  <c:v>2004Q1</c:v>
                </c:pt>
                <c:pt idx="17">
                  <c:v>2004Q2</c:v>
                </c:pt>
                <c:pt idx="18">
                  <c:v>2004Q3</c:v>
                </c:pt>
                <c:pt idx="19">
                  <c:v>2004Q4</c:v>
                </c:pt>
                <c:pt idx="20">
                  <c:v>2005Q1</c:v>
                </c:pt>
                <c:pt idx="21">
                  <c:v>2005Q2</c:v>
                </c:pt>
                <c:pt idx="22">
                  <c:v>2005Q3</c:v>
                </c:pt>
                <c:pt idx="23">
                  <c:v>2005Q4</c:v>
                </c:pt>
                <c:pt idx="24">
                  <c:v>2006Q1</c:v>
                </c:pt>
                <c:pt idx="25">
                  <c:v>2006Q2</c:v>
                </c:pt>
                <c:pt idx="26">
                  <c:v>2006Q3</c:v>
                </c:pt>
                <c:pt idx="27">
                  <c:v>2006Q4</c:v>
                </c:pt>
                <c:pt idx="28">
                  <c:v>2007Q1</c:v>
                </c:pt>
                <c:pt idx="29">
                  <c:v>2007Q2</c:v>
                </c:pt>
                <c:pt idx="30">
                  <c:v>2007Q3</c:v>
                </c:pt>
                <c:pt idx="31">
                  <c:v>2007Q4</c:v>
                </c:pt>
                <c:pt idx="32">
                  <c:v>2008Q1</c:v>
                </c:pt>
                <c:pt idx="33">
                  <c:v>2008Q2</c:v>
                </c:pt>
                <c:pt idx="34">
                  <c:v>2008Q3</c:v>
                </c:pt>
                <c:pt idx="35">
                  <c:v>2008Q4</c:v>
                </c:pt>
                <c:pt idx="36">
                  <c:v>2009Q1</c:v>
                </c:pt>
                <c:pt idx="37">
                  <c:v>2009Q2</c:v>
                </c:pt>
                <c:pt idx="38">
                  <c:v>2009Q3</c:v>
                </c:pt>
                <c:pt idx="39">
                  <c:v>2009Q4</c:v>
                </c:pt>
                <c:pt idx="40">
                  <c:v>2010Q1</c:v>
                </c:pt>
                <c:pt idx="41">
                  <c:v>2010Q2</c:v>
                </c:pt>
                <c:pt idx="42">
                  <c:v>2010Q3</c:v>
                </c:pt>
                <c:pt idx="43">
                  <c:v>2010Q4</c:v>
                </c:pt>
                <c:pt idx="44">
                  <c:v>2011Q1</c:v>
                </c:pt>
                <c:pt idx="45">
                  <c:v>2011Q2</c:v>
                </c:pt>
                <c:pt idx="46">
                  <c:v>2011Q3</c:v>
                </c:pt>
                <c:pt idx="47">
                  <c:v>2011Q4</c:v>
                </c:pt>
                <c:pt idx="48">
                  <c:v>2012Q1</c:v>
                </c:pt>
                <c:pt idx="49">
                  <c:v>2012Q2</c:v>
                </c:pt>
                <c:pt idx="50">
                  <c:v>2012Q3</c:v>
                </c:pt>
                <c:pt idx="51">
                  <c:v>2012Q4</c:v>
                </c:pt>
                <c:pt idx="52">
                  <c:v>2013Q1</c:v>
                </c:pt>
                <c:pt idx="53">
                  <c:v>2013Q2</c:v>
                </c:pt>
                <c:pt idx="54">
                  <c:v>2013Q3</c:v>
                </c:pt>
                <c:pt idx="55">
                  <c:v>2013Q4</c:v>
                </c:pt>
                <c:pt idx="56">
                  <c:v>2014Q1</c:v>
                </c:pt>
                <c:pt idx="57">
                  <c:v>2014Q2</c:v>
                </c:pt>
                <c:pt idx="58">
                  <c:v>2014Q3</c:v>
                </c:pt>
                <c:pt idx="59">
                  <c:v>2014Q4</c:v>
                </c:pt>
                <c:pt idx="60">
                  <c:v>2015Q1</c:v>
                </c:pt>
                <c:pt idx="61">
                  <c:v>2015Q2</c:v>
                </c:pt>
                <c:pt idx="62">
                  <c:v>2015Q3</c:v>
                </c:pt>
                <c:pt idx="63">
                  <c:v>2015Q4</c:v>
                </c:pt>
                <c:pt idx="64">
                  <c:v>2016Q1</c:v>
                </c:pt>
                <c:pt idx="65">
                  <c:v>2016Q2</c:v>
                </c:pt>
                <c:pt idx="66">
                  <c:v>2016Q3</c:v>
                </c:pt>
                <c:pt idx="67">
                  <c:v>2016Q4</c:v>
                </c:pt>
                <c:pt idx="68">
                  <c:v>2017Q1</c:v>
                </c:pt>
                <c:pt idx="69">
                  <c:v>2017Q2</c:v>
                </c:pt>
                <c:pt idx="70">
                  <c:v>2017Q3</c:v>
                </c:pt>
                <c:pt idx="71">
                  <c:v>2017Q4</c:v>
                </c:pt>
                <c:pt idx="72">
                  <c:v>2018Q1</c:v>
                </c:pt>
                <c:pt idx="73">
                  <c:v>2018Q2</c:v>
                </c:pt>
                <c:pt idx="74">
                  <c:v>2018Q3</c:v>
                </c:pt>
                <c:pt idx="75">
                  <c:v>2018Q4</c:v>
                </c:pt>
                <c:pt idx="76">
                  <c:v>2019Q1</c:v>
                </c:pt>
                <c:pt idx="77">
                  <c:v>2019Q2</c:v>
                </c:pt>
                <c:pt idx="78">
                  <c:v>2019Q3</c:v>
                </c:pt>
                <c:pt idx="79">
                  <c:v>2019Q4</c:v>
                </c:pt>
                <c:pt idx="80">
                  <c:v>2020Q1</c:v>
                </c:pt>
                <c:pt idx="81">
                  <c:v>2020Q2</c:v>
                </c:pt>
                <c:pt idx="82">
                  <c:v>2020Q3</c:v>
                </c:pt>
                <c:pt idx="83">
                  <c:v>2020Q4</c:v>
                </c:pt>
                <c:pt idx="84">
                  <c:v>2021Q1</c:v>
                </c:pt>
                <c:pt idx="85">
                  <c:v>2021Q2</c:v>
                </c:pt>
                <c:pt idx="86">
                  <c:v>2021Q3</c:v>
                </c:pt>
                <c:pt idx="87">
                  <c:v>2021Q4</c:v>
                </c:pt>
                <c:pt idx="88">
                  <c:v>2022Q1</c:v>
                </c:pt>
                <c:pt idx="89">
                  <c:v>2022Q2</c:v>
                </c:pt>
                <c:pt idx="90">
                  <c:v>2022Q3</c:v>
                </c:pt>
                <c:pt idx="91">
                  <c:v>2022Q4</c:v>
                </c:pt>
                <c:pt idx="92">
                  <c:v>2023Q1</c:v>
                </c:pt>
                <c:pt idx="93">
                  <c:v>2023Q2</c:v>
                </c:pt>
                <c:pt idx="94">
                  <c:v>2023Q3</c:v>
                </c:pt>
                <c:pt idx="95">
                  <c:v>2023Q4</c:v>
                </c:pt>
                <c:pt idx="96">
                  <c:v>2024Q1</c:v>
                </c:pt>
              </c:strCache>
            </c:strRef>
          </c:cat>
          <c:val>
            <c:numRef>
              <c:f>'F0904'!$C$4:$CU$4</c:f>
              <c:numCache>
                <c:formatCode>0.0</c:formatCode>
                <c:ptCount val="97"/>
                <c:pt idx="0">
                  <c:v>1.2</c:v>
                </c:pt>
                <c:pt idx="1">
                  <c:v>1.6</c:v>
                </c:pt>
                <c:pt idx="2">
                  <c:v>0.4</c:v>
                </c:pt>
                <c:pt idx="3">
                  <c:v>-0.3</c:v>
                </c:pt>
                <c:pt idx="4">
                  <c:v>0.4</c:v>
                </c:pt>
                <c:pt idx="5">
                  <c:v>0.1</c:v>
                </c:pt>
                <c:pt idx="6">
                  <c:v>0.2</c:v>
                </c:pt>
                <c:pt idx="7">
                  <c:v>-0.5</c:v>
                </c:pt>
                <c:pt idx="8">
                  <c:v>2</c:v>
                </c:pt>
                <c:pt idx="9">
                  <c:v>0.3</c:v>
                </c:pt>
                <c:pt idx="10">
                  <c:v>0.1</c:v>
                </c:pt>
                <c:pt idx="11">
                  <c:v>0.7</c:v>
                </c:pt>
                <c:pt idx="12">
                  <c:v>0.1</c:v>
                </c:pt>
                <c:pt idx="13">
                  <c:v>0.2</c:v>
                </c:pt>
                <c:pt idx="14">
                  <c:v>1.2</c:v>
                </c:pt>
                <c:pt idx="15">
                  <c:v>0.5</c:v>
                </c:pt>
                <c:pt idx="16">
                  <c:v>1.4</c:v>
                </c:pt>
                <c:pt idx="17">
                  <c:v>-0.6</c:v>
                </c:pt>
                <c:pt idx="18">
                  <c:v>1.2</c:v>
                </c:pt>
                <c:pt idx="19">
                  <c:v>0.8</c:v>
                </c:pt>
                <c:pt idx="20">
                  <c:v>0.6</c:v>
                </c:pt>
                <c:pt idx="21">
                  <c:v>0.7</c:v>
                </c:pt>
                <c:pt idx="22">
                  <c:v>1.5</c:v>
                </c:pt>
                <c:pt idx="23">
                  <c:v>0.7</c:v>
                </c:pt>
                <c:pt idx="24">
                  <c:v>0.2</c:v>
                </c:pt>
                <c:pt idx="25">
                  <c:v>1.1000000000000001</c:v>
                </c:pt>
                <c:pt idx="26">
                  <c:v>0.4</c:v>
                </c:pt>
                <c:pt idx="27">
                  <c:v>1.3</c:v>
                </c:pt>
                <c:pt idx="28">
                  <c:v>0.7</c:v>
                </c:pt>
                <c:pt idx="29">
                  <c:v>0.7</c:v>
                </c:pt>
                <c:pt idx="30">
                  <c:v>1.9</c:v>
                </c:pt>
                <c:pt idx="31">
                  <c:v>1.1000000000000001</c:v>
                </c:pt>
                <c:pt idx="32">
                  <c:v>-1</c:v>
                </c:pt>
                <c:pt idx="33">
                  <c:v>0.1</c:v>
                </c:pt>
                <c:pt idx="34">
                  <c:v>-0.7</c:v>
                </c:pt>
                <c:pt idx="35">
                  <c:v>-1.1000000000000001</c:v>
                </c:pt>
                <c:pt idx="36">
                  <c:v>1</c:v>
                </c:pt>
                <c:pt idx="37">
                  <c:v>1</c:v>
                </c:pt>
                <c:pt idx="38">
                  <c:v>0.6</c:v>
                </c:pt>
                <c:pt idx="39">
                  <c:v>0.4</c:v>
                </c:pt>
                <c:pt idx="40">
                  <c:v>2.4</c:v>
                </c:pt>
                <c:pt idx="41">
                  <c:v>0</c:v>
                </c:pt>
                <c:pt idx="42">
                  <c:v>1.4</c:v>
                </c:pt>
                <c:pt idx="43">
                  <c:v>0.7</c:v>
                </c:pt>
                <c:pt idx="44">
                  <c:v>0.4</c:v>
                </c:pt>
                <c:pt idx="45">
                  <c:v>0.9</c:v>
                </c:pt>
                <c:pt idx="46">
                  <c:v>-0.4</c:v>
                </c:pt>
                <c:pt idx="47">
                  <c:v>-0.3</c:v>
                </c:pt>
                <c:pt idx="48">
                  <c:v>0.7</c:v>
                </c:pt>
                <c:pt idx="49">
                  <c:v>-0.1</c:v>
                </c:pt>
                <c:pt idx="50">
                  <c:v>0.6</c:v>
                </c:pt>
                <c:pt idx="51">
                  <c:v>0.3</c:v>
                </c:pt>
                <c:pt idx="52">
                  <c:v>0.4</c:v>
                </c:pt>
                <c:pt idx="53">
                  <c:v>0.3</c:v>
                </c:pt>
                <c:pt idx="54">
                  <c:v>1</c:v>
                </c:pt>
                <c:pt idx="55">
                  <c:v>0.6</c:v>
                </c:pt>
                <c:pt idx="56">
                  <c:v>0.7</c:v>
                </c:pt>
                <c:pt idx="57">
                  <c:v>1.3</c:v>
                </c:pt>
                <c:pt idx="58">
                  <c:v>-0.1</c:v>
                </c:pt>
                <c:pt idx="59">
                  <c:v>1.1000000000000001</c:v>
                </c:pt>
                <c:pt idx="60">
                  <c:v>1.4</c:v>
                </c:pt>
                <c:pt idx="61">
                  <c:v>0.6</c:v>
                </c:pt>
                <c:pt idx="62">
                  <c:v>1.2</c:v>
                </c:pt>
                <c:pt idx="63">
                  <c:v>1</c:v>
                </c:pt>
                <c:pt idx="64">
                  <c:v>0.6</c:v>
                </c:pt>
                <c:pt idx="65">
                  <c:v>-0.4</c:v>
                </c:pt>
                <c:pt idx="66">
                  <c:v>0.9</c:v>
                </c:pt>
                <c:pt idx="67">
                  <c:v>0.3</c:v>
                </c:pt>
                <c:pt idx="68">
                  <c:v>1.5</c:v>
                </c:pt>
                <c:pt idx="69">
                  <c:v>0.1</c:v>
                </c:pt>
                <c:pt idx="70">
                  <c:v>0.5</c:v>
                </c:pt>
                <c:pt idx="71">
                  <c:v>0.5</c:v>
                </c:pt>
                <c:pt idx="72">
                  <c:v>1</c:v>
                </c:pt>
                <c:pt idx="73">
                  <c:v>0.5</c:v>
                </c:pt>
                <c:pt idx="74">
                  <c:v>-0.9</c:v>
                </c:pt>
                <c:pt idx="75">
                  <c:v>0.8</c:v>
                </c:pt>
                <c:pt idx="76">
                  <c:v>-0.3</c:v>
                </c:pt>
                <c:pt idx="77">
                  <c:v>0.6</c:v>
                </c:pt>
                <c:pt idx="78">
                  <c:v>0.2</c:v>
                </c:pt>
                <c:pt idx="79">
                  <c:v>0.7</c:v>
                </c:pt>
                <c:pt idx="80">
                  <c:v>0.2</c:v>
                </c:pt>
                <c:pt idx="81">
                  <c:v>-9</c:v>
                </c:pt>
                <c:pt idx="82">
                  <c:v>5.7</c:v>
                </c:pt>
                <c:pt idx="83">
                  <c:v>0.2</c:v>
                </c:pt>
                <c:pt idx="84">
                  <c:v>2.6</c:v>
                </c:pt>
                <c:pt idx="85">
                  <c:v>1.2</c:v>
                </c:pt>
                <c:pt idx="86">
                  <c:v>3.7</c:v>
                </c:pt>
                <c:pt idx="87">
                  <c:v>1.1000000000000001</c:v>
                </c:pt>
                <c:pt idx="88">
                  <c:v>-0.6</c:v>
                </c:pt>
                <c:pt idx="89">
                  <c:v>1.5</c:v>
                </c:pt>
                <c:pt idx="90">
                  <c:v>-1.3</c:v>
                </c:pt>
                <c:pt idx="91">
                  <c:v>-1.3</c:v>
                </c:pt>
                <c:pt idx="92">
                  <c:v>-0.9</c:v>
                </c:pt>
                <c:pt idx="93">
                  <c:v>-0.3</c:v>
                </c:pt>
                <c:pt idx="94">
                  <c:v>-0.5</c:v>
                </c:pt>
                <c:pt idx="95">
                  <c:v>0.7</c:v>
                </c:pt>
                <c:pt idx="96">
                  <c:v>0.2</c:v>
                </c:pt>
              </c:numCache>
            </c:numRef>
          </c:val>
          <c:extLst>
            <c:ext xmlns:c16="http://schemas.microsoft.com/office/drawing/2014/chart" uri="{C3380CC4-5D6E-409C-BE32-E72D297353CC}">
              <c16:uniqueId val="{00000000-C9FD-407B-9DC1-DFFAD11852A3}"/>
            </c:ext>
          </c:extLst>
        </c:ser>
        <c:dLbls>
          <c:showLegendKey val="0"/>
          <c:showVal val="0"/>
          <c:showCatName val="0"/>
          <c:showSerName val="0"/>
          <c:showPercent val="0"/>
          <c:showBubbleSize val="0"/>
        </c:dLbls>
        <c:gapWidth val="219"/>
        <c:overlap val="-27"/>
        <c:axId val="841127376"/>
        <c:axId val="841129672"/>
      </c:barChart>
      <c:catAx>
        <c:axId val="84112737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841129672"/>
        <c:crosses val="autoZero"/>
        <c:auto val="1"/>
        <c:lblAlgn val="ctr"/>
        <c:lblOffset val="100"/>
        <c:noMultiLvlLbl val="0"/>
      </c:catAx>
      <c:valAx>
        <c:axId val="84112967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8411273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0"/>
          <c:tx>
            <c:strRef>
              <c:f>'Statsbidragens utveckling'!$A$28</c:f>
              <c:strCache>
                <c:ptCount val="1"/>
                <c:pt idx="0">
                  <c:v>Generella statsbidrag</c:v>
                </c:pt>
              </c:strCache>
            </c:strRef>
          </c:tx>
          <c:spPr>
            <a:solidFill>
              <a:srgbClr val="FF0000"/>
            </a:solidFill>
            <a:ln>
              <a:solidFill>
                <a:srgbClr val="FF0000"/>
              </a:solidFill>
            </a:ln>
            <a:effectLst/>
          </c:spPr>
          <c:invertIfNegative val="0"/>
          <c:cat>
            <c:numRef>
              <c:f>'Statsbidragens utveckling'!$C$57:$P$57</c:f>
              <c:numCache>
                <c:formatCode>General</c:formatCode>
                <c:ptCount val="14"/>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numCache>
            </c:numRef>
          </c:cat>
          <c:val>
            <c:numRef>
              <c:f>'Statsbidragens utveckling'!$C$28:$P$28</c:f>
              <c:numCache>
                <c:formatCode>0</c:formatCode>
                <c:ptCount val="14"/>
                <c:pt idx="0">
                  <c:v>125.61744400000003</c:v>
                </c:pt>
                <c:pt idx="1">
                  <c:v>124.01344400000002</c:v>
                </c:pt>
                <c:pt idx="2">
                  <c:v>124.81144400000002</c:v>
                </c:pt>
                <c:pt idx="3">
                  <c:v>126.62514400000002</c:v>
                </c:pt>
                <c:pt idx="4">
                  <c:v>128.78736438199999</c:v>
                </c:pt>
                <c:pt idx="5">
                  <c:v>135.04234400000001</c:v>
                </c:pt>
                <c:pt idx="6">
                  <c:v>141.363744</c:v>
                </c:pt>
                <c:pt idx="7">
                  <c:v>142.80986624899998</c:v>
                </c:pt>
                <c:pt idx="8">
                  <c:v>146.56005617999998</c:v>
                </c:pt>
                <c:pt idx="9">
                  <c:v>178.86046117000001</c:v>
                </c:pt>
                <c:pt idx="10">
                  <c:v>178.25960359600001</c:v>
                </c:pt>
                <c:pt idx="11">
                  <c:v>177.149486</c:v>
                </c:pt>
                <c:pt idx="12">
                  <c:v>177.44948599999998</c:v>
                </c:pt>
                <c:pt idx="13">
                  <c:v>191</c:v>
                </c:pt>
              </c:numCache>
            </c:numRef>
          </c:val>
          <c:extLst>
            <c:ext xmlns:c16="http://schemas.microsoft.com/office/drawing/2014/chart" uri="{C3380CC4-5D6E-409C-BE32-E72D297353CC}">
              <c16:uniqueId val="{00000000-1A8B-484B-ABAB-11EAD3849C4E}"/>
            </c:ext>
          </c:extLst>
        </c:ser>
        <c:ser>
          <c:idx val="2"/>
          <c:order val="1"/>
          <c:tx>
            <c:strRef>
              <c:f>'Statsbidragens utveckling'!$A$33</c:f>
              <c:strCache>
                <c:ptCount val="1"/>
                <c:pt idx="0">
                  <c:v>Värdesäkrade generella statsbidrag</c:v>
                </c:pt>
              </c:strCache>
            </c:strRef>
          </c:tx>
          <c:spPr>
            <a:gradFill flip="none" rotWithShape="1">
              <a:gsLst>
                <a:gs pos="0">
                  <a:schemeClr val="bg1">
                    <a:lumMod val="50000"/>
                    <a:tint val="66000"/>
                    <a:satMod val="160000"/>
                  </a:schemeClr>
                </a:gs>
                <a:gs pos="50000">
                  <a:schemeClr val="bg1">
                    <a:lumMod val="50000"/>
                    <a:tint val="44500"/>
                    <a:satMod val="160000"/>
                  </a:schemeClr>
                </a:gs>
                <a:gs pos="100000">
                  <a:schemeClr val="bg1">
                    <a:lumMod val="50000"/>
                    <a:tint val="23500"/>
                    <a:satMod val="160000"/>
                  </a:schemeClr>
                </a:gs>
              </a:gsLst>
              <a:lin ang="2700000" scaled="1"/>
              <a:tileRect/>
            </a:gradFill>
            <a:ln>
              <a:solidFill>
                <a:schemeClr val="bg1">
                  <a:lumMod val="50000"/>
                </a:schemeClr>
              </a:solidFill>
            </a:ln>
            <a:effectLst/>
          </c:spPr>
          <c:invertIfNegative val="0"/>
          <c:cat>
            <c:numRef>
              <c:f>'Statsbidragens utveckling'!$C$57:$P$57</c:f>
              <c:numCache>
                <c:formatCode>General</c:formatCode>
                <c:ptCount val="14"/>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numCache>
            </c:numRef>
          </c:cat>
          <c:val>
            <c:numRef>
              <c:f>'Statsbidragens utveckling'!$C$60:$P$60</c:f>
              <c:numCache>
                <c:formatCode>0</c:formatCode>
                <c:ptCount val="14"/>
                <c:pt idx="0">
                  <c:v>0</c:v>
                </c:pt>
                <c:pt idx="1">
                  <c:v>5.0666101210041745</c:v>
                </c:pt>
                <c:pt idx="2">
                  <c:v>8.8612662087402043</c:v>
                </c:pt>
                <c:pt idx="3">
                  <c:v>11.935666930186173</c:v>
                </c:pt>
                <c:pt idx="4">
                  <c:v>15.153620758729573</c:v>
                </c:pt>
                <c:pt idx="5">
                  <c:v>15.097087825615858</c:v>
                </c:pt>
                <c:pt idx="6">
                  <c:v>16.413488244950599</c:v>
                </c:pt>
                <c:pt idx="7">
                  <c:v>22.727742721335886</c:v>
                </c:pt>
                <c:pt idx="8">
                  <c:v>25.422730416831257</c:v>
                </c:pt>
                <c:pt idx="9">
                  <c:v>-2.781205211531784</c:v>
                </c:pt>
                <c:pt idx="10">
                  <c:v>4.3109924728731244</c:v>
                </c:pt>
                <c:pt idx="11">
                  <c:v>15.485074684839844</c:v>
                </c:pt>
                <c:pt idx="12">
                  <c:v>29.436159587258572</c:v>
                </c:pt>
                <c:pt idx="13">
                  <c:v>26.329904958183732</c:v>
                </c:pt>
              </c:numCache>
            </c:numRef>
          </c:val>
          <c:extLst>
            <c:ext xmlns:c16="http://schemas.microsoft.com/office/drawing/2014/chart" uri="{C3380CC4-5D6E-409C-BE32-E72D297353CC}">
              <c16:uniqueId val="{00000001-1A8B-484B-ABAB-11EAD3849C4E}"/>
            </c:ext>
          </c:extLst>
        </c:ser>
        <c:dLbls>
          <c:showLegendKey val="0"/>
          <c:showVal val="0"/>
          <c:showCatName val="0"/>
          <c:showSerName val="0"/>
          <c:showPercent val="0"/>
          <c:showBubbleSize val="0"/>
        </c:dLbls>
        <c:gapWidth val="219"/>
        <c:overlap val="100"/>
        <c:axId val="822601360"/>
        <c:axId val="822604968"/>
      </c:barChart>
      <c:catAx>
        <c:axId val="822601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822604968"/>
        <c:crosses val="autoZero"/>
        <c:auto val="1"/>
        <c:lblAlgn val="ctr"/>
        <c:lblOffset val="100"/>
        <c:noMultiLvlLbl val="0"/>
      </c:catAx>
      <c:valAx>
        <c:axId val="822604968"/>
        <c:scaling>
          <c:orientation val="minMax"/>
          <c:min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sv-SE"/>
                  <a:t>Miljarder kronor</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822601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i="0" baseline="0"/>
      </a:pPr>
      <a:endParaRPr lang="sv-SE"/>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1"/>
          <c:tx>
            <c:strRef>
              <c:f>'Utfall regioner 2023'!$M$3</c:f>
              <c:strCache>
                <c:ptCount val="1"/>
                <c:pt idx="0">
                  <c:v>årets resultat</c:v>
                </c:pt>
              </c:strCache>
            </c:strRef>
          </c:tx>
          <c:spPr>
            <a:solidFill>
              <a:schemeClr val="bg1">
                <a:lumMod val="50000"/>
              </a:schemeClr>
            </a:solidFill>
            <a:ln>
              <a:solidFill>
                <a:schemeClr val="bg1">
                  <a:lumMod val="50000"/>
                </a:schemeClr>
              </a:solidFill>
            </a:ln>
            <a:effectLst/>
          </c:spPr>
          <c:invertIfNegative val="0"/>
          <c:cat>
            <c:strRef>
              <c:f>'Utfall regioner 2023'!$B$4:$B$24</c:f>
              <c:strCache>
                <c:ptCount val="21"/>
                <c:pt idx="0">
                  <c:v>Skåne</c:v>
                </c:pt>
                <c:pt idx="1">
                  <c:v>Östergötland</c:v>
                </c:pt>
                <c:pt idx="2">
                  <c:v>Västra Götaland</c:v>
                </c:pt>
                <c:pt idx="3">
                  <c:v>Sörmland</c:v>
                </c:pt>
                <c:pt idx="4">
                  <c:v>Stockholm</c:v>
                </c:pt>
                <c:pt idx="5">
                  <c:v>Örebro län</c:v>
                </c:pt>
                <c:pt idx="6">
                  <c:v>Västerbotten</c:v>
                </c:pt>
                <c:pt idx="7">
                  <c:v>Jämtland Härjedalen</c:v>
                </c:pt>
                <c:pt idx="8">
                  <c:v>Västernorrland</c:v>
                </c:pt>
                <c:pt idx="9">
                  <c:v>Gävleborg</c:v>
                </c:pt>
                <c:pt idx="10">
                  <c:v>Västmanland</c:v>
                </c:pt>
                <c:pt idx="11">
                  <c:v>Värmland</c:v>
                </c:pt>
                <c:pt idx="12">
                  <c:v>Dalarna</c:v>
                </c:pt>
                <c:pt idx="13">
                  <c:v>Blekinge</c:v>
                </c:pt>
                <c:pt idx="14">
                  <c:v>Uppsala</c:v>
                </c:pt>
                <c:pt idx="15">
                  <c:v>Kalmar län</c:v>
                </c:pt>
                <c:pt idx="16">
                  <c:v>Gotland</c:v>
                </c:pt>
                <c:pt idx="17">
                  <c:v>Kronoberg</c:v>
                </c:pt>
                <c:pt idx="18">
                  <c:v>Jönköpings län</c:v>
                </c:pt>
                <c:pt idx="19">
                  <c:v>Norrbotten</c:v>
                </c:pt>
                <c:pt idx="20">
                  <c:v>Halland</c:v>
                </c:pt>
              </c:strCache>
            </c:strRef>
          </c:cat>
          <c:val>
            <c:numRef>
              <c:f>'Utfall regioner 2023'!$M$4:$M$23</c:f>
              <c:numCache>
                <c:formatCode>#,##0</c:formatCode>
                <c:ptCount val="20"/>
                <c:pt idx="0">
                  <c:v>-3832</c:v>
                </c:pt>
                <c:pt idx="1">
                  <c:v>-1415</c:v>
                </c:pt>
                <c:pt idx="2">
                  <c:v>-1090</c:v>
                </c:pt>
                <c:pt idx="3">
                  <c:v>-961</c:v>
                </c:pt>
                <c:pt idx="4">
                  <c:v>-954</c:v>
                </c:pt>
                <c:pt idx="5">
                  <c:v>-839</c:v>
                </c:pt>
                <c:pt idx="6">
                  <c:v>-668</c:v>
                </c:pt>
                <c:pt idx="7">
                  <c:v>-512</c:v>
                </c:pt>
                <c:pt idx="8">
                  <c:v>-396</c:v>
                </c:pt>
                <c:pt idx="9">
                  <c:v>-314</c:v>
                </c:pt>
                <c:pt idx="10">
                  <c:v>-308</c:v>
                </c:pt>
                <c:pt idx="11">
                  <c:v>-272</c:v>
                </c:pt>
                <c:pt idx="12">
                  <c:v>-253</c:v>
                </c:pt>
                <c:pt idx="13">
                  <c:v>-230</c:v>
                </c:pt>
                <c:pt idx="14">
                  <c:v>-71</c:v>
                </c:pt>
                <c:pt idx="15">
                  <c:v>-61</c:v>
                </c:pt>
                <c:pt idx="16">
                  <c:v>-1</c:v>
                </c:pt>
                <c:pt idx="17">
                  <c:v>0</c:v>
                </c:pt>
                <c:pt idx="18">
                  <c:v>62</c:v>
                </c:pt>
                <c:pt idx="19">
                  <c:v>69</c:v>
                </c:pt>
              </c:numCache>
            </c:numRef>
          </c:val>
          <c:extLst>
            <c:ext xmlns:c16="http://schemas.microsoft.com/office/drawing/2014/chart" uri="{C3380CC4-5D6E-409C-BE32-E72D297353CC}">
              <c16:uniqueId val="{00000000-E5C1-45E7-9CF3-17F87F0B5894}"/>
            </c:ext>
          </c:extLst>
        </c:ser>
        <c:dLbls>
          <c:showLegendKey val="0"/>
          <c:showVal val="0"/>
          <c:showCatName val="0"/>
          <c:showSerName val="0"/>
          <c:showPercent val="0"/>
          <c:showBubbleSize val="0"/>
        </c:dLbls>
        <c:gapWidth val="219"/>
        <c:axId val="676529880"/>
        <c:axId val="676530208"/>
      </c:barChart>
      <c:lineChart>
        <c:grouping val="stacked"/>
        <c:varyColors val="0"/>
        <c:ser>
          <c:idx val="1"/>
          <c:order val="0"/>
          <c:tx>
            <c:strRef>
              <c:f>'Utfall regioner 2023'!$O$3</c:f>
              <c:strCache>
                <c:ptCount val="1"/>
                <c:pt idx="0">
                  <c:v>resultat i procent av skatter och generella bidrag</c:v>
                </c:pt>
              </c:strCache>
            </c:strRef>
          </c:tx>
          <c:spPr>
            <a:ln w="28575" cap="rnd">
              <a:noFill/>
              <a:round/>
            </a:ln>
            <a:effectLst/>
          </c:spPr>
          <c:marker>
            <c:symbol val="circle"/>
            <c:size val="5"/>
            <c:spPr>
              <a:solidFill>
                <a:srgbClr val="FF0000"/>
              </a:solidFill>
              <a:ln w="9525">
                <a:solidFill>
                  <a:srgbClr val="FF0000"/>
                </a:solidFill>
              </a:ln>
              <a:effectLst/>
            </c:spPr>
          </c:marker>
          <c:cat>
            <c:strRef>
              <c:f>'Utfall regioner 2023'!$B$4:$B$24</c:f>
              <c:strCache>
                <c:ptCount val="21"/>
                <c:pt idx="0">
                  <c:v>Skåne</c:v>
                </c:pt>
                <c:pt idx="1">
                  <c:v>Östergötland</c:v>
                </c:pt>
                <c:pt idx="2">
                  <c:v>Västra Götaland</c:v>
                </c:pt>
                <c:pt idx="3">
                  <c:v>Sörmland</c:v>
                </c:pt>
                <c:pt idx="4">
                  <c:v>Stockholm</c:v>
                </c:pt>
                <c:pt idx="5">
                  <c:v>Örebro län</c:v>
                </c:pt>
                <c:pt idx="6">
                  <c:v>Västerbotten</c:v>
                </c:pt>
                <c:pt idx="7">
                  <c:v>Jämtland Härjedalen</c:v>
                </c:pt>
                <c:pt idx="8">
                  <c:v>Västernorrland</c:v>
                </c:pt>
                <c:pt idx="9">
                  <c:v>Gävleborg</c:v>
                </c:pt>
                <c:pt idx="10">
                  <c:v>Västmanland</c:v>
                </c:pt>
                <c:pt idx="11">
                  <c:v>Värmland</c:v>
                </c:pt>
                <c:pt idx="12">
                  <c:v>Dalarna</c:v>
                </c:pt>
                <c:pt idx="13">
                  <c:v>Blekinge</c:v>
                </c:pt>
                <c:pt idx="14">
                  <c:v>Uppsala</c:v>
                </c:pt>
                <c:pt idx="15">
                  <c:v>Kalmar län</c:v>
                </c:pt>
                <c:pt idx="16">
                  <c:v>Gotland</c:v>
                </c:pt>
                <c:pt idx="17">
                  <c:v>Kronoberg</c:v>
                </c:pt>
                <c:pt idx="18">
                  <c:v>Jönköpings län</c:v>
                </c:pt>
                <c:pt idx="19">
                  <c:v>Norrbotten</c:v>
                </c:pt>
                <c:pt idx="20">
                  <c:v>Halland</c:v>
                </c:pt>
              </c:strCache>
            </c:strRef>
          </c:cat>
          <c:val>
            <c:numRef>
              <c:f>'Utfall regioner 2023'!$O$4:$O$24</c:f>
              <c:numCache>
                <c:formatCode>0.00</c:formatCode>
                <c:ptCount val="21"/>
                <c:pt idx="0">
                  <c:v>-7.4464157323021321E-2</c:v>
                </c:pt>
                <c:pt idx="1">
                  <c:v>-7.932948365756573E-2</c:v>
                </c:pt>
                <c:pt idx="2">
                  <c:v>-1.6497154619203293E-2</c:v>
                </c:pt>
                <c:pt idx="3">
                  <c:v>-8.6296695402298854E-2</c:v>
                </c:pt>
                <c:pt idx="4">
                  <c:v>-9.8322133817042509E-3</c:v>
                </c:pt>
                <c:pt idx="5">
                  <c:v>-7.1216365334012391E-2</c:v>
                </c:pt>
                <c:pt idx="6">
                  <c:v>-6.4429012345679007E-2</c:v>
                </c:pt>
                <c:pt idx="7">
                  <c:v>-9.4674556213017749E-2</c:v>
                </c:pt>
                <c:pt idx="8">
                  <c:v>-4.2316734344945504E-2</c:v>
                </c:pt>
                <c:pt idx="9">
                  <c:v>-2.751248576185052E-2</c:v>
                </c:pt>
                <c:pt idx="10">
                  <c:v>-3.031794467959445E-2</c:v>
                </c:pt>
                <c:pt idx="11">
                  <c:v>-2.4075057532306602E-2</c:v>
                </c:pt>
                <c:pt idx="12">
                  <c:v>-2.1655396730291876E-2</c:v>
                </c:pt>
                <c:pt idx="13">
                  <c:v>-3.5109143642192031E-2</c:v>
                </c:pt>
                <c:pt idx="14">
                  <c:v>-4.7022981654414198E-3</c:v>
                </c:pt>
                <c:pt idx="15">
                  <c:v>-6.1140623433897966E-3</c:v>
                </c:pt>
                <c:pt idx="16">
                  <c:v>-4.1684035014589413E-4</c:v>
                </c:pt>
                <c:pt idx="17">
                  <c:v>0</c:v>
                </c:pt>
                <c:pt idx="18">
                  <c:v>4.3652749419136804E-3</c:v>
                </c:pt>
                <c:pt idx="19">
                  <c:v>6.7382812500000003E-3</c:v>
                </c:pt>
                <c:pt idx="20">
                  <c:v>2.004008016032064E-2</c:v>
                </c:pt>
              </c:numCache>
            </c:numRef>
          </c:val>
          <c:smooth val="0"/>
          <c:extLst>
            <c:ext xmlns:c16="http://schemas.microsoft.com/office/drawing/2014/chart" uri="{C3380CC4-5D6E-409C-BE32-E72D297353CC}">
              <c16:uniqueId val="{00000001-E5C1-45E7-9CF3-17F87F0B5894}"/>
            </c:ext>
          </c:extLst>
        </c:ser>
        <c:dLbls>
          <c:showLegendKey val="0"/>
          <c:showVal val="0"/>
          <c:showCatName val="0"/>
          <c:showSerName val="0"/>
          <c:showPercent val="0"/>
          <c:showBubbleSize val="0"/>
        </c:dLbls>
        <c:marker val="1"/>
        <c:smooth val="0"/>
        <c:axId val="676536768"/>
        <c:axId val="676545624"/>
      </c:lineChart>
      <c:catAx>
        <c:axId val="67652988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76530208"/>
        <c:crosses val="autoZero"/>
        <c:auto val="1"/>
        <c:lblAlgn val="ctr"/>
        <c:lblOffset val="100"/>
        <c:noMultiLvlLbl val="0"/>
      </c:catAx>
      <c:valAx>
        <c:axId val="6765302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76529880"/>
        <c:crosses val="autoZero"/>
        <c:crossBetween val="between"/>
      </c:valAx>
      <c:valAx>
        <c:axId val="676545624"/>
        <c:scaling>
          <c:orientation val="minMax"/>
          <c:max val="1.0000000000000002E-2"/>
          <c:min val="-0.1"/>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76536768"/>
        <c:crosses val="max"/>
        <c:crossBetween val="between"/>
        <c:majorUnit val="1.0000000000000002E-2"/>
        <c:minorUnit val="1.0000000000000003E-4"/>
      </c:valAx>
      <c:catAx>
        <c:axId val="676536768"/>
        <c:scaling>
          <c:orientation val="minMax"/>
        </c:scaling>
        <c:delete val="1"/>
        <c:axPos val="b"/>
        <c:numFmt formatCode="General" sourceLinked="1"/>
        <c:majorTickMark val="out"/>
        <c:minorTickMark val="none"/>
        <c:tickLblPos val="nextTo"/>
        <c:crossAx val="67654562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'Brist 2024'!$J$6</c:f>
              <c:strCache>
                <c:ptCount val="1"/>
                <c:pt idx="0">
                  <c:v>2019</c:v>
                </c:pt>
              </c:strCache>
            </c:strRef>
          </c:tx>
          <c:spPr>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5400000" scaled="1"/>
              <a:tileRect/>
            </a:gradFill>
            <a:ln>
              <a:noFill/>
            </a:ln>
            <a:effectLst/>
          </c:spPr>
          <c:invertIfNegative val="0"/>
          <c:cat>
            <c:strRef>
              <c:f>('Brist 2024'!$I$13,'Brist 2024'!$I$15:$I$16,'Brist 2024'!$I$18)</c:f>
              <c:strCache>
                <c:ptCount val="4"/>
                <c:pt idx="0">
                  <c:v>Distriktssköterska</c:v>
                </c:pt>
                <c:pt idx="1">
                  <c:v>Sjuksköterskor, anestesi-intensivvård</c:v>
                </c:pt>
                <c:pt idx="2">
                  <c:v>Specialistsjuksköterska, psykiatri</c:v>
                </c:pt>
                <c:pt idx="3">
                  <c:v>Röntgensjuksköterska</c:v>
                </c:pt>
              </c:strCache>
              <c:extLst/>
            </c:strRef>
          </c:cat>
          <c:val>
            <c:numRef>
              <c:f>('Brist 2024'!$J$13,'Brist 2024'!$J$15:$J$16,'Brist 2024'!$J$18)</c:f>
              <c:numCache>
                <c:formatCode>General</c:formatCode>
                <c:ptCount val="4"/>
                <c:pt idx="0">
                  <c:v>71</c:v>
                </c:pt>
                <c:pt idx="1">
                  <c:v>85</c:v>
                </c:pt>
                <c:pt idx="2">
                  <c:v>87</c:v>
                </c:pt>
                <c:pt idx="3">
                  <c:v>84</c:v>
                </c:pt>
              </c:numCache>
              <c:extLst/>
            </c:numRef>
          </c:val>
          <c:extLst>
            <c:ext xmlns:c16="http://schemas.microsoft.com/office/drawing/2014/chart" uri="{C3380CC4-5D6E-409C-BE32-E72D297353CC}">
              <c16:uniqueId val="{00000000-7757-465A-B742-661D43AAAA35}"/>
            </c:ext>
          </c:extLst>
        </c:ser>
        <c:ser>
          <c:idx val="1"/>
          <c:order val="1"/>
          <c:tx>
            <c:strRef>
              <c:f>'Brist 2024'!$K$6</c:f>
              <c:strCache>
                <c:ptCount val="1"/>
                <c:pt idx="0">
                  <c:v>2023</c:v>
                </c:pt>
              </c:strCache>
            </c:strRef>
          </c:tx>
          <c:spPr>
            <a:solidFill>
              <a:srgbClr val="FF0000"/>
            </a:solidFill>
            <a:ln>
              <a:noFill/>
            </a:ln>
            <a:effectLst/>
          </c:spPr>
          <c:invertIfNegative val="0"/>
          <c:dLbls>
            <c:dLbl>
              <c:idx val="0"/>
              <c:layout>
                <c:manualLayout>
                  <c:x val="0"/>
                  <c:y val="-0.06"/>
                </c:manualLayout>
              </c:layout>
              <c:tx>
                <c:rich>
                  <a:bodyPr/>
                  <a:lstStyle/>
                  <a:p>
                    <a:fld id="{88B37E82-3421-4CFD-8821-A931A4CF8508}" type="VALUE">
                      <a:rPr lang="en-US"/>
                      <a:pPr/>
                      <a:t>[VÄRDE]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7757-465A-B742-661D43AAAA35}"/>
                </c:ext>
              </c:extLst>
            </c:dLbl>
            <c:dLbl>
              <c:idx val="1"/>
              <c:layout>
                <c:manualLayout>
                  <c:x val="-7.0555032925682893E-3"/>
                  <c:y val="-3.2000000000000008E-2"/>
                </c:manualLayout>
              </c:layout>
              <c:tx>
                <c:rich>
                  <a:bodyPr/>
                  <a:lstStyle/>
                  <a:p>
                    <a:fld id="{77826352-DBF5-4685-8FB2-29C5BD9182FA}" type="VALUE">
                      <a:rPr lang="en-US"/>
                      <a:pPr/>
                      <a:t>[VÄRDE]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757-465A-B742-661D43AAAA35}"/>
                </c:ext>
              </c:extLst>
            </c:dLbl>
            <c:dLbl>
              <c:idx val="2"/>
              <c:tx>
                <c:rich>
                  <a:bodyPr/>
                  <a:lstStyle/>
                  <a:p>
                    <a:fld id="{7AD3D3D7-47E4-47B1-A61A-2A2568E2C4ED}" type="VALUE">
                      <a:rPr lang="en-US"/>
                      <a:pPr/>
                      <a:t>[VÄRDE]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7757-465A-B742-661D43AAAA35}"/>
                </c:ext>
              </c:extLst>
            </c:dLbl>
            <c:dLbl>
              <c:idx val="3"/>
              <c:tx>
                <c:rich>
                  <a:bodyPr/>
                  <a:lstStyle/>
                  <a:p>
                    <a:fld id="{E592C72D-3730-440E-A66D-B1FA20908721}" type="VALUE">
                      <a:rPr lang="en-US"/>
                      <a:pPr/>
                      <a:t>[VÄRDE]</a:t>
                    </a:fld>
                    <a:r>
                      <a:rPr lang="en-US"/>
                      <a:t> %</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757-465A-B742-661D43AAAA35}"/>
                </c:ext>
              </c:extLst>
            </c:dLbl>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('Brist 2024'!$I$13,'Brist 2024'!$I$15:$I$16,'Brist 2024'!$I$18)</c:f>
              <c:strCache>
                <c:ptCount val="4"/>
                <c:pt idx="0">
                  <c:v>Distriktssköterska</c:v>
                </c:pt>
                <c:pt idx="1">
                  <c:v>Sjuksköterskor, anestesi-intensivvård</c:v>
                </c:pt>
                <c:pt idx="2">
                  <c:v>Specialistsjuksköterska, psykiatri</c:v>
                </c:pt>
                <c:pt idx="3">
                  <c:v>Röntgensjuksköterska</c:v>
                </c:pt>
              </c:strCache>
              <c:extLst/>
            </c:strRef>
          </c:cat>
          <c:val>
            <c:numRef>
              <c:f>('Brist 2024'!$K$13,'Brist 2024'!$K$15:$K$16,'Brist 2024'!$K$18)</c:f>
              <c:numCache>
                <c:formatCode>General</c:formatCode>
                <c:ptCount val="4"/>
                <c:pt idx="0">
                  <c:v>86</c:v>
                </c:pt>
                <c:pt idx="1">
                  <c:v>89</c:v>
                </c:pt>
                <c:pt idx="2">
                  <c:v>94</c:v>
                </c:pt>
                <c:pt idx="3">
                  <c:v>91</c:v>
                </c:pt>
              </c:numCache>
              <c:extLst/>
            </c:numRef>
          </c:val>
          <c:extLst>
            <c:ext xmlns:c16="http://schemas.microsoft.com/office/drawing/2014/chart" uri="{C3380CC4-5D6E-409C-BE32-E72D297353CC}">
              <c16:uniqueId val="{00000001-7757-465A-B742-661D43AAAA35}"/>
            </c:ext>
          </c:extLst>
        </c:ser>
        <c:dLbls>
          <c:showLegendKey val="0"/>
          <c:showVal val="0"/>
          <c:showCatName val="0"/>
          <c:showSerName val="0"/>
          <c:showPercent val="0"/>
          <c:showBubbleSize val="0"/>
        </c:dLbls>
        <c:gapWidth val="219"/>
        <c:axId val="702099384"/>
        <c:axId val="702101352"/>
      </c:barChart>
      <c:lineChart>
        <c:grouping val="standard"/>
        <c:varyColors val="0"/>
        <c:ser>
          <c:idx val="2"/>
          <c:order val="2"/>
          <c:tx>
            <c:strRef>
              <c:f>'Brist 2024'!$M$6</c:f>
              <c:strCache>
                <c:ptCount val="1"/>
                <c:pt idx="0">
                  <c:v>Gräns </c:v>
                </c:pt>
              </c:strCache>
            </c:strRef>
          </c:tx>
          <c:spPr>
            <a:ln w="19050" cap="rnd">
              <a:solidFill>
                <a:schemeClr val="tx1"/>
              </a:solidFill>
              <a:prstDash val="dash"/>
              <a:round/>
            </a:ln>
            <a:effectLst/>
          </c:spPr>
          <c:marker>
            <c:symbol val="none"/>
          </c:marker>
          <c:cat>
            <c:strRef>
              <c:f>('Brist 2024'!$I$13,'Brist 2024'!$I$15:$I$16,'Brist 2024'!$I$18)</c:f>
              <c:strCache>
                <c:ptCount val="4"/>
                <c:pt idx="0">
                  <c:v>Distriktssköterska</c:v>
                </c:pt>
                <c:pt idx="1">
                  <c:v>Sjuksköterskor, anestesi-intensivvård</c:v>
                </c:pt>
                <c:pt idx="2">
                  <c:v>Specialistsjuksköterska, psykiatri</c:v>
                </c:pt>
                <c:pt idx="3">
                  <c:v>Röntgensjuksköterska</c:v>
                </c:pt>
              </c:strCache>
              <c:extLst/>
            </c:strRef>
          </c:cat>
          <c:val>
            <c:numRef>
              <c:f>('Brist 2024'!$M$13,'Brist 2024'!$M$15:$M$16,'Brist 2024'!$M$18)</c:f>
              <c:numCache>
                <c:formatCode>General</c:formatCode>
                <c:ptCount val="4"/>
                <c:pt idx="0">
                  <c:v>90</c:v>
                </c:pt>
                <c:pt idx="1">
                  <c:v>90</c:v>
                </c:pt>
                <c:pt idx="2">
                  <c:v>90</c:v>
                </c:pt>
                <c:pt idx="3">
                  <c:v>90</c:v>
                </c:pt>
              </c:numCache>
              <c:extLst/>
            </c:numRef>
          </c:val>
          <c:smooth val="0"/>
          <c:extLst>
            <c:ext xmlns:c16="http://schemas.microsoft.com/office/drawing/2014/chart" uri="{C3380CC4-5D6E-409C-BE32-E72D297353CC}">
              <c16:uniqueId val="{00000002-7757-465A-B742-661D43AAAA35}"/>
            </c:ext>
          </c:extLst>
        </c:ser>
        <c:dLbls>
          <c:showLegendKey val="0"/>
          <c:showVal val="0"/>
          <c:showCatName val="0"/>
          <c:showSerName val="0"/>
          <c:showPercent val="0"/>
          <c:showBubbleSize val="0"/>
        </c:dLbls>
        <c:marker val="1"/>
        <c:smooth val="0"/>
        <c:axId val="702099384"/>
        <c:axId val="702101352"/>
      </c:lineChart>
      <c:catAx>
        <c:axId val="702099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420000" spcFirstLastPara="1" vertOverflow="ellipsis"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v-SE"/>
          </a:p>
        </c:txPr>
        <c:crossAx val="702101352"/>
        <c:crosses val="autoZero"/>
        <c:auto val="1"/>
        <c:lblAlgn val="ctr"/>
        <c:lblOffset val="100"/>
        <c:noMultiLvlLbl val="0"/>
      </c:catAx>
      <c:valAx>
        <c:axId val="702101352"/>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sv-SE"/>
                  <a:t>Andel som rapporterar brist</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v-SE"/>
          </a:p>
        </c:txPr>
        <c:crossAx val="702099384"/>
        <c:crosses val="autoZero"/>
        <c:crossBetween val="between"/>
      </c:valAx>
      <c:spPr>
        <a:noFill/>
        <a:ln>
          <a:noFill/>
        </a:ln>
        <a:effectLst/>
      </c:spPr>
    </c:plotArea>
    <c:legend>
      <c:legendPos val="b"/>
      <c:legendEntry>
        <c:idx val="2"/>
        <c:delete val="1"/>
      </c:legendEntry>
      <c:layout>
        <c:manualLayout>
          <c:xMode val="edge"/>
          <c:yMode val="edge"/>
          <c:x val="0.37685276405359958"/>
          <c:y val="0.91653858267716537"/>
          <c:w val="0.1522210946585581"/>
          <c:h val="6.346141732283464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i="0" baseline="0"/>
      </a:pPr>
      <a:endParaRPr lang="sv-SE"/>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40859836654496E-2"/>
          <c:y val="0.14392704695382227"/>
          <c:w val="0.90798618748075488"/>
          <c:h val="0.61970948334601361"/>
        </c:manualLayout>
      </c:layout>
      <c:barChart>
        <c:barDir val="col"/>
        <c:grouping val="clustered"/>
        <c:varyColors val="0"/>
        <c:ser>
          <c:idx val="0"/>
          <c:order val="0"/>
          <c:tx>
            <c:strRef>
              <c:f>'Brist 2024'!$W$6</c:f>
              <c:strCache>
                <c:ptCount val="1"/>
                <c:pt idx="0">
                  <c:v>2019</c:v>
                </c:pt>
              </c:strCache>
            </c:strRef>
          </c:tx>
          <c:spPr>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2700000" scaled="1"/>
              <a:tileRect/>
            </a:gradFill>
            <a:ln>
              <a:solidFill>
                <a:srgbClr val="FF0000"/>
              </a:solidFill>
            </a:ln>
            <a:effectLst/>
          </c:spPr>
          <c:invertIfNegative val="0"/>
          <c:cat>
            <c:strRef>
              <c:f>('Brist 2024'!$I$13:$I$15,'Brist 2024'!$I$17:$I$18)</c:f>
              <c:strCache>
                <c:ptCount val="5"/>
                <c:pt idx="0">
                  <c:v>Distriktssköterska</c:v>
                </c:pt>
                <c:pt idx="1">
                  <c:v>Grundutbildad sjuksköterska</c:v>
                </c:pt>
                <c:pt idx="2">
                  <c:v>Sjuksköterskor, anestesi-intensivvård</c:v>
                </c:pt>
                <c:pt idx="3">
                  <c:v>Specialistsjuksköterska, barn och ungdom</c:v>
                </c:pt>
                <c:pt idx="4">
                  <c:v>Röntgensjuksköterska</c:v>
                </c:pt>
              </c:strCache>
              <c:extLst/>
            </c:strRef>
          </c:cat>
          <c:val>
            <c:numRef>
              <c:f>('Brist 2024'!$W$13:$W$15,'Brist 2024'!$W$17:$W$18)</c:f>
              <c:numCache>
                <c:formatCode>General</c:formatCode>
                <c:ptCount val="5"/>
                <c:pt idx="0">
                  <c:v>85</c:v>
                </c:pt>
                <c:pt idx="1">
                  <c:v>91</c:v>
                </c:pt>
                <c:pt idx="2">
                  <c:v>69</c:v>
                </c:pt>
                <c:pt idx="3">
                  <c:v>81</c:v>
                </c:pt>
                <c:pt idx="4">
                  <c:v>77</c:v>
                </c:pt>
              </c:numCache>
              <c:extLst/>
            </c:numRef>
          </c:val>
          <c:extLst>
            <c:ext xmlns:c16="http://schemas.microsoft.com/office/drawing/2014/chart" uri="{C3380CC4-5D6E-409C-BE32-E72D297353CC}">
              <c16:uniqueId val="{00000000-84FE-402F-8F45-7C55D14D2D86}"/>
            </c:ext>
          </c:extLst>
        </c:ser>
        <c:ser>
          <c:idx val="1"/>
          <c:order val="1"/>
          <c:tx>
            <c:strRef>
              <c:f>'Brist 2024'!$X$6</c:f>
              <c:strCache>
                <c:ptCount val="1"/>
                <c:pt idx="0">
                  <c:v>2023</c:v>
                </c:pt>
              </c:strCache>
            </c:strRef>
          </c:tx>
          <c:spPr>
            <a:solidFill>
              <a:srgbClr val="FF0000"/>
            </a:solidFill>
            <a:ln>
              <a:noFill/>
            </a:ln>
            <a:effectLst/>
          </c:spPr>
          <c:invertIfNegative val="0"/>
          <c:cat>
            <c:strRef>
              <c:f>('Brist 2024'!$I$13:$I$15,'Brist 2024'!$I$17:$I$18)</c:f>
              <c:strCache>
                <c:ptCount val="5"/>
                <c:pt idx="0">
                  <c:v>Distriktssköterska</c:v>
                </c:pt>
                <c:pt idx="1">
                  <c:v>Grundutbildad sjuksköterska</c:v>
                </c:pt>
                <c:pt idx="2">
                  <c:v>Sjuksköterskor, anestesi-intensivvård</c:v>
                </c:pt>
                <c:pt idx="3">
                  <c:v>Specialistsjuksköterska, barn och ungdom</c:v>
                </c:pt>
                <c:pt idx="4">
                  <c:v>Röntgensjuksköterska</c:v>
                </c:pt>
              </c:strCache>
              <c:extLst/>
            </c:strRef>
          </c:cat>
          <c:val>
            <c:numRef>
              <c:f>('Brist 2024'!$X$13:$X$15,'Brist 2024'!$X$17:$X$18)</c:f>
              <c:numCache>
                <c:formatCode>General</c:formatCode>
                <c:ptCount val="5"/>
                <c:pt idx="0">
                  <c:v>91</c:v>
                </c:pt>
                <c:pt idx="1">
                  <c:v>94</c:v>
                </c:pt>
                <c:pt idx="2">
                  <c:v>88</c:v>
                </c:pt>
                <c:pt idx="3">
                  <c:v>85</c:v>
                </c:pt>
                <c:pt idx="4">
                  <c:v>91</c:v>
                </c:pt>
              </c:numCache>
              <c:extLst/>
            </c:numRef>
          </c:val>
          <c:extLst>
            <c:ext xmlns:c16="http://schemas.microsoft.com/office/drawing/2014/chart" uri="{C3380CC4-5D6E-409C-BE32-E72D297353CC}">
              <c16:uniqueId val="{00000001-84FE-402F-8F45-7C55D14D2D86}"/>
            </c:ext>
          </c:extLst>
        </c:ser>
        <c:dLbls>
          <c:showLegendKey val="0"/>
          <c:showVal val="0"/>
          <c:showCatName val="0"/>
          <c:showSerName val="0"/>
          <c:showPercent val="0"/>
          <c:showBubbleSize val="0"/>
        </c:dLbls>
        <c:gapWidth val="219"/>
        <c:axId val="712474280"/>
        <c:axId val="712475264"/>
      </c:barChart>
      <c:lineChart>
        <c:grouping val="standard"/>
        <c:varyColors val="0"/>
        <c:ser>
          <c:idx val="2"/>
          <c:order val="2"/>
          <c:spPr>
            <a:ln w="19050" cap="rnd">
              <a:solidFill>
                <a:schemeClr val="tx1"/>
              </a:solidFill>
              <a:prstDash val="dash"/>
              <a:round/>
            </a:ln>
            <a:effectLst/>
          </c:spPr>
          <c:marker>
            <c:symbol val="none"/>
          </c:marker>
          <c:cat>
            <c:strLit>
              <c:ptCount val="5"/>
              <c:pt idx="0">
                <c:v>Distriktssköterska</c:v>
              </c:pt>
              <c:pt idx="1">
                <c:v>Grundutbildad sjuksköterska</c:v>
              </c:pt>
              <c:pt idx="2">
                <c:v>Sjuksköterskor, anestesi-intensivvård</c:v>
              </c:pt>
              <c:pt idx="3">
                <c:v>Specialistsjuksköterska, barn och ungdom</c:v>
              </c:pt>
              <c:pt idx="4">
                <c:v>Röntgensjuksköterska</c:v>
              </c:pt>
              <c:extLst>
                <c:ext xmlns:c15="http://schemas.microsoft.com/office/drawing/2012/chart" uri="{02D57815-91ED-43cb-92C2-25804820EDAC}">
                  <c15:autoCat val="1"/>
                </c:ext>
              </c:extLst>
            </c:strLit>
          </c:cat>
          <c:val>
            <c:numRef>
              <c:f>('Brist 2024'!$Z$13:$Z$15,'Brist 2024'!$Z$17:$Z$18)</c:f>
              <c:numCache>
                <c:formatCode>General</c:formatCode>
                <c:ptCount val="5"/>
                <c:pt idx="0">
                  <c:v>90</c:v>
                </c:pt>
                <c:pt idx="1">
                  <c:v>90</c:v>
                </c:pt>
                <c:pt idx="2">
                  <c:v>90</c:v>
                </c:pt>
                <c:pt idx="3">
                  <c:v>90</c:v>
                </c:pt>
                <c:pt idx="4">
                  <c:v>90</c:v>
                </c:pt>
              </c:numCache>
              <c:extLst/>
            </c:numRef>
          </c:val>
          <c:smooth val="0"/>
          <c:extLst>
            <c:ext xmlns:c16="http://schemas.microsoft.com/office/drawing/2014/chart" uri="{C3380CC4-5D6E-409C-BE32-E72D297353CC}">
              <c16:uniqueId val="{00000002-84FE-402F-8F45-7C55D14D2D86}"/>
            </c:ext>
          </c:extLst>
        </c:ser>
        <c:dLbls>
          <c:showLegendKey val="0"/>
          <c:showVal val="0"/>
          <c:showCatName val="0"/>
          <c:showSerName val="0"/>
          <c:showPercent val="0"/>
          <c:showBubbleSize val="0"/>
        </c:dLbls>
        <c:marker val="1"/>
        <c:smooth val="0"/>
        <c:axId val="712474280"/>
        <c:axId val="712475264"/>
      </c:lineChart>
      <c:catAx>
        <c:axId val="712474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960000" spcFirstLastPara="1" vertOverflow="ellipsis"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crossAx val="712475264"/>
        <c:crosses val="autoZero"/>
        <c:auto val="1"/>
        <c:lblAlgn val="ctr"/>
        <c:lblOffset val="100"/>
        <c:noMultiLvlLbl val="0"/>
      </c:catAx>
      <c:valAx>
        <c:axId val="712475264"/>
        <c:scaling>
          <c:orientation val="minMax"/>
          <c:min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crossAx val="712474280"/>
        <c:crosses val="autoZero"/>
        <c:crossBetween val="between"/>
      </c:valAx>
      <c:spPr>
        <a:noFill/>
        <a:ln>
          <a:noFill/>
        </a:ln>
        <a:effectLst/>
      </c:spPr>
    </c:plotArea>
    <c:legend>
      <c:legendPos val="b"/>
      <c:legendEntry>
        <c:idx val="2"/>
        <c:delete val="1"/>
      </c:legendEntry>
      <c:layout>
        <c:manualLayout>
          <c:xMode val="edge"/>
          <c:yMode val="edge"/>
          <c:x val="0.61069946080109561"/>
          <c:y val="0.90625201570083458"/>
          <c:w val="0.30658789084788318"/>
          <c:h val="6.5483578231417233E-2"/>
        </c:manualLayout>
      </c:layout>
      <c:overlay val="0"/>
      <c:spPr>
        <a:solidFill>
          <a:sysClr val="window" lastClr="FFFFFF"/>
        </a:solid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1" i="0" baseline="0"/>
      </a:pPr>
      <a:endParaRPr lang="sv-SE"/>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Hyrpersonal!$B$4</c:f>
              <c:strCache>
                <c:ptCount val="1"/>
                <c:pt idx="0">
                  <c:v>Miljoner kronor</c:v>
                </c:pt>
              </c:strCache>
            </c:strRef>
          </c:tx>
          <c:spPr>
            <a:solidFill>
              <a:srgbClr val="FF0000"/>
            </a:solidFill>
            <a:ln>
              <a:solidFill>
                <a:srgbClr val="FF0000"/>
              </a:solidFill>
            </a:ln>
            <a:effectLst/>
          </c:spPr>
          <c:invertIfNegative val="0"/>
          <c:cat>
            <c:numRef>
              <c:f>Hyrpersonal!$A$5:$A$13</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Hyrpersonal!$B$5:$B$13</c:f>
              <c:numCache>
                <c:formatCode>#,##0</c:formatCode>
                <c:ptCount val="9"/>
                <c:pt idx="0">
                  <c:v>3941</c:v>
                </c:pt>
                <c:pt idx="1">
                  <c:v>4602</c:v>
                </c:pt>
                <c:pt idx="2">
                  <c:v>5201</c:v>
                </c:pt>
                <c:pt idx="3">
                  <c:v>5431</c:v>
                </c:pt>
                <c:pt idx="4">
                  <c:v>5616</c:v>
                </c:pt>
                <c:pt idx="5">
                  <c:v>5638</c:v>
                </c:pt>
                <c:pt idx="6">
                  <c:v>6339</c:v>
                </c:pt>
                <c:pt idx="7">
                  <c:v>7901</c:v>
                </c:pt>
                <c:pt idx="8">
                  <c:v>9277</c:v>
                </c:pt>
              </c:numCache>
            </c:numRef>
          </c:val>
          <c:extLst>
            <c:ext xmlns:c16="http://schemas.microsoft.com/office/drawing/2014/chart" uri="{C3380CC4-5D6E-409C-BE32-E72D297353CC}">
              <c16:uniqueId val="{00000000-6712-45BC-9EE6-FC8625A9EC79}"/>
            </c:ext>
          </c:extLst>
        </c:ser>
        <c:dLbls>
          <c:showLegendKey val="0"/>
          <c:showVal val="0"/>
          <c:showCatName val="0"/>
          <c:showSerName val="0"/>
          <c:showPercent val="0"/>
          <c:showBubbleSize val="0"/>
        </c:dLbls>
        <c:gapWidth val="219"/>
        <c:overlap val="-27"/>
        <c:axId val="680258568"/>
        <c:axId val="680258896"/>
      </c:barChart>
      <c:lineChart>
        <c:grouping val="standard"/>
        <c:varyColors val="0"/>
        <c:ser>
          <c:idx val="1"/>
          <c:order val="1"/>
          <c:tx>
            <c:strRef>
              <c:f>Hyrpersonal!$C$4</c:f>
              <c:strCache>
                <c:ptCount val="1"/>
                <c:pt idx="0">
                  <c:v>% av personalkostnaden</c:v>
                </c:pt>
              </c:strCache>
            </c:strRef>
          </c:tx>
          <c:spPr>
            <a:ln w="28575" cap="rnd">
              <a:solidFill>
                <a:schemeClr val="bg1">
                  <a:lumMod val="50000"/>
                </a:schemeClr>
              </a:solidFill>
              <a:round/>
            </a:ln>
            <a:effectLst/>
          </c:spPr>
          <c:marker>
            <c:symbol val="square"/>
            <c:size val="6"/>
            <c:spPr>
              <a:solidFill>
                <a:schemeClr val="bg1">
                  <a:lumMod val="50000"/>
                </a:schemeClr>
              </a:solidFill>
              <a:ln w="9525">
                <a:solidFill>
                  <a:schemeClr val="bg1">
                    <a:lumMod val="50000"/>
                  </a:schemeClr>
                </a:solidFill>
              </a:ln>
              <a:effectLst/>
            </c:spPr>
          </c:marker>
          <c:cat>
            <c:numRef>
              <c:f>Hyrpersonal!$A$5:$A$13</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Hyrpersonal!$C$5:$C$13</c:f>
              <c:numCache>
                <c:formatCode>0.0</c:formatCode>
                <c:ptCount val="9"/>
                <c:pt idx="0">
                  <c:v>3.2000000000000001E-2</c:v>
                </c:pt>
                <c:pt idx="1">
                  <c:v>3.6000000000000004E-2</c:v>
                </c:pt>
                <c:pt idx="2">
                  <c:v>3.7999999999999999E-2</c:v>
                </c:pt>
                <c:pt idx="3">
                  <c:v>3.7999999999999999E-2</c:v>
                </c:pt>
                <c:pt idx="4">
                  <c:v>3.7999999999999999E-2</c:v>
                </c:pt>
                <c:pt idx="5">
                  <c:v>3.6000000000000004E-2</c:v>
                </c:pt>
                <c:pt idx="6">
                  <c:v>3.9E-2</c:v>
                </c:pt>
                <c:pt idx="7">
                  <c:v>4.8000000000000001E-2</c:v>
                </c:pt>
                <c:pt idx="8">
                  <c:v>5.0999999999999997E-2</c:v>
                </c:pt>
              </c:numCache>
            </c:numRef>
          </c:val>
          <c:smooth val="0"/>
          <c:extLst>
            <c:ext xmlns:c16="http://schemas.microsoft.com/office/drawing/2014/chart" uri="{C3380CC4-5D6E-409C-BE32-E72D297353CC}">
              <c16:uniqueId val="{00000001-6712-45BC-9EE6-FC8625A9EC79}"/>
            </c:ext>
          </c:extLst>
        </c:ser>
        <c:dLbls>
          <c:showLegendKey val="0"/>
          <c:showVal val="0"/>
          <c:showCatName val="0"/>
          <c:showSerName val="0"/>
          <c:showPercent val="0"/>
          <c:showBubbleSize val="0"/>
        </c:dLbls>
        <c:marker val="1"/>
        <c:smooth val="0"/>
        <c:axId val="675326632"/>
        <c:axId val="675326304"/>
      </c:lineChart>
      <c:catAx>
        <c:axId val="680258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crossAx val="680258896"/>
        <c:crosses val="autoZero"/>
        <c:auto val="1"/>
        <c:lblAlgn val="ctr"/>
        <c:lblOffset val="100"/>
        <c:noMultiLvlLbl val="0"/>
      </c:catAx>
      <c:valAx>
        <c:axId val="6802588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a:t>Miljoner kronor</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crossAx val="680258568"/>
        <c:crosses val="autoZero"/>
        <c:crossBetween val="between"/>
      </c:valAx>
      <c:valAx>
        <c:axId val="675326304"/>
        <c:scaling>
          <c:orientation val="minMax"/>
        </c:scaling>
        <c:delete val="0"/>
        <c:axPos val="r"/>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a:t>Procent av personalkostnaden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title>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crossAx val="675326632"/>
        <c:crosses val="max"/>
        <c:crossBetween val="between"/>
      </c:valAx>
      <c:catAx>
        <c:axId val="675326632"/>
        <c:scaling>
          <c:orientation val="minMax"/>
        </c:scaling>
        <c:delete val="1"/>
        <c:axPos val="b"/>
        <c:numFmt formatCode="General" sourceLinked="1"/>
        <c:majorTickMark val="out"/>
        <c:minorTickMark val="none"/>
        <c:tickLblPos val="nextTo"/>
        <c:crossAx val="67532630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1" i="0" baseline="0"/>
      </a:pPr>
      <a:endParaRPr lang="sv-SE"/>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0"/>
          <c:tx>
            <c:strRef>
              <c:f>Blad1!$B$1</c:f>
              <c:strCache>
                <c:ptCount val="1"/>
                <c:pt idx="0">
                  <c:v>Flerbostadshus</c:v>
                </c:pt>
              </c:strCache>
            </c:strRef>
          </c:tx>
          <c:spPr>
            <a:solidFill>
              <a:srgbClr val="FF0000"/>
            </a:solidFill>
            <a:ln>
              <a:solidFill>
                <a:srgbClr val="FF0000"/>
              </a:solidFill>
            </a:ln>
            <a:effectLst/>
          </c:spPr>
          <c:invertIfNegative val="0"/>
          <c:cat>
            <c:strRef>
              <c:f>Blad1!$A$33:$A$51</c:f>
              <c:strCach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strCache>
            </c:strRef>
          </c:cat>
          <c:val>
            <c:numRef>
              <c:f>Blad1!$B$33:$B$51</c:f>
              <c:numCache>
                <c:formatCode>General</c:formatCode>
                <c:ptCount val="19"/>
                <c:pt idx="0">
                  <c:v>31481</c:v>
                </c:pt>
                <c:pt idx="1">
                  <c:v>13942</c:v>
                </c:pt>
                <c:pt idx="2">
                  <c:v>11105</c:v>
                </c:pt>
                <c:pt idx="3">
                  <c:v>9521</c:v>
                </c:pt>
                <c:pt idx="4">
                  <c:v>18143</c:v>
                </c:pt>
                <c:pt idx="5">
                  <c:v>18458</c:v>
                </c:pt>
                <c:pt idx="6">
                  <c:v>15874</c:v>
                </c:pt>
                <c:pt idx="7">
                  <c:v>23794</c:v>
                </c:pt>
                <c:pt idx="8">
                  <c:v>28103</c:v>
                </c:pt>
                <c:pt idx="9">
                  <c:v>37180</c:v>
                </c:pt>
                <c:pt idx="10">
                  <c:v>48437</c:v>
                </c:pt>
                <c:pt idx="11">
                  <c:v>51091</c:v>
                </c:pt>
                <c:pt idx="12">
                  <c:v>41836</c:v>
                </c:pt>
                <c:pt idx="13">
                  <c:v>38672</c:v>
                </c:pt>
                <c:pt idx="14">
                  <c:v>44690</c:v>
                </c:pt>
                <c:pt idx="15">
                  <c:v>54274</c:v>
                </c:pt>
                <c:pt idx="16">
                  <c:v>44465</c:v>
                </c:pt>
                <c:pt idx="17">
                  <c:v>22700</c:v>
                </c:pt>
                <c:pt idx="18">
                  <c:v>12500</c:v>
                </c:pt>
              </c:numCache>
            </c:numRef>
          </c:val>
          <c:extLst>
            <c:ext xmlns:c16="http://schemas.microsoft.com/office/drawing/2014/chart" uri="{C3380CC4-5D6E-409C-BE32-E72D297353CC}">
              <c16:uniqueId val="{00000000-4555-4F98-9125-BFCA905EC39D}"/>
            </c:ext>
          </c:extLst>
        </c:ser>
        <c:ser>
          <c:idx val="2"/>
          <c:order val="1"/>
          <c:tx>
            <c:strRef>
              <c:f>Blad1!$C$1</c:f>
              <c:strCache>
                <c:ptCount val="1"/>
                <c:pt idx="0">
                  <c:v>Småhus</c:v>
                </c:pt>
              </c:strCache>
            </c:strRef>
          </c:tx>
          <c:spPr>
            <a:solidFill>
              <a:schemeClr val="bg1">
                <a:lumMod val="50000"/>
              </a:schemeClr>
            </a:solidFill>
            <a:ln>
              <a:solidFill>
                <a:schemeClr val="bg1">
                  <a:lumMod val="50000"/>
                </a:schemeClr>
              </a:solidFill>
            </a:ln>
            <a:effectLst/>
          </c:spPr>
          <c:invertIfNegative val="0"/>
          <c:cat>
            <c:strRef>
              <c:f>Blad1!$A$33:$A$51</c:f>
              <c:strCach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strCache>
            </c:strRef>
          </c:cat>
          <c:val>
            <c:numRef>
              <c:f>Blad1!$C$33:$C$51</c:f>
              <c:numCache>
                <c:formatCode>General</c:formatCode>
                <c:ptCount val="19"/>
                <c:pt idx="0">
                  <c:v>13783</c:v>
                </c:pt>
                <c:pt idx="1">
                  <c:v>13604</c:v>
                </c:pt>
                <c:pt idx="2">
                  <c:v>10094</c:v>
                </c:pt>
                <c:pt idx="3">
                  <c:v>8427</c:v>
                </c:pt>
                <c:pt idx="4">
                  <c:v>9386</c:v>
                </c:pt>
                <c:pt idx="5">
                  <c:v>8226</c:v>
                </c:pt>
                <c:pt idx="6">
                  <c:v>5439</c:v>
                </c:pt>
                <c:pt idx="7">
                  <c:v>6679</c:v>
                </c:pt>
                <c:pt idx="8">
                  <c:v>8608</c:v>
                </c:pt>
                <c:pt idx="9">
                  <c:v>10957</c:v>
                </c:pt>
                <c:pt idx="10">
                  <c:v>12990</c:v>
                </c:pt>
                <c:pt idx="11">
                  <c:v>12869</c:v>
                </c:pt>
                <c:pt idx="12">
                  <c:v>11086</c:v>
                </c:pt>
                <c:pt idx="13">
                  <c:v>10883</c:v>
                </c:pt>
                <c:pt idx="14">
                  <c:v>11234</c:v>
                </c:pt>
                <c:pt idx="15">
                  <c:v>14146</c:v>
                </c:pt>
                <c:pt idx="16">
                  <c:v>12568</c:v>
                </c:pt>
                <c:pt idx="17">
                  <c:v>6600</c:v>
                </c:pt>
                <c:pt idx="18">
                  <c:v>5000</c:v>
                </c:pt>
              </c:numCache>
            </c:numRef>
          </c:val>
          <c:extLst>
            <c:ext xmlns:c16="http://schemas.microsoft.com/office/drawing/2014/chart" uri="{C3380CC4-5D6E-409C-BE32-E72D297353CC}">
              <c16:uniqueId val="{00000001-4555-4F98-9125-BFCA905EC39D}"/>
            </c:ext>
          </c:extLst>
        </c:ser>
        <c:dLbls>
          <c:showLegendKey val="0"/>
          <c:showVal val="0"/>
          <c:showCatName val="0"/>
          <c:showSerName val="0"/>
          <c:showPercent val="0"/>
          <c:showBubbleSize val="0"/>
        </c:dLbls>
        <c:gapWidth val="150"/>
        <c:overlap val="100"/>
        <c:axId val="496582208"/>
        <c:axId val="496584176"/>
      </c:barChart>
      <c:lineChart>
        <c:grouping val="standard"/>
        <c:varyColors val="0"/>
        <c:ser>
          <c:idx val="0"/>
          <c:order val="2"/>
          <c:tx>
            <c:strRef>
              <c:f>Blad1!$E$1</c:f>
              <c:strCache>
                <c:ptCount val="1"/>
                <c:pt idx="0">
                  <c:v>Behov</c:v>
                </c:pt>
              </c:strCache>
            </c:strRef>
          </c:tx>
          <c:spPr>
            <a:ln w="28575" cap="rnd">
              <a:solidFill>
                <a:sysClr val="windowText" lastClr="000000"/>
              </a:solidFill>
              <a:prstDash val="dash"/>
              <a:round/>
            </a:ln>
            <a:effectLst/>
          </c:spPr>
          <c:marker>
            <c:symbol val="none"/>
          </c:marker>
          <c:cat>
            <c:strRef>
              <c:f>Blad1!$A$33:$A$51</c:f>
              <c:strCach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strCache>
            </c:strRef>
          </c:cat>
          <c:val>
            <c:numRef>
              <c:f>Blad1!$E$33:$E$51</c:f>
              <c:numCache>
                <c:formatCode>General</c:formatCode>
                <c:ptCount val="19"/>
                <c:pt idx="13">
                  <c:v>67300</c:v>
                </c:pt>
                <c:pt idx="14">
                  <c:v>67300</c:v>
                </c:pt>
                <c:pt idx="15">
                  <c:v>67300</c:v>
                </c:pt>
                <c:pt idx="16">
                  <c:v>67300</c:v>
                </c:pt>
                <c:pt idx="17">
                  <c:v>67300</c:v>
                </c:pt>
                <c:pt idx="18">
                  <c:v>67300</c:v>
                </c:pt>
              </c:numCache>
            </c:numRef>
          </c:val>
          <c:smooth val="0"/>
          <c:extLst>
            <c:ext xmlns:c16="http://schemas.microsoft.com/office/drawing/2014/chart" uri="{C3380CC4-5D6E-409C-BE32-E72D297353CC}">
              <c16:uniqueId val="{00000002-4555-4F98-9125-BFCA905EC39D}"/>
            </c:ext>
          </c:extLst>
        </c:ser>
        <c:dLbls>
          <c:showLegendKey val="0"/>
          <c:showVal val="0"/>
          <c:showCatName val="0"/>
          <c:showSerName val="0"/>
          <c:showPercent val="0"/>
          <c:showBubbleSize val="0"/>
        </c:dLbls>
        <c:marker val="1"/>
        <c:smooth val="0"/>
        <c:axId val="496582208"/>
        <c:axId val="496584176"/>
      </c:lineChart>
      <c:catAx>
        <c:axId val="49658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v-SE"/>
          </a:p>
        </c:txPr>
        <c:crossAx val="496584176"/>
        <c:crosses val="autoZero"/>
        <c:auto val="1"/>
        <c:lblAlgn val="ctr"/>
        <c:lblOffset val="100"/>
        <c:noMultiLvlLbl val="0"/>
      </c:catAx>
      <c:valAx>
        <c:axId val="4965841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v-SE"/>
          </a:p>
        </c:txPr>
        <c:crossAx val="496582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i="0" baseline="0"/>
      </a:pPr>
      <a:endParaRPr lang="sv-SE"/>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59539368278553"/>
          <c:y val="8.3273790776152962E-2"/>
          <c:w val="0.78229264551807565"/>
          <c:h val="0.69498432695913015"/>
        </c:manualLayout>
      </c:layout>
      <c:barChart>
        <c:barDir val="col"/>
        <c:grouping val="clustered"/>
        <c:varyColors val="0"/>
        <c:ser>
          <c:idx val="0"/>
          <c:order val="0"/>
          <c:tx>
            <c:strRef>
              <c:f>Blad1!$B$5</c:f>
              <c:strCache>
                <c:ptCount val="1"/>
                <c:pt idx="0">
                  <c:v>feb-23</c:v>
                </c:pt>
              </c:strCache>
            </c:strRef>
          </c:tx>
          <c:spPr>
            <a:solidFill>
              <a:schemeClr val="bg1">
                <a:lumMod val="50000"/>
              </a:schemeClr>
            </a:solidFill>
            <a:ln>
              <a:solidFill>
                <a:schemeClr val="bg1">
                  <a:lumMod val="50000"/>
                </a:schemeClr>
              </a:solidFill>
            </a:ln>
            <a:effectLst/>
          </c:spPr>
          <c:invertIfNegative val="0"/>
          <c:cat>
            <c:strRef>
              <c:f>Blad1!$C$4:$G$4</c:f>
              <c:strCache>
                <c:ptCount val="5"/>
                <c:pt idx="0">
                  <c:v>Akademikerna</c:v>
                </c:pt>
                <c:pt idx="1">
                  <c:v>Byggnads</c:v>
                </c:pt>
                <c:pt idx="2">
                  <c:v>Elektrikerna</c:v>
                </c:pt>
                <c:pt idx="3">
                  <c:v>IF-Metall</c:v>
                </c:pt>
                <c:pt idx="4">
                  <c:v>Handels</c:v>
                </c:pt>
              </c:strCache>
            </c:strRef>
          </c:cat>
          <c:val>
            <c:numRef>
              <c:f>Blad1!$C$5:$G$5</c:f>
              <c:numCache>
                <c:formatCode>#,##0</c:formatCode>
                <c:ptCount val="5"/>
                <c:pt idx="0">
                  <c:v>13401</c:v>
                </c:pt>
                <c:pt idx="1">
                  <c:v>8561</c:v>
                </c:pt>
                <c:pt idx="2">
                  <c:v>661</c:v>
                </c:pt>
                <c:pt idx="3">
                  <c:v>14759</c:v>
                </c:pt>
                <c:pt idx="4">
                  <c:v>13572</c:v>
                </c:pt>
              </c:numCache>
            </c:numRef>
          </c:val>
          <c:extLst>
            <c:ext xmlns:c16="http://schemas.microsoft.com/office/drawing/2014/chart" uri="{C3380CC4-5D6E-409C-BE32-E72D297353CC}">
              <c16:uniqueId val="{00000000-6D9A-4BD5-93AD-49EFA7DC7197}"/>
            </c:ext>
          </c:extLst>
        </c:ser>
        <c:ser>
          <c:idx val="1"/>
          <c:order val="1"/>
          <c:tx>
            <c:strRef>
              <c:f>Blad1!$B$6</c:f>
              <c:strCache>
                <c:ptCount val="1"/>
                <c:pt idx="0">
                  <c:v>feb-24</c:v>
                </c:pt>
              </c:strCache>
            </c:strRef>
          </c:tx>
          <c:spPr>
            <a:solidFill>
              <a:srgbClr val="FF0000"/>
            </a:solidFill>
            <a:ln>
              <a:solidFill>
                <a:srgbClr val="FF0000"/>
              </a:solidFill>
            </a:ln>
            <a:effectLst/>
          </c:spPr>
          <c:invertIfNegative val="0"/>
          <c:cat>
            <c:strRef>
              <c:f>Blad1!$C$4:$G$4</c:f>
              <c:strCache>
                <c:ptCount val="5"/>
                <c:pt idx="0">
                  <c:v>Akademikerna</c:v>
                </c:pt>
                <c:pt idx="1">
                  <c:v>Byggnads</c:v>
                </c:pt>
                <c:pt idx="2">
                  <c:v>Elektrikerna</c:v>
                </c:pt>
                <c:pt idx="3">
                  <c:v>IF-Metall</c:v>
                </c:pt>
                <c:pt idx="4">
                  <c:v>Handels</c:v>
                </c:pt>
              </c:strCache>
            </c:strRef>
          </c:cat>
          <c:val>
            <c:numRef>
              <c:f>Blad1!$C$6:$G$6</c:f>
              <c:numCache>
                <c:formatCode>#,##0</c:formatCode>
                <c:ptCount val="5"/>
                <c:pt idx="0">
                  <c:v>16354</c:v>
                </c:pt>
                <c:pt idx="1">
                  <c:v>12881</c:v>
                </c:pt>
                <c:pt idx="2">
                  <c:v>971</c:v>
                </c:pt>
                <c:pt idx="3">
                  <c:v>16938</c:v>
                </c:pt>
                <c:pt idx="4">
                  <c:v>14254</c:v>
                </c:pt>
              </c:numCache>
            </c:numRef>
          </c:val>
          <c:extLst>
            <c:ext xmlns:c16="http://schemas.microsoft.com/office/drawing/2014/chart" uri="{C3380CC4-5D6E-409C-BE32-E72D297353CC}">
              <c16:uniqueId val="{00000001-6D9A-4BD5-93AD-49EFA7DC7197}"/>
            </c:ext>
          </c:extLst>
        </c:ser>
        <c:dLbls>
          <c:showLegendKey val="0"/>
          <c:showVal val="0"/>
          <c:showCatName val="0"/>
          <c:showSerName val="0"/>
          <c:showPercent val="0"/>
          <c:showBubbleSize val="0"/>
        </c:dLbls>
        <c:gapWidth val="150"/>
        <c:axId val="469283208"/>
        <c:axId val="469283536"/>
      </c:barChart>
      <c:lineChart>
        <c:grouping val="standard"/>
        <c:varyColors val="0"/>
        <c:ser>
          <c:idx val="2"/>
          <c:order val="2"/>
          <c:tx>
            <c:strRef>
              <c:f>Blad1!$B$7</c:f>
              <c:strCache>
                <c:ptCount val="1"/>
                <c:pt idx="0">
                  <c:v>Procentuell ökning</c:v>
                </c:pt>
              </c:strCache>
            </c:strRef>
          </c:tx>
          <c:spPr>
            <a:ln w="28575" cap="rnd">
              <a:noFill/>
              <a:round/>
            </a:ln>
            <a:effectLst/>
          </c:spPr>
          <c:marker>
            <c:symbol val="diamond"/>
            <c:size val="10"/>
            <c:spPr>
              <a:solidFill>
                <a:schemeClr val="tx1"/>
              </a:solidFill>
              <a:ln w="9525">
                <a:noFill/>
              </a:ln>
              <a:effectLst/>
            </c:spPr>
          </c:marker>
          <c:dLbls>
            <c:dLbl>
              <c:idx val="0"/>
              <c:layout>
                <c:manualLayout>
                  <c:x val="-7.6577413420030313E-2"/>
                  <c:y val="-0.14240749906261718"/>
                </c:manualLayout>
              </c:layout>
              <c:tx>
                <c:rich>
                  <a:bodyPr/>
                  <a:lstStyle/>
                  <a:p>
                    <a:r>
                      <a:rPr lang="en-US"/>
                      <a:t>22 procent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D9A-4BD5-93AD-49EFA7DC7197}"/>
                </c:ext>
              </c:extLst>
            </c:dLbl>
            <c:dLbl>
              <c:idx val="1"/>
              <c:layout>
                <c:manualLayout>
                  <c:x val="-8.478500372638606E-2"/>
                  <c:y val="0.33383607049118857"/>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dk1">
                            <a:lumMod val="65000"/>
                            <a:lumOff val="35000"/>
                          </a:schemeClr>
                        </a:solidFill>
                        <a:latin typeface="+mn-lt"/>
                        <a:ea typeface="+mn-ea"/>
                        <a:cs typeface="+mn-cs"/>
                      </a:defRPr>
                    </a:pPr>
                    <a:r>
                      <a:rPr lang="en-US"/>
                      <a:t>50 procent</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dk1">
                          <a:lumMod val="65000"/>
                          <a:lumOff val="3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upArrowCallout">
                      <a:avLst/>
                    </a:prstGeom>
                    <a:noFill/>
                    <a:ln>
                      <a:noFill/>
                    </a:ln>
                  </c15:spPr>
                  <c15:showDataLabelsRange val="0"/>
                </c:ext>
                <c:ext xmlns:c16="http://schemas.microsoft.com/office/drawing/2014/chart" uri="{C3380CC4-5D6E-409C-BE32-E72D297353CC}">
                  <c16:uniqueId val="{00000003-6D9A-4BD5-93AD-49EFA7DC7197}"/>
                </c:ext>
              </c:extLst>
            </c:dLbl>
            <c:dLbl>
              <c:idx val="2"/>
              <c:layout>
                <c:manualLayout>
                  <c:x val="-9.1300958779329533E-2"/>
                  <c:y val="0.18870371203599551"/>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dk1">
                            <a:lumMod val="65000"/>
                            <a:lumOff val="35000"/>
                          </a:schemeClr>
                        </a:solidFill>
                        <a:latin typeface="+mn-lt"/>
                        <a:ea typeface="+mn-ea"/>
                        <a:cs typeface="+mn-cs"/>
                      </a:defRPr>
                    </a:pPr>
                    <a:r>
                      <a:rPr lang="en-US"/>
                      <a:t>47 procent</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dk1">
                          <a:lumMod val="65000"/>
                          <a:lumOff val="3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upArrowCallout">
                      <a:avLst/>
                    </a:prstGeom>
                    <a:noFill/>
                    <a:ln>
                      <a:noFill/>
                    </a:ln>
                  </c15:spPr>
                  <c15:showDataLabelsRange val="0"/>
                </c:ext>
                <c:ext xmlns:c16="http://schemas.microsoft.com/office/drawing/2014/chart" uri="{C3380CC4-5D6E-409C-BE32-E72D297353CC}">
                  <c16:uniqueId val="{00000004-6D9A-4BD5-93AD-49EFA7DC7197}"/>
                </c:ext>
              </c:extLst>
            </c:dLbl>
            <c:dLbl>
              <c:idx val="3"/>
              <c:layout>
                <c:manualLayout>
                  <c:x val="-7.9355281207133144E-2"/>
                  <c:y val="-0.19955035620547432"/>
                </c:manualLayout>
              </c:layout>
              <c:tx>
                <c:rich>
                  <a:bodyPr/>
                  <a:lstStyle/>
                  <a:p>
                    <a:r>
                      <a:rPr lang="en-US"/>
                      <a:t>15 procent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6D9A-4BD5-93AD-49EFA7DC7197}"/>
                </c:ext>
              </c:extLst>
            </c:dLbl>
            <c:dLbl>
              <c:idx val="4"/>
              <c:layout>
                <c:manualLayout>
                  <c:x val="-8.1812895816006537E-2"/>
                  <c:y val="-0.20608473940757413"/>
                </c:manualLayout>
              </c:layout>
              <c:tx>
                <c:rich>
                  <a:bodyPr/>
                  <a:lstStyle/>
                  <a:p>
                    <a:r>
                      <a:rPr lang="en-US"/>
                      <a:t>5 procent</a:t>
                    </a:r>
                  </a:p>
                </c:rich>
              </c:tx>
              <c:showLegendKey val="0"/>
              <c:showVal val="1"/>
              <c:showCatName val="0"/>
              <c:showSerName val="0"/>
              <c:showPercent val="0"/>
              <c:showBubbleSize val="0"/>
              <c:extLst>
                <c:ext xmlns:c15="http://schemas.microsoft.com/office/drawing/2012/chart" uri="{CE6537A1-D6FC-4f65-9D91-7224C49458BB}">
                  <c15:layout>
                    <c:manualLayout>
                      <c:w val="0.15988914451537178"/>
                      <c:h val="7.0797450318710167E-2"/>
                    </c:manualLayout>
                  </c15:layout>
                  <c15:showDataLabelsRange val="0"/>
                </c:ext>
                <c:ext xmlns:c16="http://schemas.microsoft.com/office/drawing/2014/chart" uri="{C3380CC4-5D6E-409C-BE32-E72D297353CC}">
                  <c16:uniqueId val="{00000006-6D9A-4BD5-93AD-49EFA7DC719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dk1">
                        <a:lumMod val="65000"/>
                        <a:lumOff val="3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downArrowCallout">
                    <a:avLst/>
                  </a:prstGeom>
                  <a:noFill/>
                  <a:ln>
                    <a:noFill/>
                  </a:ln>
                </c15:spPr>
                <c15:showLeaderLines val="0"/>
              </c:ext>
            </c:extLst>
          </c:dLbls>
          <c:cat>
            <c:strRef>
              <c:f>Blad1!$C$4:$G$4</c:f>
              <c:strCache>
                <c:ptCount val="5"/>
                <c:pt idx="0">
                  <c:v>Akademikerna</c:v>
                </c:pt>
                <c:pt idx="1">
                  <c:v>Byggnads</c:v>
                </c:pt>
                <c:pt idx="2">
                  <c:v>Elektrikerna</c:v>
                </c:pt>
                <c:pt idx="3">
                  <c:v>IF-Metall</c:v>
                </c:pt>
                <c:pt idx="4">
                  <c:v>Handels</c:v>
                </c:pt>
              </c:strCache>
            </c:strRef>
          </c:cat>
          <c:val>
            <c:numRef>
              <c:f>Blad1!$C$7:$G$7</c:f>
              <c:numCache>
                <c:formatCode>0%</c:formatCode>
                <c:ptCount val="5"/>
                <c:pt idx="0">
                  <c:v>0.2203566897992687</c:v>
                </c:pt>
                <c:pt idx="1">
                  <c:v>0.50461394696881201</c:v>
                </c:pt>
                <c:pt idx="2">
                  <c:v>0.46898638426626321</c:v>
                </c:pt>
                <c:pt idx="3">
                  <c:v>0.14763872891117286</c:v>
                </c:pt>
                <c:pt idx="4">
                  <c:v>5.0250515767757145E-2</c:v>
                </c:pt>
              </c:numCache>
            </c:numRef>
          </c:val>
          <c:smooth val="0"/>
          <c:extLst>
            <c:ext xmlns:c16="http://schemas.microsoft.com/office/drawing/2014/chart" uri="{C3380CC4-5D6E-409C-BE32-E72D297353CC}">
              <c16:uniqueId val="{00000007-6D9A-4BD5-93AD-49EFA7DC7197}"/>
            </c:ext>
          </c:extLst>
        </c:ser>
        <c:dLbls>
          <c:showLegendKey val="0"/>
          <c:showVal val="0"/>
          <c:showCatName val="0"/>
          <c:showSerName val="0"/>
          <c:showPercent val="0"/>
          <c:showBubbleSize val="0"/>
        </c:dLbls>
        <c:marker val="1"/>
        <c:smooth val="0"/>
        <c:axId val="1012496152"/>
        <c:axId val="1012494840"/>
      </c:lineChart>
      <c:catAx>
        <c:axId val="469283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900000" spcFirstLastPara="1" vertOverflow="ellipsis"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crossAx val="469283536"/>
        <c:crosses val="autoZero"/>
        <c:auto val="1"/>
        <c:lblAlgn val="ctr"/>
        <c:lblOffset val="100"/>
        <c:noMultiLvlLbl val="0"/>
      </c:catAx>
      <c:valAx>
        <c:axId val="4692835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crossAx val="469283208"/>
        <c:crosses val="autoZero"/>
        <c:crossBetween val="between"/>
      </c:valAx>
      <c:valAx>
        <c:axId val="1012494840"/>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crossAx val="1012496152"/>
        <c:crosses val="max"/>
        <c:crossBetween val="between"/>
      </c:valAx>
      <c:catAx>
        <c:axId val="1012496152"/>
        <c:scaling>
          <c:orientation val="minMax"/>
        </c:scaling>
        <c:delete val="1"/>
        <c:axPos val="b"/>
        <c:numFmt formatCode="General" sourceLinked="1"/>
        <c:majorTickMark val="out"/>
        <c:minorTickMark val="none"/>
        <c:tickLblPos val="nextTo"/>
        <c:crossAx val="101249484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1" i="0" baseline="0"/>
      </a:pPr>
      <a:endParaRPr lang="sv-SE"/>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'F1204'!$A$4</c:f>
              <c:strCache>
                <c:ptCount val="1"/>
                <c:pt idx="0">
                  <c:v>Real disponibel inkomst</c:v>
                </c:pt>
              </c:strCache>
            </c:strRef>
          </c:tx>
          <c:spPr>
            <a:solidFill>
              <a:schemeClr val="accent1"/>
            </a:solidFill>
            <a:ln>
              <a:noFill/>
            </a:ln>
            <a:effectLst/>
          </c:spPr>
          <c:invertIfNegative val="0"/>
          <c:dPt>
            <c:idx val="30"/>
            <c:invertIfNegative val="0"/>
            <c:bubble3D val="0"/>
            <c:spPr>
              <a:solidFill>
                <a:srgbClr val="FF0000"/>
              </a:solidFill>
              <a:ln>
                <a:noFill/>
              </a:ln>
              <a:effectLst/>
            </c:spPr>
            <c:extLst>
              <c:ext xmlns:c16="http://schemas.microsoft.com/office/drawing/2014/chart" uri="{C3380CC4-5D6E-409C-BE32-E72D297353CC}">
                <c16:uniqueId val="{00000001-9C05-4F9B-B0F3-2FF12BCD0A1C}"/>
              </c:ext>
            </c:extLst>
          </c:dPt>
          <c:cat>
            <c:strRef>
              <c:f>'F1204'!$B$3:$AF$3</c:f>
              <c:strCache>
                <c:ptCount val="31"/>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pt idx="25">
                  <c:v>2018</c:v>
                </c:pt>
                <c:pt idx="26">
                  <c:v>2019</c:v>
                </c:pt>
                <c:pt idx="27">
                  <c:v>2020</c:v>
                </c:pt>
                <c:pt idx="28">
                  <c:v>2021</c:v>
                </c:pt>
                <c:pt idx="29">
                  <c:v>2022</c:v>
                </c:pt>
                <c:pt idx="30">
                  <c:v>2023</c:v>
                </c:pt>
              </c:strCache>
            </c:strRef>
          </c:cat>
          <c:val>
            <c:numRef>
              <c:f>'F1204'!$B$4:$AF$4</c:f>
              <c:numCache>
                <c:formatCode>0.0</c:formatCode>
                <c:ptCount val="31"/>
                <c:pt idx="0">
                  <c:v>-4.9000000000000004</c:v>
                </c:pt>
                <c:pt idx="1">
                  <c:v>-0.2</c:v>
                </c:pt>
                <c:pt idx="2">
                  <c:v>0.5</c:v>
                </c:pt>
                <c:pt idx="3">
                  <c:v>-0.7</c:v>
                </c:pt>
                <c:pt idx="4">
                  <c:v>-0.6</c:v>
                </c:pt>
                <c:pt idx="5">
                  <c:v>2.1</c:v>
                </c:pt>
                <c:pt idx="6">
                  <c:v>3.4</c:v>
                </c:pt>
                <c:pt idx="7">
                  <c:v>5.0999999999999996</c:v>
                </c:pt>
                <c:pt idx="8">
                  <c:v>6.2</c:v>
                </c:pt>
                <c:pt idx="9">
                  <c:v>3.1</c:v>
                </c:pt>
                <c:pt idx="10">
                  <c:v>0.9</c:v>
                </c:pt>
                <c:pt idx="11">
                  <c:v>1.3</c:v>
                </c:pt>
                <c:pt idx="12">
                  <c:v>3.1</c:v>
                </c:pt>
                <c:pt idx="13">
                  <c:v>5.3</c:v>
                </c:pt>
                <c:pt idx="14">
                  <c:v>5.9</c:v>
                </c:pt>
                <c:pt idx="15">
                  <c:v>3.3</c:v>
                </c:pt>
                <c:pt idx="16">
                  <c:v>1.5</c:v>
                </c:pt>
                <c:pt idx="17">
                  <c:v>3.2</c:v>
                </c:pt>
                <c:pt idx="18">
                  <c:v>3.7</c:v>
                </c:pt>
                <c:pt idx="19">
                  <c:v>4.2</c:v>
                </c:pt>
                <c:pt idx="20">
                  <c:v>2</c:v>
                </c:pt>
                <c:pt idx="21">
                  <c:v>2.2000000000000002</c:v>
                </c:pt>
                <c:pt idx="22">
                  <c:v>2.8</c:v>
                </c:pt>
                <c:pt idx="23">
                  <c:v>3.5</c:v>
                </c:pt>
                <c:pt idx="24">
                  <c:v>2</c:v>
                </c:pt>
                <c:pt idx="25">
                  <c:v>2.1</c:v>
                </c:pt>
                <c:pt idx="26">
                  <c:v>2.2000000000000002</c:v>
                </c:pt>
                <c:pt idx="27">
                  <c:v>-0.3</c:v>
                </c:pt>
                <c:pt idx="28">
                  <c:v>4</c:v>
                </c:pt>
                <c:pt idx="29">
                  <c:v>0.1</c:v>
                </c:pt>
                <c:pt idx="30">
                  <c:v>-1.5</c:v>
                </c:pt>
              </c:numCache>
            </c:numRef>
          </c:val>
          <c:extLst>
            <c:ext xmlns:c16="http://schemas.microsoft.com/office/drawing/2014/chart" uri="{C3380CC4-5D6E-409C-BE32-E72D297353CC}">
              <c16:uniqueId val="{00000002-9C05-4F9B-B0F3-2FF12BCD0A1C}"/>
            </c:ext>
          </c:extLst>
        </c:ser>
        <c:dLbls>
          <c:showLegendKey val="0"/>
          <c:showVal val="0"/>
          <c:showCatName val="0"/>
          <c:showSerName val="0"/>
          <c:showPercent val="0"/>
          <c:showBubbleSize val="0"/>
        </c:dLbls>
        <c:gapWidth val="150"/>
        <c:axId val="763548280"/>
        <c:axId val="763550248"/>
      </c:barChart>
      <c:catAx>
        <c:axId val="76354828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763550248"/>
        <c:crosses val="autoZero"/>
        <c:auto val="1"/>
        <c:lblAlgn val="ctr"/>
        <c:lblOffset val="100"/>
        <c:noMultiLvlLbl val="0"/>
      </c:catAx>
      <c:valAx>
        <c:axId val="763550248"/>
        <c:scaling>
          <c:orientation val="minMax"/>
          <c:max val="6.5"/>
          <c:min val="-3.5"/>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7635482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i="0" baseline="0"/>
      </a:pPr>
      <a:endParaRPr lang="sv-SE"/>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66396825859671"/>
          <c:y val="5.4506040995887663E-2"/>
          <c:w val="0.87365839581634475"/>
          <c:h val="0.66009529828061797"/>
        </c:manualLayout>
      </c:layout>
      <c:barChart>
        <c:barDir val="col"/>
        <c:grouping val="clustered"/>
        <c:varyColors val="0"/>
        <c:ser>
          <c:idx val="0"/>
          <c:order val="0"/>
          <c:tx>
            <c:strRef>
              <c:f>'Hushållstyper 2023'!$G$4</c:f>
              <c:strCache>
                <c:ptCount val="1"/>
                <c:pt idx="0">
                  <c:v>ensamstående kvinnor, barn i åldern 0-24 år</c:v>
                </c:pt>
              </c:strCache>
            </c:strRef>
          </c:tx>
          <c:spPr>
            <a:solidFill>
              <a:srgbClr val="FF0000"/>
            </a:solidFill>
            <a:ln>
              <a:noFill/>
            </a:ln>
            <a:effectLst/>
          </c:spPr>
          <c:invertIfNegative val="0"/>
          <c:cat>
            <c:strRef>
              <c:f>('Hushållstyper 2023'!$C$5,'Hushållstyper 2023'!$C$17,'Hushållstyper 2023'!$C$19)</c:f>
              <c:strCache>
                <c:ptCount val="3"/>
                <c:pt idx="0">
                  <c:v>saknar kontantmarginal</c:v>
                </c:pt>
                <c:pt idx="1">
                  <c:v>har inte råd att regelbundet delta i någon fritidsaktivitet</c:v>
                </c:pt>
                <c:pt idx="2">
                  <c:v>har inte råd att åka på en veckas semester per år</c:v>
                </c:pt>
              </c:strCache>
              <c:extLst/>
            </c:strRef>
          </c:cat>
          <c:val>
            <c:numRef>
              <c:f>('Hushållstyper 2023'!$G$5,'Hushållstyper 2023'!$G$17,'Hushållstyper 2023'!$G$19)</c:f>
              <c:numCache>
                <c:formatCode>0.0</c:formatCode>
                <c:ptCount val="3"/>
                <c:pt idx="0">
                  <c:v>57</c:v>
                </c:pt>
                <c:pt idx="1">
                  <c:v>33.200000000000003</c:v>
                </c:pt>
                <c:pt idx="2">
                  <c:v>31.4</c:v>
                </c:pt>
              </c:numCache>
              <c:extLst/>
            </c:numRef>
          </c:val>
          <c:extLst>
            <c:ext xmlns:c16="http://schemas.microsoft.com/office/drawing/2014/chart" uri="{C3380CC4-5D6E-409C-BE32-E72D297353CC}">
              <c16:uniqueId val="{00000000-5755-4FF5-9858-FD7BA7DE0D0E}"/>
            </c:ext>
          </c:extLst>
        </c:ser>
        <c:ser>
          <c:idx val="1"/>
          <c:order val="1"/>
          <c:tx>
            <c:strRef>
              <c:f>'Hushållstyper 2023'!$M$4</c:f>
              <c:strCache>
                <c:ptCount val="1"/>
                <c:pt idx="0">
                  <c:v>ensamstående män, barn i åldern 0-24 år</c:v>
                </c:pt>
              </c:strCache>
            </c:strRef>
          </c:tx>
          <c:spPr>
            <a:solidFill>
              <a:srgbClr val="0070C0"/>
            </a:solidFill>
            <a:ln>
              <a:noFill/>
            </a:ln>
            <a:effectLst/>
          </c:spPr>
          <c:invertIfNegative val="0"/>
          <c:cat>
            <c:strRef>
              <c:f>('Hushållstyper 2023'!$C$5,'Hushållstyper 2023'!$C$17,'Hushållstyper 2023'!$C$19)</c:f>
              <c:strCache>
                <c:ptCount val="3"/>
                <c:pt idx="0">
                  <c:v>saknar kontantmarginal</c:v>
                </c:pt>
                <c:pt idx="1">
                  <c:v>har inte råd att regelbundet delta i någon fritidsaktivitet</c:v>
                </c:pt>
                <c:pt idx="2">
                  <c:v>har inte råd att åka på en veckas semester per år</c:v>
                </c:pt>
              </c:strCache>
              <c:extLst/>
            </c:strRef>
          </c:cat>
          <c:val>
            <c:numRef>
              <c:f>('Hushållstyper 2023'!$M$5,'Hushållstyper 2023'!$M$17,'Hushållstyper 2023'!$M$19)</c:f>
              <c:numCache>
                <c:formatCode>0.0</c:formatCode>
                <c:ptCount val="3"/>
                <c:pt idx="0">
                  <c:v>23.7</c:v>
                </c:pt>
                <c:pt idx="1">
                  <c:v>7.8</c:v>
                </c:pt>
                <c:pt idx="2">
                  <c:v>14</c:v>
                </c:pt>
              </c:numCache>
              <c:extLst/>
            </c:numRef>
          </c:val>
          <c:extLst>
            <c:ext xmlns:c16="http://schemas.microsoft.com/office/drawing/2014/chart" uri="{C3380CC4-5D6E-409C-BE32-E72D297353CC}">
              <c16:uniqueId val="{00000001-5755-4FF5-9858-FD7BA7DE0D0E}"/>
            </c:ext>
          </c:extLst>
        </c:ser>
        <c:dLbls>
          <c:showLegendKey val="0"/>
          <c:showVal val="0"/>
          <c:showCatName val="0"/>
          <c:showSerName val="0"/>
          <c:showPercent val="0"/>
          <c:showBubbleSize val="0"/>
        </c:dLbls>
        <c:gapWidth val="219"/>
        <c:overlap val="-27"/>
        <c:axId val="691134120"/>
        <c:axId val="691142976"/>
      </c:barChart>
      <c:catAx>
        <c:axId val="691134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v-SE"/>
          </a:p>
        </c:txPr>
        <c:crossAx val="691142976"/>
        <c:crosses val="autoZero"/>
        <c:auto val="1"/>
        <c:lblAlgn val="ctr"/>
        <c:lblOffset val="100"/>
        <c:noMultiLvlLbl val="0"/>
      </c:catAx>
      <c:valAx>
        <c:axId val="691142976"/>
        <c:scaling>
          <c:orientation val="minMax"/>
          <c:max val="6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sv-SE"/>
                  <a:t>Andel av hushåll</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v-SE"/>
          </a:p>
        </c:txPr>
        <c:crossAx val="691134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i="0" baseline="0"/>
      </a:pPr>
      <a:endParaRPr lang="sv-SE"/>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lumMod val="75000"/>
              </a:schemeClr>
            </a:solidFill>
            <a:ln>
              <a:solidFill>
                <a:schemeClr val="accent1">
                  <a:lumMod val="75000"/>
                </a:schemeClr>
              </a:solid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B64D-4C11-96F5-95B5B35A8017}"/>
                </c:ext>
              </c:extLst>
            </c:dLbl>
            <c:dLbl>
              <c:idx val="1"/>
              <c:delete val="1"/>
              <c:extLst>
                <c:ext xmlns:c15="http://schemas.microsoft.com/office/drawing/2012/chart" uri="{CE6537A1-D6FC-4f65-9D91-7224C49458BB}"/>
                <c:ext xmlns:c16="http://schemas.microsoft.com/office/drawing/2014/chart" uri="{C3380CC4-5D6E-409C-BE32-E72D297353CC}">
                  <c16:uniqueId val="{00000001-B64D-4C11-96F5-95B5B35A8017}"/>
                </c:ext>
              </c:extLst>
            </c:dLbl>
            <c:dLbl>
              <c:idx val="2"/>
              <c:delete val="1"/>
              <c:extLst>
                <c:ext xmlns:c15="http://schemas.microsoft.com/office/drawing/2012/chart" uri="{CE6537A1-D6FC-4f65-9D91-7224C49458BB}"/>
                <c:ext xmlns:c16="http://schemas.microsoft.com/office/drawing/2014/chart" uri="{C3380CC4-5D6E-409C-BE32-E72D297353CC}">
                  <c16:uniqueId val="{00000002-B64D-4C11-96F5-95B5B35A8017}"/>
                </c:ext>
              </c:extLst>
            </c:dLbl>
            <c:dLbl>
              <c:idx val="3"/>
              <c:delete val="1"/>
              <c:extLst>
                <c:ext xmlns:c15="http://schemas.microsoft.com/office/drawing/2012/chart" uri="{CE6537A1-D6FC-4f65-9D91-7224C49458BB}"/>
                <c:ext xmlns:c16="http://schemas.microsoft.com/office/drawing/2014/chart" uri="{C3380CC4-5D6E-409C-BE32-E72D297353CC}">
                  <c16:uniqueId val="{00000003-B64D-4C11-96F5-95B5B35A8017}"/>
                </c:ext>
              </c:extLst>
            </c:dLbl>
            <c:dLbl>
              <c:idx val="4"/>
              <c:layout>
                <c:manualLayout>
                  <c:x val="-0.24990490427579107"/>
                  <c:y val="-0.20627966411098947"/>
                </c:manualLayout>
              </c:layout>
              <c:tx>
                <c:rich>
                  <a:bodyPr/>
                  <a:lstStyle/>
                  <a:p>
                    <a:r>
                      <a:rPr lang="en-US"/>
                      <a:t>Nedersta halvan får 1 miljard</a:t>
                    </a:r>
                  </a:p>
                </c:rich>
              </c:tx>
              <c:dLblPos val="ctr"/>
              <c:showLegendKey val="0"/>
              <c:showVal val="1"/>
              <c:showCatName val="0"/>
              <c:showSerName val="0"/>
              <c:showPercent val="0"/>
              <c:showBubbleSize val="0"/>
              <c:extLst>
                <c:ext xmlns:c15="http://schemas.microsoft.com/office/drawing/2012/chart" uri="{CE6537A1-D6FC-4f65-9D91-7224C49458BB}">
                  <c15:layout>
                    <c:manualLayout>
                      <c:w val="0.20834313470223287"/>
                      <c:h val="0.14782709937818564"/>
                    </c:manualLayout>
                  </c15:layout>
                  <c15:showDataLabelsRange val="0"/>
                </c:ext>
                <c:ext xmlns:c16="http://schemas.microsoft.com/office/drawing/2014/chart" uri="{C3380CC4-5D6E-409C-BE32-E72D297353CC}">
                  <c16:uniqueId val="{00000004-B64D-4C11-96F5-95B5B35A8017}"/>
                </c:ext>
              </c:extLst>
            </c:dLbl>
            <c:dLbl>
              <c:idx val="5"/>
              <c:layout>
                <c:manualLayout>
                  <c:x val="0.20334481066149512"/>
                  <c:y val="-0.12778386272362174"/>
                </c:manualLayout>
              </c:layout>
              <c:tx>
                <c:rich>
                  <a:bodyPr/>
                  <a:lstStyle/>
                  <a:p>
                    <a:r>
                      <a:rPr lang="en-US"/>
                      <a:t>Översta halvan får 10 miljarder</a:t>
                    </a:r>
                  </a:p>
                </c:rich>
              </c:tx>
              <c:dLblPos val="ctr"/>
              <c:showLegendKey val="0"/>
              <c:showVal val="1"/>
              <c:showCatName val="0"/>
              <c:showSerName val="0"/>
              <c:showPercent val="0"/>
              <c:showBubbleSize val="0"/>
              <c:extLst>
                <c:ext xmlns:c15="http://schemas.microsoft.com/office/drawing/2012/chart" uri="{CE6537A1-D6FC-4f65-9D91-7224C49458BB}">
                  <c15:layout>
                    <c:manualLayout>
                      <c:w val="0.22544689753005501"/>
                      <c:h val="0.18068580693568836"/>
                    </c:manualLayout>
                  </c15:layout>
                  <c15:showDataLabelsRange val="0"/>
                </c:ext>
                <c:ext xmlns:c16="http://schemas.microsoft.com/office/drawing/2014/chart" uri="{C3380CC4-5D6E-409C-BE32-E72D297353CC}">
                  <c16:uniqueId val="{00000005-B64D-4C11-96F5-95B5B35A8017}"/>
                </c:ext>
              </c:extLst>
            </c:dLbl>
            <c:dLbl>
              <c:idx val="6"/>
              <c:delete val="1"/>
              <c:extLst>
                <c:ext xmlns:c15="http://schemas.microsoft.com/office/drawing/2012/chart" uri="{CE6537A1-D6FC-4f65-9D91-7224C49458BB}"/>
                <c:ext xmlns:c16="http://schemas.microsoft.com/office/drawing/2014/chart" uri="{C3380CC4-5D6E-409C-BE32-E72D297353CC}">
                  <c16:uniqueId val="{00000006-B64D-4C11-96F5-95B5B35A8017}"/>
                </c:ext>
              </c:extLst>
            </c:dLbl>
            <c:dLbl>
              <c:idx val="7"/>
              <c:delete val="1"/>
              <c:extLst>
                <c:ext xmlns:c15="http://schemas.microsoft.com/office/drawing/2012/chart" uri="{CE6537A1-D6FC-4f65-9D91-7224C49458BB}"/>
                <c:ext xmlns:c16="http://schemas.microsoft.com/office/drawing/2014/chart" uri="{C3380CC4-5D6E-409C-BE32-E72D297353CC}">
                  <c16:uniqueId val="{00000007-B64D-4C11-96F5-95B5B35A8017}"/>
                </c:ext>
              </c:extLst>
            </c:dLbl>
            <c:dLbl>
              <c:idx val="8"/>
              <c:delete val="1"/>
              <c:extLst>
                <c:ext xmlns:c15="http://schemas.microsoft.com/office/drawing/2012/chart" uri="{CE6537A1-D6FC-4f65-9D91-7224C49458BB}"/>
                <c:ext xmlns:c16="http://schemas.microsoft.com/office/drawing/2014/chart" uri="{C3380CC4-5D6E-409C-BE32-E72D297353CC}">
                  <c16:uniqueId val="{00000008-B64D-4C11-96F5-95B5B35A8017}"/>
                </c:ext>
              </c:extLst>
            </c:dLbl>
            <c:dLbl>
              <c:idx val="9"/>
              <c:delete val="1"/>
              <c:extLst>
                <c:ext xmlns:c15="http://schemas.microsoft.com/office/drawing/2012/chart" uri="{CE6537A1-D6FC-4f65-9D91-7224C49458BB}"/>
                <c:ext xmlns:c16="http://schemas.microsoft.com/office/drawing/2014/chart" uri="{C3380CC4-5D6E-409C-BE32-E72D297353CC}">
                  <c16:uniqueId val="{00000009-B64D-4C11-96F5-95B5B35A801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dk1">
                        <a:lumMod val="65000"/>
                        <a:lumOff val="35000"/>
                      </a:schemeClr>
                    </a:solidFill>
                    <a:latin typeface="+mn-lt"/>
                    <a:ea typeface="+mn-ea"/>
                    <a:cs typeface="+mn-cs"/>
                  </a:defRPr>
                </a:pPr>
                <a:endParaRPr lang="sv-SE"/>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oundRectCallout">
                    <a:avLst/>
                  </a:prstGeom>
                  <a:noFill/>
                  <a:ln>
                    <a:noFill/>
                  </a:ln>
                </c15:spPr>
                <c15:showLeaderLines val="0"/>
              </c:ext>
            </c:extLst>
          </c:dLbls>
          <c:cat>
            <c:strRef>
              <c:f>Blad1!$I$16:$I$25</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Blad1!$J$16:$J$25</c:f>
              <c:numCache>
                <c:formatCode>0.0</c:formatCode>
                <c:ptCount val="10"/>
                <c:pt idx="0">
                  <c:v>2.5038340171530471E-3</c:v>
                </c:pt>
                <c:pt idx="1">
                  <c:v>6.674611492781703E-3</c:v>
                </c:pt>
                <c:pt idx="2">
                  <c:v>7.6803184006888209E-2</c:v>
                </c:pt>
                <c:pt idx="3">
                  <c:v>0.29784934099508564</c:v>
                </c:pt>
                <c:pt idx="4">
                  <c:v>0.87193740765660188</c:v>
                </c:pt>
                <c:pt idx="5">
                  <c:v>1.4237901802066872</c:v>
                </c:pt>
                <c:pt idx="6">
                  <c:v>1.9016550687348455</c:v>
                </c:pt>
                <c:pt idx="7">
                  <c:v>2.1902297212598589</c:v>
                </c:pt>
                <c:pt idx="8">
                  <c:v>2.2478015467182737</c:v>
                </c:pt>
                <c:pt idx="9">
                  <c:v>2.0228280842761741</c:v>
                </c:pt>
              </c:numCache>
            </c:numRef>
          </c:val>
          <c:extLst>
            <c:ext xmlns:c16="http://schemas.microsoft.com/office/drawing/2014/chart" uri="{C3380CC4-5D6E-409C-BE32-E72D297353CC}">
              <c16:uniqueId val="{0000000A-B64D-4C11-96F5-95B5B35A8017}"/>
            </c:ext>
          </c:extLst>
        </c:ser>
        <c:dLbls>
          <c:showLegendKey val="0"/>
          <c:showVal val="0"/>
          <c:showCatName val="0"/>
          <c:showSerName val="0"/>
          <c:showPercent val="0"/>
          <c:showBubbleSize val="0"/>
        </c:dLbls>
        <c:gapWidth val="150"/>
        <c:overlap val="100"/>
        <c:axId val="751674872"/>
        <c:axId val="751676184"/>
      </c:barChart>
      <c:catAx>
        <c:axId val="751674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crossAx val="751676184"/>
        <c:crosses val="autoZero"/>
        <c:auto val="1"/>
        <c:lblAlgn val="ctr"/>
        <c:lblOffset val="100"/>
        <c:noMultiLvlLbl val="0"/>
      </c:catAx>
      <c:valAx>
        <c:axId val="7516761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sv-SE"/>
                  <a:t>Miljarder kronor</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crossAx val="7516748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1" i="0" baseline="0"/>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Blad1!$B$1</c:f>
              <c:strCache>
                <c:ptCount val="1"/>
                <c:pt idx="0">
                  <c:v>Flerbostadshus</c:v>
                </c:pt>
              </c:strCache>
            </c:strRef>
          </c:tx>
          <c:spPr>
            <a:ln w="28575" cap="rnd">
              <a:solidFill>
                <a:srgbClr val="FF0000"/>
              </a:solidFill>
              <a:round/>
            </a:ln>
            <a:effectLst/>
          </c:spPr>
          <c:marker>
            <c:symbol val="none"/>
          </c:marker>
          <c:dLbls>
            <c:dLbl>
              <c:idx val="46"/>
              <c:layout>
                <c:manualLayout>
                  <c:x val="-0.13322873727774623"/>
                  <c:y val="-2.5048169556840083E-2"/>
                </c:manualLayout>
              </c:layout>
              <c:tx>
                <c:rich>
                  <a:bodyPr/>
                  <a:lstStyle/>
                  <a:p>
                    <a:r>
                      <a:rPr lang="en-US" sz="1200"/>
                      <a:t>Från totalt 68 tusen</a:t>
                    </a:r>
                    <a:r>
                      <a:rPr lang="en-US" sz="1200" baseline="0"/>
                      <a:t> 2021</a:t>
                    </a:r>
                    <a:endParaRPr lang="en-US" sz="1200"/>
                  </a:p>
                </c:rich>
              </c:tx>
              <c:showLegendKey val="0"/>
              <c:showVal val="1"/>
              <c:showCatName val="0"/>
              <c:showSerName val="0"/>
              <c:showPercent val="0"/>
              <c:showBubbleSize val="0"/>
              <c:extLst>
                <c:ext xmlns:c15="http://schemas.microsoft.com/office/drawing/2012/chart" uri="{CE6537A1-D6FC-4f65-9D91-7224C49458BB}">
                  <c15:layout>
                    <c:manualLayout>
                      <c:w val="0.40290873711318997"/>
                      <c:h val="0.12520170527816973"/>
                    </c:manualLayout>
                  </c15:layout>
                  <c15:showDataLabelsRange val="0"/>
                </c:ext>
                <c:ext xmlns:c16="http://schemas.microsoft.com/office/drawing/2014/chart" uri="{C3380CC4-5D6E-409C-BE32-E72D297353CC}">
                  <c16:uniqueId val="{00000000-AFD7-4B33-A9CA-A7F53BA30C49}"/>
                </c:ext>
              </c:extLst>
            </c:dLbl>
            <c:dLbl>
              <c:idx val="48"/>
              <c:layout>
                <c:manualLayout>
                  <c:x val="-9.0125186154238562E-2"/>
                  <c:y val="-5.7803468208092491E-2"/>
                </c:manualLayout>
              </c:layout>
              <c:tx>
                <c:rich>
                  <a:bodyPr/>
                  <a:lstStyle/>
                  <a:p>
                    <a:r>
                      <a:rPr lang="en-US" sz="1200"/>
                      <a:t>Till totalt 29 tusen 2023</a:t>
                    </a:r>
                  </a:p>
                </c:rich>
              </c:tx>
              <c:showLegendKey val="0"/>
              <c:showVal val="1"/>
              <c:showCatName val="0"/>
              <c:showSerName val="0"/>
              <c:showPercent val="0"/>
              <c:showBubbleSize val="0"/>
              <c:extLst>
                <c:ext xmlns:c15="http://schemas.microsoft.com/office/drawing/2012/chart" uri="{CE6537A1-D6FC-4f65-9D91-7224C49458BB}">
                  <c15:layout>
                    <c:manualLayout>
                      <c:w val="0.22265795341413044"/>
                      <c:h val="0.14446952801420052"/>
                    </c:manualLayout>
                  </c15:layout>
                  <c15:showDataLabelsRange val="0"/>
                </c:ext>
                <c:ext xmlns:c16="http://schemas.microsoft.com/office/drawing/2014/chart" uri="{C3380CC4-5D6E-409C-BE32-E72D297353CC}">
                  <c16:uniqueId val="{00000001-AFD7-4B33-A9CA-A7F53BA30C4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oundRectCallout">
                    <a:avLst/>
                  </a:prstGeom>
                  <a:noFill/>
                  <a:ln>
                    <a:noFill/>
                  </a:ln>
                </c15:spPr>
                <c15:showLeaderLines val="0"/>
              </c:ext>
            </c:extLst>
          </c:dLbls>
          <c:cat>
            <c:strRef>
              <c:f>Blad1!$A$2:$A$50</c:f>
              <c:strCache>
                <c:ptCount val="49"/>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pt idx="42">
                  <c:v>2017</c:v>
                </c:pt>
                <c:pt idx="43">
                  <c:v>2018</c:v>
                </c:pt>
                <c:pt idx="44">
                  <c:v>2019</c:v>
                </c:pt>
                <c:pt idx="45">
                  <c:v>2020</c:v>
                </c:pt>
                <c:pt idx="46">
                  <c:v>2021</c:v>
                </c:pt>
                <c:pt idx="47">
                  <c:v>2022</c:v>
                </c:pt>
                <c:pt idx="48">
                  <c:v>2023</c:v>
                </c:pt>
              </c:strCache>
            </c:strRef>
          </c:cat>
          <c:val>
            <c:numRef>
              <c:f>Blad1!$B$2:$B$50</c:f>
              <c:numCache>
                <c:formatCode>General</c:formatCode>
                <c:ptCount val="49"/>
                <c:pt idx="0">
                  <c:v>15215</c:v>
                </c:pt>
                <c:pt idx="1">
                  <c:v>14499</c:v>
                </c:pt>
                <c:pt idx="2">
                  <c:v>13714</c:v>
                </c:pt>
                <c:pt idx="3">
                  <c:v>16665</c:v>
                </c:pt>
                <c:pt idx="4">
                  <c:v>17820</c:v>
                </c:pt>
                <c:pt idx="5">
                  <c:v>17566</c:v>
                </c:pt>
                <c:pt idx="6">
                  <c:v>17641</c:v>
                </c:pt>
                <c:pt idx="7">
                  <c:v>18434</c:v>
                </c:pt>
                <c:pt idx="8">
                  <c:v>18273</c:v>
                </c:pt>
                <c:pt idx="9">
                  <c:v>16768</c:v>
                </c:pt>
                <c:pt idx="10">
                  <c:v>13904</c:v>
                </c:pt>
                <c:pt idx="11">
                  <c:v>16004</c:v>
                </c:pt>
                <c:pt idx="12">
                  <c:v>22610</c:v>
                </c:pt>
                <c:pt idx="13">
                  <c:v>27531</c:v>
                </c:pt>
                <c:pt idx="14">
                  <c:v>32621</c:v>
                </c:pt>
                <c:pt idx="15">
                  <c:v>41787</c:v>
                </c:pt>
                <c:pt idx="16">
                  <c:v>34694</c:v>
                </c:pt>
                <c:pt idx="17">
                  <c:v>33593</c:v>
                </c:pt>
                <c:pt idx="18">
                  <c:v>8720</c:v>
                </c:pt>
                <c:pt idx="19">
                  <c:v>7822</c:v>
                </c:pt>
                <c:pt idx="20">
                  <c:v>9059</c:v>
                </c:pt>
                <c:pt idx="21">
                  <c:v>8810</c:v>
                </c:pt>
                <c:pt idx="22">
                  <c:v>7381</c:v>
                </c:pt>
                <c:pt idx="23">
                  <c:v>6593</c:v>
                </c:pt>
                <c:pt idx="24">
                  <c:v>7335</c:v>
                </c:pt>
                <c:pt idx="25">
                  <c:v>8597</c:v>
                </c:pt>
                <c:pt idx="26">
                  <c:v>12393</c:v>
                </c:pt>
                <c:pt idx="27">
                  <c:v>11705</c:v>
                </c:pt>
                <c:pt idx="28">
                  <c:v>12710</c:v>
                </c:pt>
                <c:pt idx="29">
                  <c:v>16883</c:v>
                </c:pt>
                <c:pt idx="30">
                  <c:v>19548</c:v>
                </c:pt>
                <c:pt idx="31">
                  <c:v>31481</c:v>
                </c:pt>
                <c:pt idx="32">
                  <c:v>13942</c:v>
                </c:pt>
                <c:pt idx="33">
                  <c:v>11105</c:v>
                </c:pt>
                <c:pt idx="34">
                  <c:v>9521</c:v>
                </c:pt>
                <c:pt idx="35">
                  <c:v>18143</c:v>
                </c:pt>
                <c:pt idx="36">
                  <c:v>18458</c:v>
                </c:pt>
                <c:pt idx="37">
                  <c:v>15874</c:v>
                </c:pt>
                <c:pt idx="38">
                  <c:v>23794</c:v>
                </c:pt>
                <c:pt idx="39">
                  <c:v>28103</c:v>
                </c:pt>
                <c:pt idx="40">
                  <c:v>37180</c:v>
                </c:pt>
                <c:pt idx="41">
                  <c:v>48437</c:v>
                </c:pt>
                <c:pt idx="42">
                  <c:v>51091</c:v>
                </c:pt>
                <c:pt idx="43">
                  <c:v>41836</c:v>
                </c:pt>
                <c:pt idx="44">
                  <c:v>38672</c:v>
                </c:pt>
                <c:pt idx="45">
                  <c:v>44690</c:v>
                </c:pt>
                <c:pt idx="46">
                  <c:v>54274</c:v>
                </c:pt>
                <c:pt idx="47">
                  <c:v>44465</c:v>
                </c:pt>
                <c:pt idx="48">
                  <c:v>22700</c:v>
                </c:pt>
              </c:numCache>
            </c:numRef>
          </c:val>
          <c:smooth val="0"/>
          <c:extLst>
            <c:ext xmlns:c16="http://schemas.microsoft.com/office/drawing/2014/chart" uri="{C3380CC4-5D6E-409C-BE32-E72D297353CC}">
              <c16:uniqueId val="{00000002-AFD7-4B33-A9CA-A7F53BA30C49}"/>
            </c:ext>
          </c:extLst>
        </c:ser>
        <c:ser>
          <c:idx val="2"/>
          <c:order val="1"/>
          <c:tx>
            <c:strRef>
              <c:f>Blad1!$C$1</c:f>
              <c:strCache>
                <c:ptCount val="1"/>
                <c:pt idx="0">
                  <c:v>Småhus</c:v>
                </c:pt>
              </c:strCache>
            </c:strRef>
          </c:tx>
          <c:spPr>
            <a:ln w="28575" cap="rnd">
              <a:solidFill>
                <a:schemeClr val="accent3"/>
              </a:solidFill>
              <a:round/>
            </a:ln>
            <a:effectLst/>
          </c:spPr>
          <c:marker>
            <c:symbol val="none"/>
          </c:marker>
          <c:cat>
            <c:strRef>
              <c:f>Blad1!$A$2:$A$50</c:f>
              <c:strCache>
                <c:ptCount val="49"/>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pt idx="42">
                  <c:v>2017</c:v>
                </c:pt>
                <c:pt idx="43">
                  <c:v>2018</c:v>
                </c:pt>
                <c:pt idx="44">
                  <c:v>2019</c:v>
                </c:pt>
                <c:pt idx="45">
                  <c:v>2020</c:v>
                </c:pt>
                <c:pt idx="46">
                  <c:v>2021</c:v>
                </c:pt>
                <c:pt idx="47">
                  <c:v>2022</c:v>
                </c:pt>
                <c:pt idx="48">
                  <c:v>2023</c:v>
                </c:pt>
              </c:strCache>
            </c:strRef>
          </c:cat>
          <c:val>
            <c:numRef>
              <c:f>Blad1!$C$2:$C$50</c:f>
              <c:numCache>
                <c:formatCode>General</c:formatCode>
                <c:ptCount val="49"/>
                <c:pt idx="0">
                  <c:v>36130</c:v>
                </c:pt>
                <c:pt idx="1">
                  <c:v>42719</c:v>
                </c:pt>
                <c:pt idx="2">
                  <c:v>40240</c:v>
                </c:pt>
                <c:pt idx="3">
                  <c:v>40629</c:v>
                </c:pt>
                <c:pt idx="4">
                  <c:v>38216</c:v>
                </c:pt>
                <c:pt idx="5">
                  <c:v>32545</c:v>
                </c:pt>
                <c:pt idx="6">
                  <c:v>26813</c:v>
                </c:pt>
                <c:pt idx="7">
                  <c:v>23495</c:v>
                </c:pt>
                <c:pt idx="8">
                  <c:v>19503</c:v>
                </c:pt>
                <c:pt idx="9">
                  <c:v>17300</c:v>
                </c:pt>
                <c:pt idx="10">
                  <c:v>13635</c:v>
                </c:pt>
                <c:pt idx="11">
                  <c:v>14762</c:v>
                </c:pt>
                <c:pt idx="12">
                  <c:v>17204</c:v>
                </c:pt>
                <c:pt idx="13">
                  <c:v>23292</c:v>
                </c:pt>
                <c:pt idx="14">
                  <c:v>26258</c:v>
                </c:pt>
                <c:pt idx="15">
                  <c:v>27839</c:v>
                </c:pt>
                <c:pt idx="16">
                  <c:v>22161</c:v>
                </c:pt>
                <c:pt idx="17">
                  <c:v>15870</c:v>
                </c:pt>
                <c:pt idx="18">
                  <c:v>3191</c:v>
                </c:pt>
                <c:pt idx="19">
                  <c:v>4038</c:v>
                </c:pt>
                <c:pt idx="20">
                  <c:v>3676</c:v>
                </c:pt>
                <c:pt idx="21">
                  <c:v>3947</c:v>
                </c:pt>
                <c:pt idx="22">
                  <c:v>4591</c:v>
                </c:pt>
                <c:pt idx="23">
                  <c:v>6038</c:v>
                </c:pt>
                <c:pt idx="24">
                  <c:v>7234</c:v>
                </c:pt>
                <c:pt idx="25">
                  <c:v>8226</c:v>
                </c:pt>
                <c:pt idx="26">
                  <c:v>7008</c:v>
                </c:pt>
                <c:pt idx="27">
                  <c:v>7346</c:v>
                </c:pt>
                <c:pt idx="28">
                  <c:v>9342</c:v>
                </c:pt>
                <c:pt idx="29">
                  <c:v>10436</c:v>
                </c:pt>
                <c:pt idx="30">
                  <c:v>12239</c:v>
                </c:pt>
                <c:pt idx="31">
                  <c:v>13783</c:v>
                </c:pt>
                <c:pt idx="32">
                  <c:v>13604</c:v>
                </c:pt>
                <c:pt idx="33">
                  <c:v>10094</c:v>
                </c:pt>
                <c:pt idx="34">
                  <c:v>8427</c:v>
                </c:pt>
                <c:pt idx="35">
                  <c:v>9386</c:v>
                </c:pt>
                <c:pt idx="36">
                  <c:v>8226</c:v>
                </c:pt>
                <c:pt idx="37">
                  <c:v>5439</c:v>
                </c:pt>
                <c:pt idx="38">
                  <c:v>6679</c:v>
                </c:pt>
                <c:pt idx="39">
                  <c:v>8608</c:v>
                </c:pt>
                <c:pt idx="40">
                  <c:v>10957</c:v>
                </c:pt>
                <c:pt idx="41">
                  <c:v>12990</c:v>
                </c:pt>
                <c:pt idx="42">
                  <c:v>12869</c:v>
                </c:pt>
                <c:pt idx="43">
                  <c:v>11086</c:v>
                </c:pt>
                <c:pt idx="44">
                  <c:v>10883</c:v>
                </c:pt>
                <c:pt idx="45">
                  <c:v>11234</c:v>
                </c:pt>
                <c:pt idx="46">
                  <c:v>14146</c:v>
                </c:pt>
                <c:pt idx="47">
                  <c:v>12568</c:v>
                </c:pt>
                <c:pt idx="48">
                  <c:v>6600</c:v>
                </c:pt>
              </c:numCache>
            </c:numRef>
          </c:val>
          <c:smooth val="0"/>
          <c:extLst>
            <c:ext xmlns:c16="http://schemas.microsoft.com/office/drawing/2014/chart" uri="{C3380CC4-5D6E-409C-BE32-E72D297353CC}">
              <c16:uniqueId val="{00000003-AFD7-4B33-A9CA-A7F53BA30C49}"/>
            </c:ext>
          </c:extLst>
        </c:ser>
        <c:dLbls>
          <c:showLegendKey val="0"/>
          <c:showVal val="0"/>
          <c:showCatName val="0"/>
          <c:showSerName val="0"/>
          <c:showPercent val="0"/>
          <c:showBubbleSize val="0"/>
        </c:dLbls>
        <c:smooth val="0"/>
        <c:axId val="496582208"/>
        <c:axId val="496584176"/>
      </c:lineChart>
      <c:catAx>
        <c:axId val="49658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v-SE"/>
          </a:p>
        </c:txPr>
        <c:crossAx val="496584176"/>
        <c:crosses val="autoZero"/>
        <c:auto val="1"/>
        <c:lblAlgn val="ctr"/>
        <c:lblOffset val="100"/>
        <c:noMultiLvlLbl val="0"/>
      </c:catAx>
      <c:valAx>
        <c:axId val="4965841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v-SE"/>
          </a:p>
        </c:txPr>
        <c:crossAx val="496582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i="0" baseline="0"/>
      </a:pPr>
      <a:endParaRPr lang="sv-SE"/>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GGXWDG_NGDP!$F$5</c:f>
              <c:strCache>
                <c:ptCount val="1"/>
                <c:pt idx="0">
                  <c:v>Bruttoskuld</c:v>
                </c:pt>
              </c:strCache>
            </c:strRef>
          </c:tx>
          <c:spPr>
            <a:solidFill>
              <a:srgbClr val="4472C4"/>
            </a:solidFill>
            <a:ln w="25400">
              <a:noFill/>
            </a:ln>
          </c:spPr>
          <c:invertIfNegative val="0"/>
          <c:dPt>
            <c:idx val="2"/>
            <c:invertIfNegative val="0"/>
            <c:bubble3D val="0"/>
            <c:spPr>
              <a:solidFill>
                <a:srgbClr val="FF0000"/>
              </a:solidFill>
              <a:ln w="25400">
                <a:solidFill>
                  <a:srgbClr val="FF0000"/>
                </a:solidFill>
              </a:ln>
            </c:spPr>
            <c:extLst>
              <c:ext xmlns:c16="http://schemas.microsoft.com/office/drawing/2014/chart" uri="{C3380CC4-5D6E-409C-BE32-E72D297353CC}">
                <c16:uniqueId val="{00000001-3CF6-4D95-97BB-A4E4A274BE67}"/>
              </c:ext>
            </c:extLst>
          </c:dPt>
          <c:cat>
            <c:strRef>
              <c:f>GGXWDG_NGDP!$G$4:$S$4</c:f>
              <c:strCache>
                <c:ptCount val="13"/>
                <c:pt idx="0">
                  <c:v>Danmark</c:v>
                </c:pt>
                <c:pt idx="1">
                  <c:v>Sverige</c:v>
                </c:pt>
                <c:pt idx="2">
                  <c:v>Sverige 2032</c:v>
                </c:pt>
                <c:pt idx="3">
                  <c:v>Nederländerna</c:v>
                </c:pt>
                <c:pt idx="4">
                  <c:v>Tyskland</c:v>
                </c:pt>
                <c:pt idx="5">
                  <c:v>Finland</c:v>
                </c:pt>
                <c:pt idx="6">
                  <c:v>EU</c:v>
                </c:pt>
                <c:pt idx="7">
                  <c:v>Kina</c:v>
                </c:pt>
                <c:pt idx="8">
                  <c:v>Kanada</c:v>
                </c:pt>
                <c:pt idx="9">
                  <c:v>Storbritannien</c:v>
                </c:pt>
                <c:pt idx="10">
                  <c:v>Frankrike</c:v>
                </c:pt>
                <c:pt idx="11">
                  <c:v>USA</c:v>
                </c:pt>
                <c:pt idx="12">
                  <c:v>Italien</c:v>
                </c:pt>
              </c:strCache>
            </c:strRef>
          </c:cat>
          <c:val>
            <c:numRef>
              <c:f>GGXWDG_NGDP!$G$5:$S$5</c:f>
              <c:numCache>
                <c:formatCode>General</c:formatCode>
                <c:ptCount val="13"/>
                <c:pt idx="0">
                  <c:v>29</c:v>
                </c:pt>
                <c:pt idx="1">
                  <c:v>31.8</c:v>
                </c:pt>
                <c:pt idx="2">
                  <c:v>41.4</c:v>
                </c:pt>
                <c:pt idx="3">
                  <c:v>48.6</c:v>
                </c:pt>
                <c:pt idx="4">
                  <c:v>64</c:v>
                </c:pt>
                <c:pt idx="5">
                  <c:v>76.5</c:v>
                </c:pt>
                <c:pt idx="6">
                  <c:v>83</c:v>
                </c:pt>
                <c:pt idx="7">
                  <c:v>87.4</c:v>
                </c:pt>
                <c:pt idx="8">
                  <c:v>103.3</c:v>
                </c:pt>
                <c:pt idx="9">
                  <c:v>105.9</c:v>
                </c:pt>
                <c:pt idx="10">
                  <c:v>110.5</c:v>
                </c:pt>
                <c:pt idx="11">
                  <c:v>126.9</c:v>
                </c:pt>
                <c:pt idx="12">
                  <c:v>143.19999999999999</c:v>
                </c:pt>
              </c:numCache>
            </c:numRef>
          </c:val>
          <c:extLst>
            <c:ext xmlns:c16="http://schemas.microsoft.com/office/drawing/2014/chart" uri="{C3380CC4-5D6E-409C-BE32-E72D297353CC}">
              <c16:uniqueId val="{00000002-3CF6-4D95-97BB-A4E4A274BE67}"/>
            </c:ext>
          </c:extLst>
        </c:ser>
        <c:dLbls>
          <c:showLegendKey val="0"/>
          <c:showVal val="0"/>
          <c:showCatName val="0"/>
          <c:showSerName val="0"/>
          <c:showPercent val="0"/>
          <c:showBubbleSize val="0"/>
        </c:dLbls>
        <c:gapWidth val="219"/>
        <c:overlap val="-27"/>
        <c:axId val="454010688"/>
        <c:axId val="1"/>
      </c:barChart>
      <c:catAx>
        <c:axId val="454010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54010688"/>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'F3301-20240326'!$R$4</c:f>
              <c:strCache>
                <c:ptCount val="1"/>
                <c:pt idx="0">
                  <c:v>offentliga nettoställningen</c:v>
                </c:pt>
              </c:strCache>
            </c:strRef>
          </c:tx>
          <c:spPr>
            <a:solidFill>
              <a:schemeClr val="accent1"/>
            </a:solidFill>
            <a:ln>
              <a:noFill/>
            </a:ln>
            <a:effectLst/>
          </c:spPr>
          <c:invertIfNegative val="0"/>
          <c:cat>
            <c:numRef>
              <c:f>'F3301-20240326'!$S$3:$AU$3</c:f>
              <c:numCache>
                <c:formatCode>m/d/yyyy</c:formatCode>
                <c:ptCount val="29"/>
                <c:pt idx="0">
                  <c:v>35065</c:v>
                </c:pt>
                <c:pt idx="1">
                  <c:v>35431</c:v>
                </c:pt>
                <c:pt idx="2">
                  <c:v>35796</c:v>
                </c:pt>
                <c:pt idx="3">
                  <c:v>36161</c:v>
                </c:pt>
                <c:pt idx="4">
                  <c:v>36526</c:v>
                </c:pt>
                <c:pt idx="5">
                  <c:v>36892</c:v>
                </c:pt>
                <c:pt idx="6">
                  <c:v>37257</c:v>
                </c:pt>
                <c:pt idx="7">
                  <c:v>37622</c:v>
                </c:pt>
                <c:pt idx="8">
                  <c:v>37987</c:v>
                </c:pt>
                <c:pt idx="9">
                  <c:v>38353</c:v>
                </c:pt>
                <c:pt idx="10">
                  <c:v>38718</c:v>
                </c:pt>
                <c:pt idx="11">
                  <c:v>39083</c:v>
                </c:pt>
                <c:pt idx="12">
                  <c:v>39448</c:v>
                </c:pt>
                <c:pt idx="13">
                  <c:v>39814</c:v>
                </c:pt>
                <c:pt idx="14">
                  <c:v>40179</c:v>
                </c:pt>
                <c:pt idx="15">
                  <c:v>40544</c:v>
                </c:pt>
                <c:pt idx="16">
                  <c:v>40909</c:v>
                </c:pt>
                <c:pt idx="17">
                  <c:v>41275</c:v>
                </c:pt>
                <c:pt idx="18">
                  <c:v>41640</c:v>
                </c:pt>
                <c:pt idx="19">
                  <c:v>42005</c:v>
                </c:pt>
                <c:pt idx="20">
                  <c:v>42370</c:v>
                </c:pt>
                <c:pt idx="21">
                  <c:v>42736</c:v>
                </c:pt>
                <c:pt idx="22">
                  <c:v>43101</c:v>
                </c:pt>
                <c:pt idx="23">
                  <c:v>43466</c:v>
                </c:pt>
                <c:pt idx="24">
                  <c:v>43831</c:v>
                </c:pt>
                <c:pt idx="25">
                  <c:v>44197</c:v>
                </c:pt>
                <c:pt idx="26">
                  <c:v>44562</c:v>
                </c:pt>
                <c:pt idx="27">
                  <c:v>44927</c:v>
                </c:pt>
                <c:pt idx="28">
                  <c:v>45292</c:v>
                </c:pt>
              </c:numCache>
            </c:numRef>
          </c:cat>
          <c:val>
            <c:numRef>
              <c:f>'F3301-20240326'!$S$4:$AU$4</c:f>
              <c:numCache>
                <c:formatCode>0.0</c:formatCode>
                <c:ptCount val="29"/>
                <c:pt idx="0">
                  <c:v>-26.5</c:v>
                </c:pt>
                <c:pt idx="1">
                  <c:v>-29.1</c:v>
                </c:pt>
                <c:pt idx="2">
                  <c:v>-28.9</c:v>
                </c:pt>
                <c:pt idx="3">
                  <c:v>-17.3</c:v>
                </c:pt>
                <c:pt idx="4">
                  <c:v>-9.9</c:v>
                </c:pt>
                <c:pt idx="5">
                  <c:v>-5.7</c:v>
                </c:pt>
                <c:pt idx="6">
                  <c:v>-12.3</c:v>
                </c:pt>
                <c:pt idx="7">
                  <c:v>-9.1</c:v>
                </c:pt>
                <c:pt idx="8">
                  <c:v>-6.9</c:v>
                </c:pt>
                <c:pt idx="9">
                  <c:v>-1</c:v>
                </c:pt>
                <c:pt idx="10">
                  <c:v>8.5</c:v>
                </c:pt>
                <c:pt idx="11">
                  <c:v>13.5</c:v>
                </c:pt>
                <c:pt idx="12">
                  <c:v>8.1999999999999993</c:v>
                </c:pt>
                <c:pt idx="13">
                  <c:v>14.8</c:v>
                </c:pt>
                <c:pt idx="14">
                  <c:v>16.5</c:v>
                </c:pt>
                <c:pt idx="15">
                  <c:v>17.399999999999999</c:v>
                </c:pt>
                <c:pt idx="16">
                  <c:v>19.399999999999999</c:v>
                </c:pt>
                <c:pt idx="17">
                  <c:v>19</c:v>
                </c:pt>
                <c:pt idx="18">
                  <c:v>18</c:v>
                </c:pt>
                <c:pt idx="19">
                  <c:v>17.2</c:v>
                </c:pt>
                <c:pt idx="20">
                  <c:v>20.9</c:v>
                </c:pt>
                <c:pt idx="21">
                  <c:v>23.4</c:v>
                </c:pt>
                <c:pt idx="22">
                  <c:v>23.4</c:v>
                </c:pt>
                <c:pt idx="23">
                  <c:v>27.8</c:v>
                </c:pt>
                <c:pt idx="24">
                  <c:v>27.5</c:v>
                </c:pt>
                <c:pt idx="25">
                  <c:v>33.6</c:v>
                </c:pt>
                <c:pt idx="26">
                  <c:v>29.8</c:v>
                </c:pt>
                <c:pt idx="27">
                  <c:v>29.8</c:v>
                </c:pt>
                <c:pt idx="28">
                  <c:v>32</c:v>
                </c:pt>
              </c:numCache>
            </c:numRef>
          </c:val>
          <c:extLst>
            <c:ext xmlns:c16="http://schemas.microsoft.com/office/drawing/2014/chart" uri="{C3380CC4-5D6E-409C-BE32-E72D297353CC}">
              <c16:uniqueId val="{00000000-19E2-4FC3-B344-7C6B9115659C}"/>
            </c:ext>
          </c:extLst>
        </c:ser>
        <c:dLbls>
          <c:showLegendKey val="0"/>
          <c:showVal val="0"/>
          <c:showCatName val="0"/>
          <c:showSerName val="0"/>
          <c:showPercent val="0"/>
          <c:showBubbleSize val="0"/>
        </c:dLbls>
        <c:gapWidth val="219"/>
        <c:overlap val="-27"/>
        <c:axId val="489852568"/>
        <c:axId val="489852240"/>
      </c:barChart>
      <c:dateAx>
        <c:axId val="489852568"/>
        <c:scaling>
          <c:orientation val="minMax"/>
        </c:scaling>
        <c:delete val="0"/>
        <c:axPos val="b"/>
        <c:numFmt formatCode="yyyy"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89852240"/>
        <c:crosses val="autoZero"/>
        <c:auto val="1"/>
        <c:lblOffset val="100"/>
        <c:baseTimeUnit val="years"/>
        <c:majorUnit val="2"/>
        <c:majorTimeUnit val="years"/>
      </c:dateAx>
      <c:valAx>
        <c:axId val="48985224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89852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Blad1!$XEN$11</c:f>
              <c:strCache>
                <c:ptCount val="1"/>
                <c:pt idx="0">
                  <c:v>Budgetproposition</c:v>
                </c:pt>
              </c:strCache>
            </c:strRef>
          </c:tx>
          <c:spPr>
            <a:solidFill>
              <a:srgbClr val="FF0000"/>
            </a:solidFill>
            <a:ln>
              <a:noFill/>
            </a:ln>
            <a:effectLst/>
          </c:spPr>
          <c:invertIfNegative val="0"/>
          <c:cat>
            <c:numRef>
              <c:f>Blad1!$XEM$12:$XEM$14</c:f>
              <c:numCache>
                <c:formatCode>General</c:formatCode>
                <c:ptCount val="3"/>
                <c:pt idx="0">
                  <c:v>2022</c:v>
                </c:pt>
                <c:pt idx="1">
                  <c:v>2023</c:v>
                </c:pt>
                <c:pt idx="2">
                  <c:v>2024</c:v>
                </c:pt>
              </c:numCache>
            </c:numRef>
          </c:cat>
          <c:val>
            <c:numRef>
              <c:f>Blad1!$XEN$12:$XEN$14</c:f>
              <c:numCache>
                <c:formatCode>General</c:formatCode>
                <c:ptCount val="3"/>
                <c:pt idx="0">
                  <c:v>2064.0349999999999</c:v>
                </c:pt>
                <c:pt idx="1">
                  <c:v>1130.0350000000001</c:v>
                </c:pt>
                <c:pt idx="2">
                  <c:v>1212.0350000000001</c:v>
                </c:pt>
              </c:numCache>
            </c:numRef>
          </c:val>
          <c:extLst>
            <c:ext xmlns:c16="http://schemas.microsoft.com/office/drawing/2014/chart" uri="{C3380CC4-5D6E-409C-BE32-E72D297353CC}">
              <c16:uniqueId val="{00000000-F631-4D52-81E4-2E09AA03FF6C}"/>
            </c:ext>
          </c:extLst>
        </c:ser>
        <c:ser>
          <c:idx val="1"/>
          <c:order val="1"/>
          <c:tx>
            <c:strRef>
              <c:f>Blad1!$XEO$11</c:f>
              <c:strCache>
                <c:ptCount val="1"/>
                <c:pt idx="0">
                  <c:v>Vårändringsbudget</c:v>
                </c:pt>
              </c:strCache>
            </c:strRef>
          </c:tx>
          <c:spPr>
            <a:solidFill>
              <a:srgbClr val="0070C0"/>
            </a:solidFill>
            <a:ln>
              <a:noFill/>
            </a:ln>
            <a:effectLst/>
          </c:spPr>
          <c:invertIfNegative val="0"/>
          <c:dLbls>
            <c:dLbl>
              <c:idx val="2"/>
              <c:layout>
                <c:manualLayout>
                  <c:x val="5.4669219860910459E-2"/>
                  <c:y val="-0.14524804727235816"/>
                </c:manualLayout>
              </c:layout>
              <c:tx>
                <c:rich>
                  <a:bodyPr rot="0" spcFirstLastPara="1" vertOverflow="clip" horzOverflow="clip" vert="horz" wrap="square" lIns="36576" tIns="18288" rIns="36576" bIns="18288" anchor="ctr" anchorCtr="1">
                    <a:spAutoFit/>
                  </a:bodyPr>
                  <a:lstStyle/>
                  <a:p>
                    <a:pPr algn="l">
                      <a:defRPr sz="900" b="1" i="0" u="none" strike="noStrike" kern="1200" baseline="0">
                        <a:solidFill>
                          <a:schemeClr val="dk1">
                            <a:lumMod val="65000"/>
                            <a:lumOff val="35000"/>
                          </a:schemeClr>
                        </a:solidFill>
                        <a:latin typeface="+mn-lt"/>
                        <a:ea typeface="+mn-ea"/>
                        <a:cs typeface="+mn-cs"/>
                      </a:defRPr>
                    </a:pPr>
                    <a:r>
                      <a:rPr lang="en-US"/>
                      <a:t>30 miljoner kronor i VÄB</a:t>
                    </a:r>
                  </a:p>
                </c:rich>
              </c:tx>
              <c:numFmt formatCode="General" sourceLinked="0"/>
              <c:spPr>
                <a:solidFill>
                  <a:sysClr val="window" lastClr="FFFFFF"/>
                </a:solidFill>
                <a:ln>
                  <a:solidFill>
                    <a:sysClr val="windowText" lastClr="000000">
                      <a:lumMod val="25000"/>
                      <a:lumOff val="75000"/>
                    </a:sysClr>
                  </a:solidFill>
                  <a:round/>
                </a:ln>
                <a:effectLst/>
              </c:spPr>
              <c:txPr>
                <a:bodyPr rot="0" spcFirstLastPara="1" vertOverflow="clip" horzOverflow="clip" vert="horz" wrap="square" lIns="36576" tIns="18288" rIns="36576" bIns="18288" anchor="ctr" anchorCtr="1">
                  <a:spAutoFit/>
                </a:bodyPr>
                <a:lstStyle/>
                <a:p>
                  <a:pPr algn="l">
                    <a:defRPr sz="900" b="1" i="0" u="none" strike="noStrike" kern="1200" baseline="0">
                      <a:solidFill>
                        <a:schemeClr val="dk1">
                          <a:lumMod val="65000"/>
                          <a:lumOff val="35000"/>
                        </a:schemeClr>
                      </a:solidFill>
                      <a:latin typeface="+mn-lt"/>
                      <a:ea typeface="+mn-ea"/>
                      <a:cs typeface="+mn-cs"/>
                    </a:defRPr>
                  </a:pPr>
                  <a:endParaRPr lang="sv-SE"/>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oundRectCallout">
                      <a:avLst/>
                    </a:prstGeom>
                    <a:noFill/>
                    <a:ln>
                      <a:noFill/>
                    </a:ln>
                  </c15:spPr>
                  <c15:layout>
                    <c:manualLayout>
                      <c:w val="0.18623729631215657"/>
                      <c:h val="0.15945217295475542"/>
                    </c:manualLayout>
                  </c15:layout>
                  <c15:showDataLabelsRange val="0"/>
                </c:ext>
                <c:ext xmlns:c16="http://schemas.microsoft.com/office/drawing/2014/chart" uri="{C3380CC4-5D6E-409C-BE32-E72D297353CC}">
                  <c16:uniqueId val="{00000001-F631-4D52-81E4-2E09AA03FF6C}"/>
                </c:ext>
              </c:extLst>
            </c:dLbl>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oundRectCallout">
                    <a:avLst/>
                  </a:prstGeom>
                  <a:noFill/>
                  <a:ln>
                    <a:noFill/>
                  </a:ln>
                </c15:spPr>
                <c15:showLeaderLines val="0"/>
              </c:ext>
            </c:extLst>
          </c:dLbls>
          <c:cat>
            <c:numRef>
              <c:f>Blad1!$XEM$12:$XEM$14</c:f>
              <c:numCache>
                <c:formatCode>General</c:formatCode>
                <c:ptCount val="3"/>
                <c:pt idx="0">
                  <c:v>2022</c:v>
                </c:pt>
                <c:pt idx="1">
                  <c:v>2023</c:v>
                </c:pt>
                <c:pt idx="2">
                  <c:v>2024</c:v>
                </c:pt>
              </c:numCache>
            </c:numRef>
          </c:cat>
          <c:val>
            <c:numRef>
              <c:f>Blad1!$XEO$12:$XEO$14</c:f>
              <c:numCache>
                <c:formatCode>General</c:formatCode>
                <c:ptCount val="3"/>
                <c:pt idx="0">
                  <c:v>0</c:v>
                </c:pt>
                <c:pt idx="1">
                  <c:v>0</c:v>
                </c:pt>
                <c:pt idx="2">
                  <c:v>30</c:v>
                </c:pt>
              </c:numCache>
            </c:numRef>
          </c:val>
          <c:extLst>
            <c:ext xmlns:c16="http://schemas.microsoft.com/office/drawing/2014/chart" uri="{C3380CC4-5D6E-409C-BE32-E72D297353CC}">
              <c16:uniqueId val="{00000002-F631-4D52-81E4-2E09AA03FF6C}"/>
            </c:ext>
          </c:extLst>
        </c:ser>
        <c:dLbls>
          <c:showLegendKey val="0"/>
          <c:showVal val="0"/>
          <c:showCatName val="0"/>
          <c:showSerName val="0"/>
          <c:showPercent val="0"/>
          <c:showBubbleSize val="0"/>
        </c:dLbls>
        <c:gapWidth val="50"/>
        <c:overlap val="100"/>
        <c:axId val="251763824"/>
        <c:axId val="251764808"/>
      </c:barChart>
      <c:catAx>
        <c:axId val="251763824"/>
        <c:scaling>
          <c:orientation val="minMax"/>
        </c:scaling>
        <c:delete val="0"/>
        <c:axPos val="b"/>
        <c:numFmt formatCode="General" sourceLinked="1"/>
        <c:majorTickMark val="none"/>
        <c:minorTickMark val="none"/>
        <c:tickLblPos val="nextTo"/>
        <c:spPr>
          <a:noFill/>
          <a:ln w="9525" cap="flat" cmpd="sng" algn="ctr">
            <a:solidFill>
              <a:schemeClr val="bg1">
                <a:lumMod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v-SE"/>
          </a:p>
        </c:txPr>
        <c:crossAx val="251764808"/>
        <c:crosses val="autoZero"/>
        <c:auto val="1"/>
        <c:lblAlgn val="ctr"/>
        <c:lblOffset val="100"/>
        <c:noMultiLvlLbl val="0"/>
      </c:catAx>
      <c:valAx>
        <c:axId val="251764808"/>
        <c:scaling>
          <c:orientation val="minMax"/>
        </c:scaling>
        <c:delete val="0"/>
        <c:axPos val="l"/>
        <c:majorGridlines>
          <c:spPr>
            <a:ln w="9525" cap="flat" cmpd="sng" algn="ctr">
              <a:solidFill>
                <a:schemeClr val="bg1">
                  <a:lumMod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v-SE"/>
          </a:p>
        </c:txPr>
        <c:crossAx val="2517638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i="0" baseline="0"/>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Blad1!$C$4</c:f>
              <c:strCache>
                <c:ptCount val="1"/>
                <c:pt idx="0">
                  <c:v>Sysselsättningsgrad (vänster)</c:v>
                </c:pt>
              </c:strCache>
            </c:strRef>
          </c:tx>
          <c:spPr>
            <a:ln w="28575" cap="rnd">
              <a:solidFill>
                <a:schemeClr val="accent1"/>
              </a:solidFill>
              <a:round/>
            </a:ln>
            <a:effectLst/>
          </c:spPr>
          <c:marker>
            <c:symbol val="none"/>
          </c:marker>
          <c:cat>
            <c:numRef>
              <c:f>Blad1!$D$3:$JU$3</c:f>
              <c:numCache>
                <c:formatCode>m/d/yyyy</c:formatCode>
                <c:ptCount val="278"/>
                <c:pt idx="0">
                  <c:v>36892</c:v>
                </c:pt>
                <c:pt idx="1">
                  <c:v>36923</c:v>
                </c:pt>
                <c:pt idx="2">
                  <c:v>36951</c:v>
                </c:pt>
                <c:pt idx="3">
                  <c:v>36982</c:v>
                </c:pt>
                <c:pt idx="4">
                  <c:v>37012</c:v>
                </c:pt>
                <c:pt idx="5">
                  <c:v>37043</c:v>
                </c:pt>
                <c:pt idx="6">
                  <c:v>37073</c:v>
                </c:pt>
                <c:pt idx="7">
                  <c:v>37104</c:v>
                </c:pt>
                <c:pt idx="8">
                  <c:v>37135</c:v>
                </c:pt>
                <c:pt idx="9">
                  <c:v>37165</c:v>
                </c:pt>
                <c:pt idx="10">
                  <c:v>37196</c:v>
                </c:pt>
                <c:pt idx="11">
                  <c:v>37226</c:v>
                </c:pt>
                <c:pt idx="12">
                  <c:v>37257</c:v>
                </c:pt>
                <c:pt idx="13">
                  <c:v>37288</c:v>
                </c:pt>
                <c:pt idx="14">
                  <c:v>37316</c:v>
                </c:pt>
                <c:pt idx="15">
                  <c:v>37347</c:v>
                </c:pt>
                <c:pt idx="16">
                  <c:v>37377</c:v>
                </c:pt>
                <c:pt idx="17">
                  <c:v>37408</c:v>
                </c:pt>
                <c:pt idx="18">
                  <c:v>37438</c:v>
                </c:pt>
                <c:pt idx="19">
                  <c:v>37469</c:v>
                </c:pt>
                <c:pt idx="20">
                  <c:v>37500</c:v>
                </c:pt>
                <c:pt idx="21">
                  <c:v>37530</c:v>
                </c:pt>
                <c:pt idx="22">
                  <c:v>37561</c:v>
                </c:pt>
                <c:pt idx="23">
                  <c:v>37591</c:v>
                </c:pt>
                <c:pt idx="24">
                  <c:v>37622</c:v>
                </c:pt>
                <c:pt idx="25">
                  <c:v>37653</c:v>
                </c:pt>
                <c:pt idx="26">
                  <c:v>37681</c:v>
                </c:pt>
                <c:pt idx="27">
                  <c:v>37712</c:v>
                </c:pt>
                <c:pt idx="28">
                  <c:v>37742</c:v>
                </c:pt>
                <c:pt idx="29">
                  <c:v>37773</c:v>
                </c:pt>
                <c:pt idx="30">
                  <c:v>37803</c:v>
                </c:pt>
                <c:pt idx="31">
                  <c:v>37834</c:v>
                </c:pt>
                <c:pt idx="32">
                  <c:v>37865</c:v>
                </c:pt>
                <c:pt idx="33">
                  <c:v>37895</c:v>
                </c:pt>
                <c:pt idx="34">
                  <c:v>37926</c:v>
                </c:pt>
                <c:pt idx="35">
                  <c:v>37956</c:v>
                </c:pt>
                <c:pt idx="36">
                  <c:v>37987</c:v>
                </c:pt>
                <c:pt idx="37">
                  <c:v>38018</c:v>
                </c:pt>
                <c:pt idx="38">
                  <c:v>38047</c:v>
                </c:pt>
                <c:pt idx="39">
                  <c:v>38078</c:v>
                </c:pt>
                <c:pt idx="40">
                  <c:v>38108</c:v>
                </c:pt>
                <c:pt idx="41">
                  <c:v>38139</c:v>
                </c:pt>
                <c:pt idx="42">
                  <c:v>38169</c:v>
                </c:pt>
                <c:pt idx="43">
                  <c:v>38200</c:v>
                </c:pt>
                <c:pt idx="44">
                  <c:v>38231</c:v>
                </c:pt>
                <c:pt idx="45">
                  <c:v>38261</c:v>
                </c:pt>
                <c:pt idx="46">
                  <c:v>38292</c:v>
                </c:pt>
                <c:pt idx="47">
                  <c:v>38322</c:v>
                </c:pt>
                <c:pt idx="48">
                  <c:v>38353</c:v>
                </c:pt>
                <c:pt idx="49">
                  <c:v>38384</c:v>
                </c:pt>
                <c:pt idx="50">
                  <c:v>38412</c:v>
                </c:pt>
                <c:pt idx="51">
                  <c:v>38443</c:v>
                </c:pt>
                <c:pt idx="52">
                  <c:v>38473</c:v>
                </c:pt>
                <c:pt idx="53">
                  <c:v>38504</c:v>
                </c:pt>
                <c:pt idx="54">
                  <c:v>38534</c:v>
                </c:pt>
                <c:pt idx="55">
                  <c:v>38565</c:v>
                </c:pt>
                <c:pt idx="56">
                  <c:v>38596</c:v>
                </c:pt>
                <c:pt idx="57">
                  <c:v>38626</c:v>
                </c:pt>
                <c:pt idx="58">
                  <c:v>38657</c:v>
                </c:pt>
                <c:pt idx="59">
                  <c:v>38687</c:v>
                </c:pt>
                <c:pt idx="60">
                  <c:v>38718</c:v>
                </c:pt>
                <c:pt idx="61">
                  <c:v>38749</c:v>
                </c:pt>
                <c:pt idx="62">
                  <c:v>38777</c:v>
                </c:pt>
                <c:pt idx="63">
                  <c:v>38808</c:v>
                </c:pt>
                <c:pt idx="64">
                  <c:v>38838</c:v>
                </c:pt>
                <c:pt idx="65">
                  <c:v>38869</c:v>
                </c:pt>
                <c:pt idx="66">
                  <c:v>38899</c:v>
                </c:pt>
                <c:pt idx="67">
                  <c:v>38930</c:v>
                </c:pt>
                <c:pt idx="68">
                  <c:v>38961</c:v>
                </c:pt>
                <c:pt idx="69">
                  <c:v>38991</c:v>
                </c:pt>
                <c:pt idx="70">
                  <c:v>39022</c:v>
                </c:pt>
                <c:pt idx="71">
                  <c:v>39052</c:v>
                </c:pt>
                <c:pt idx="72">
                  <c:v>39083</c:v>
                </c:pt>
                <c:pt idx="73">
                  <c:v>39114</c:v>
                </c:pt>
                <c:pt idx="74">
                  <c:v>39142</c:v>
                </c:pt>
                <c:pt idx="75">
                  <c:v>39173</c:v>
                </c:pt>
                <c:pt idx="76">
                  <c:v>39203</c:v>
                </c:pt>
                <c:pt idx="77">
                  <c:v>39234</c:v>
                </c:pt>
                <c:pt idx="78">
                  <c:v>39264</c:v>
                </c:pt>
                <c:pt idx="79">
                  <c:v>39295</c:v>
                </c:pt>
                <c:pt idx="80">
                  <c:v>39326</c:v>
                </c:pt>
                <c:pt idx="81">
                  <c:v>39356</c:v>
                </c:pt>
                <c:pt idx="82">
                  <c:v>39387</c:v>
                </c:pt>
                <c:pt idx="83">
                  <c:v>39417</c:v>
                </c:pt>
                <c:pt idx="84">
                  <c:v>39448</c:v>
                </c:pt>
                <c:pt idx="85">
                  <c:v>39479</c:v>
                </c:pt>
                <c:pt idx="86">
                  <c:v>39508</c:v>
                </c:pt>
                <c:pt idx="87">
                  <c:v>39539</c:v>
                </c:pt>
                <c:pt idx="88">
                  <c:v>39569</c:v>
                </c:pt>
                <c:pt idx="89">
                  <c:v>39600</c:v>
                </c:pt>
                <c:pt idx="90">
                  <c:v>39630</c:v>
                </c:pt>
                <c:pt idx="91">
                  <c:v>39661</c:v>
                </c:pt>
                <c:pt idx="92">
                  <c:v>39692</c:v>
                </c:pt>
                <c:pt idx="93">
                  <c:v>39722</c:v>
                </c:pt>
                <c:pt idx="94">
                  <c:v>39753</c:v>
                </c:pt>
                <c:pt idx="95">
                  <c:v>39783</c:v>
                </c:pt>
                <c:pt idx="96">
                  <c:v>39814</c:v>
                </c:pt>
                <c:pt idx="97">
                  <c:v>39845</c:v>
                </c:pt>
                <c:pt idx="98">
                  <c:v>39873</c:v>
                </c:pt>
                <c:pt idx="99">
                  <c:v>39904</c:v>
                </c:pt>
                <c:pt idx="100">
                  <c:v>39934</c:v>
                </c:pt>
                <c:pt idx="101">
                  <c:v>39965</c:v>
                </c:pt>
                <c:pt idx="102">
                  <c:v>39995</c:v>
                </c:pt>
                <c:pt idx="103">
                  <c:v>40026</c:v>
                </c:pt>
                <c:pt idx="104">
                  <c:v>40057</c:v>
                </c:pt>
                <c:pt idx="105">
                  <c:v>40087</c:v>
                </c:pt>
                <c:pt idx="106">
                  <c:v>40118</c:v>
                </c:pt>
                <c:pt idx="107">
                  <c:v>40148</c:v>
                </c:pt>
                <c:pt idx="108">
                  <c:v>40179</c:v>
                </c:pt>
                <c:pt idx="109">
                  <c:v>40210</c:v>
                </c:pt>
                <c:pt idx="110">
                  <c:v>40238</c:v>
                </c:pt>
                <c:pt idx="111">
                  <c:v>40269</c:v>
                </c:pt>
                <c:pt idx="112">
                  <c:v>40299</c:v>
                </c:pt>
                <c:pt idx="113">
                  <c:v>40330</c:v>
                </c:pt>
                <c:pt idx="114">
                  <c:v>40360</c:v>
                </c:pt>
                <c:pt idx="115">
                  <c:v>40391</c:v>
                </c:pt>
                <c:pt idx="116">
                  <c:v>40422</c:v>
                </c:pt>
                <c:pt idx="117">
                  <c:v>40452</c:v>
                </c:pt>
                <c:pt idx="118">
                  <c:v>40483</c:v>
                </c:pt>
                <c:pt idx="119">
                  <c:v>40513</c:v>
                </c:pt>
                <c:pt idx="120">
                  <c:v>40544</c:v>
                </c:pt>
                <c:pt idx="121">
                  <c:v>40575</c:v>
                </c:pt>
                <c:pt idx="122">
                  <c:v>40603</c:v>
                </c:pt>
                <c:pt idx="123">
                  <c:v>40634</c:v>
                </c:pt>
                <c:pt idx="124">
                  <c:v>40664</c:v>
                </c:pt>
                <c:pt idx="125">
                  <c:v>40695</c:v>
                </c:pt>
                <c:pt idx="126">
                  <c:v>40725</c:v>
                </c:pt>
                <c:pt idx="127">
                  <c:v>40756</c:v>
                </c:pt>
                <c:pt idx="128">
                  <c:v>40787</c:v>
                </c:pt>
                <c:pt idx="129">
                  <c:v>40817</c:v>
                </c:pt>
                <c:pt idx="130">
                  <c:v>40848</c:v>
                </c:pt>
                <c:pt idx="131">
                  <c:v>40878</c:v>
                </c:pt>
                <c:pt idx="132">
                  <c:v>40909</c:v>
                </c:pt>
                <c:pt idx="133">
                  <c:v>40940</c:v>
                </c:pt>
                <c:pt idx="134">
                  <c:v>40969</c:v>
                </c:pt>
                <c:pt idx="135">
                  <c:v>41000</c:v>
                </c:pt>
                <c:pt idx="136">
                  <c:v>41030</c:v>
                </c:pt>
                <c:pt idx="137">
                  <c:v>41061</c:v>
                </c:pt>
                <c:pt idx="138">
                  <c:v>41091</c:v>
                </c:pt>
                <c:pt idx="139">
                  <c:v>41122</c:v>
                </c:pt>
                <c:pt idx="140">
                  <c:v>41153</c:v>
                </c:pt>
                <c:pt idx="141">
                  <c:v>41183</c:v>
                </c:pt>
                <c:pt idx="142">
                  <c:v>41214</c:v>
                </c:pt>
                <c:pt idx="143">
                  <c:v>41244</c:v>
                </c:pt>
                <c:pt idx="144">
                  <c:v>41275</c:v>
                </c:pt>
                <c:pt idx="145">
                  <c:v>41306</c:v>
                </c:pt>
                <c:pt idx="146">
                  <c:v>41334</c:v>
                </c:pt>
                <c:pt idx="147">
                  <c:v>41365</c:v>
                </c:pt>
                <c:pt idx="148">
                  <c:v>41395</c:v>
                </c:pt>
                <c:pt idx="149">
                  <c:v>41426</c:v>
                </c:pt>
                <c:pt idx="150">
                  <c:v>41456</c:v>
                </c:pt>
                <c:pt idx="151">
                  <c:v>41487</c:v>
                </c:pt>
                <c:pt idx="152">
                  <c:v>41518</c:v>
                </c:pt>
                <c:pt idx="153">
                  <c:v>41548</c:v>
                </c:pt>
                <c:pt idx="154">
                  <c:v>41579</c:v>
                </c:pt>
                <c:pt idx="155">
                  <c:v>41609</c:v>
                </c:pt>
                <c:pt idx="156">
                  <c:v>41640</c:v>
                </c:pt>
                <c:pt idx="157">
                  <c:v>41671</c:v>
                </c:pt>
                <c:pt idx="158">
                  <c:v>41699</c:v>
                </c:pt>
                <c:pt idx="159">
                  <c:v>41730</c:v>
                </c:pt>
                <c:pt idx="160">
                  <c:v>41760</c:v>
                </c:pt>
                <c:pt idx="161">
                  <c:v>41791</c:v>
                </c:pt>
                <c:pt idx="162">
                  <c:v>41821</c:v>
                </c:pt>
                <c:pt idx="163">
                  <c:v>41852</c:v>
                </c:pt>
                <c:pt idx="164">
                  <c:v>41883</c:v>
                </c:pt>
                <c:pt idx="165">
                  <c:v>41913</c:v>
                </c:pt>
                <c:pt idx="166">
                  <c:v>41944</c:v>
                </c:pt>
                <c:pt idx="167">
                  <c:v>41974</c:v>
                </c:pt>
                <c:pt idx="168">
                  <c:v>42005</c:v>
                </c:pt>
                <c:pt idx="169">
                  <c:v>42036</c:v>
                </c:pt>
                <c:pt idx="170">
                  <c:v>42064</c:v>
                </c:pt>
                <c:pt idx="171">
                  <c:v>42095</c:v>
                </c:pt>
                <c:pt idx="172">
                  <c:v>42125</c:v>
                </c:pt>
                <c:pt idx="173">
                  <c:v>42156</c:v>
                </c:pt>
                <c:pt idx="174">
                  <c:v>42186</c:v>
                </c:pt>
                <c:pt idx="175">
                  <c:v>42217</c:v>
                </c:pt>
                <c:pt idx="176">
                  <c:v>42248</c:v>
                </c:pt>
                <c:pt idx="177">
                  <c:v>42278</c:v>
                </c:pt>
                <c:pt idx="178">
                  <c:v>42309</c:v>
                </c:pt>
                <c:pt idx="179">
                  <c:v>42339</c:v>
                </c:pt>
                <c:pt idx="180">
                  <c:v>42370</c:v>
                </c:pt>
                <c:pt idx="181">
                  <c:v>42401</c:v>
                </c:pt>
                <c:pt idx="182">
                  <c:v>42430</c:v>
                </c:pt>
                <c:pt idx="183">
                  <c:v>42461</c:v>
                </c:pt>
                <c:pt idx="184">
                  <c:v>42491</c:v>
                </c:pt>
                <c:pt idx="185">
                  <c:v>42522</c:v>
                </c:pt>
                <c:pt idx="186">
                  <c:v>42552</c:v>
                </c:pt>
                <c:pt idx="187">
                  <c:v>42583</c:v>
                </c:pt>
                <c:pt idx="188">
                  <c:v>42614</c:v>
                </c:pt>
                <c:pt idx="189">
                  <c:v>42644</c:v>
                </c:pt>
                <c:pt idx="190">
                  <c:v>42675</c:v>
                </c:pt>
                <c:pt idx="191">
                  <c:v>42705</c:v>
                </c:pt>
                <c:pt idx="192">
                  <c:v>42736</c:v>
                </c:pt>
                <c:pt idx="193">
                  <c:v>42767</c:v>
                </c:pt>
                <c:pt idx="194">
                  <c:v>42795</c:v>
                </c:pt>
                <c:pt idx="195">
                  <c:v>42826</c:v>
                </c:pt>
                <c:pt idx="196">
                  <c:v>42856</c:v>
                </c:pt>
                <c:pt idx="197">
                  <c:v>42887</c:v>
                </c:pt>
                <c:pt idx="198">
                  <c:v>42917</c:v>
                </c:pt>
                <c:pt idx="199">
                  <c:v>42948</c:v>
                </c:pt>
                <c:pt idx="200">
                  <c:v>42979</c:v>
                </c:pt>
                <c:pt idx="201">
                  <c:v>43009</c:v>
                </c:pt>
                <c:pt idx="202">
                  <c:v>43040</c:v>
                </c:pt>
                <c:pt idx="203">
                  <c:v>43070</c:v>
                </c:pt>
                <c:pt idx="204">
                  <c:v>43101</c:v>
                </c:pt>
                <c:pt idx="205">
                  <c:v>43132</c:v>
                </c:pt>
                <c:pt idx="206">
                  <c:v>43160</c:v>
                </c:pt>
                <c:pt idx="207">
                  <c:v>43191</c:v>
                </c:pt>
                <c:pt idx="208">
                  <c:v>43221</c:v>
                </c:pt>
                <c:pt idx="209">
                  <c:v>43252</c:v>
                </c:pt>
                <c:pt idx="210">
                  <c:v>43282</c:v>
                </c:pt>
                <c:pt idx="211">
                  <c:v>43313</c:v>
                </c:pt>
                <c:pt idx="212">
                  <c:v>43344</c:v>
                </c:pt>
                <c:pt idx="213">
                  <c:v>43374</c:v>
                </c:pt>
                <c:pt idx="214">
                  <c:v>43405</c:v>
                </c:pt>
                <c:pt idx="215">
                  <c:v>43435</c:v>
                </c:pt>
                <c:pt idx="216">
                  <c:v>43466</c:v>
                </c:pt>
                <c:pt idx="217">
                  <c:v>43497</c:v>
                </c:pt>
                <c:pt idx="218">
                  <c:v>43525</c:v>
                </c:pt>
                <c:pt idx="219">
                  <c:v>43556</c:v>
                </c:pt>
                <c:pt idx="220">
                  <c:v>43586</c:v>
                </c:pt>
                <c:pt idx="221">
                  <c:v>43617</c:v>
                </c:pt>
                <c:pt idx="222">
                  <c:v>43647</c:v>
                </c:pt>
                <c:pt idx="223">
                  <c:v>43678</c:v>
                </c:pt>
                <c:pt idx="224">
                  <c:v>43709</c:v>
                </c:pt>
                <c:pt idx="225">
                  <c:v>43739</c:v>
                </c:pt>
                <c:pt idx="226">
                  <c:v>43770</c:v>
                </c:pt>
                <c:pt idx="227">
                  <c:v>43800</c:v>
                </c:pt>
                <c:pt idx="228">
                  <c:v>43831</c:v>
                </c:pt>
                <c:pt idx="229">
                  <c:v>43862</c:v>
                </c:pt>
                <c:pt idx="230">
                  <c:v>43891</c:v>
                </c:pt>
                <c:pt idx="231">
                  <c:v>43922</c:v>
                </c:pt>
                <c:pt idx="232">
                  <c:v>43952</c:v>
                </c:pt>
                <c:pt idx="233">
                  <c:v>43983</c:v>
                </c:pt>
                <c:pt idx="234">
                  <c:v>44013</c:v>
                </c:pt>
                <c:pt idx="235">
                  <c:v>44044</c:v>
                </c:pt>
                <c:pt idx="236">
                  <c:v>44075</c:v>
                </c:pt>
                <c:pt idx="237">
                  <c:v>44105</c:v>
                </c:pt>
                <c:pt idx="238">
                  <c:v>44136</c:v>
                </c:pt>
                <c:pt idx="239">
                  <c:v>44166</c:v>
                </c:pt>
                <c:pt idx="240">
                  <c:v>44197</c:v>
                </c:pt>
                <c:pt idx="241">
                  <c:v>44228</c:v>
                </c:pt>
                <c:pt idx="242">
                  <c:v>44256</c:v>
                </c:pt>
                <c:pt idx="243">
                  <c:v>44287</c:v>
                </c:pt>
                <c:pt idx="244">
                  <c:v>44317</c:v>
                </c:pt>
                <c:pt idx="245">
                  <c:v>44348</c:v>
                </c:pt>
                <c:pt idx="246">
                  <c:v>44378</c:v>
                </c:pt>
                <c:pt idx="247">
                  <c:v>44409</c:v>
                </c:pt>
                <c:pt idx="248">
                  <c:v>44440</c:v>
                </c:pt>
                <c:pt idx="249">
                  <c:v>44470</c:v>
                </c:pt>
                <c:pt idx="250">
                  <c:v>44501</c:v>
                </c:pt>
                <c:pt idx="251">
                  <c:v>44531</c:v>
                </c:pt>
                <c:pt idx="252">
                  <c:v>44562</c:v>
                </c:pt>
                <c:pt idx="253">
                  <c:v>44593</c:v>
                </c:pt>
                <c:pt idx="254">
                  <c:v>44621</c:v>
                </c:pt>
                <c:pt idx="255">
                  <c:v>44652</c:v>
                </c:pt>
                <c:pt idx="256">
                  <c:v>44682</c:v>
                </c:pt>
                <c:pt idx="257">
                  <c:v>44713</c:v>
                </c:pt>
                <c:pt idx="258">
                  <c:v>44743</c:v>
                </c:pt>
                <c:pt idx="259">
                  <c:v>44774</c:v>
                </c:pt>
                <c:pt idx="260">
                  <c:v>44805</c:v>
                </c:pt>
                <c:pt idx="261">
                  <c:v>44835</c:v>
                </c:pt>
                <c:pt idx="262">
                  <c:v>44866</c:v>
                </c:pt>
                <c:pt idx="263">
                  <c:v>44896</c:v>
                </c:pt>
                <c:pt idx="264">
                  <c:v>44927</c:v>
                </c:pt>
                <c:pt idx="265">
                  <c:v>44958</c:v>
                </c:pt>
                <c:pt idx="266">
                  <c:v>44986</c:v>
                </c:pt>
                <c:pt idx="267">
                  <c:v>45017</c:v>
                </c:pt>
                <c:pt idx="268">
                  <c:v>45047</c:v>
                </c:pt>
                <c:pt idx="269">
                  <c:v>45078</c:v>
                </c:pt>
                <c:pt idx="270">
                  <c:v>45108</c:v>
                </c:pt>
                <c:pt idx="271">
                  <c:v>45139</c:v>
                </c:pt>
                <c:pt idx="272">
                  <c:v>45170</c:v>
                </c:pt>
                <c:pt idx="273">
                  <c:v>45200</c:v>
                </c:pt>
                <c:pt idx="274">
                  <c:v>45231</c:v>
                </c:pt>
                <c:pt idx="275">
                  <c:v>45261</c:v>
                </c:pt>
                <c:pt idx="276">
                  <c:v>45292</c:v>
                </c:pt>
                <c:pt idx="277">
                  <c:v>45323</c:v>
                </c:pt>
              </c:numCache>
            </c:numRef>
          </c:cat>
          <c:val>
            <c:numRef>
              <c:f>Blad1!$D$4:$JU$4</c:f>
              <c:numCache>
                <c:formatCode>General</c:formatCode>
                <c:ptCount val="278"/>
                <c:pt idx="0">
                  <c:v>66.89</c:v>
                </c:pt>
                <c:pt idx="1">
                  <c:v>66.87</c:v>
                </c:pt>
                <c:pt idx="2">
                  <c:v>66.86</c:v>
                </c:pt>
                <c:pt idx="3">
                  <c:v>66.849999999999994</c:v>
                </c:pt>
                <c:pt idx="4">
                  <c:v>66.84</c:v>
                </c:pt>
                <c:pt idx="5">
                  <c:v>66.83</c:v>
                </c:pt>
                <c:pt idx="6">
                  <c:v>66.83</c:v>
                </c:pt>
                <c:pt idx="7">
                  <c:v>66.819999999999993</c:v>
                </c:pt>
                <c:pt idx="8">
                  <c:v>66.83</c:v>
                </c:pt>
                <c:pt idx="9">
                  <c:v>66.83</c:v>
                </c:pt>
                <c:pt idx="10">
                  <c:v>66.83</c:v>
                </c:pt>
                <c:pt idx="11">
                  <c:v>66.819999999999993</c:v>
                </c:pt>
                <c:pt idx="12">
                  <c:v>66.81</c:v>
                </c:pt>
                <c:pt idx="13">
                  <c:v>66.790000000000006</c:v>
                </c:pt>
                <c:pt idx="14">
                  <c:v>66.760000000000005</c:v>
                </c:pt>
                <c:pt idx="15">
                  <c:v>66.72</c:v>
                </c:pt>
                <c:pt idx="16">
                  <c:v>66.69</c:v>
                </c:pt>
                <c:pt idx="17">
                  <c:v>66.650000000000006</c:v>
                </c:pt>
                <c:pt idx="18">
                  <c:v>66.62</c:v>
                </c:pt>
                <c:pt idx="19">
                  <c:v>66.58</c:v>
                </c:pt>
                <c:pt idx="20">
                  <c:v>66.56</c:v>
                </c:pt>
                <c:pt idx="21">
                  <c:v>66.540000000000006</c:v>
                </c:pt>
                <c:pt idx="22">
                  <c:v>66.510000000000005</c:v>
                </c:pt>
                <c:pt idx="23">
                  <c:v>66.48</c:v>
                </c:pt>
                <c:pt idx="24">
                  <c:v>66.45</c:v>
                </c:pt>
                <c:pt idx="25">
                  <c:v>66.400000000000006</c:v>
                </c:pt>
                <c:pt idx="26">
                  <c:v>66.34</c:v>
                </c:pt>
                <c:pt idx="27">
                  <c:v>66.27</c:v>
                </c:pt>
                <c:pt idx="28">
                  <c:v>66.19</c:v>
                </c:pt>
                <c:pt idx="29">
                  <c:v>66.099999999999994</c:v>
                </c:pt>
                <c:pt idx="30">
                  <c:v>66.010000000000005</c:v>
                </c:pt>
                <c:pt idx="31">
                  <c:v>65.92</c:v>
                </c:pt>
                <c:pt idx="32">
                  <c:v>65.84</c:v>
                </c:pt>
                <c:pt idx="33">
                  <c:v>65.77</c:v>
                </c:pt>
                <c:pt idx="34">
                  <c:v>65.709999999999994</c:v>
                </c:pt>
                <c:pt idx="35">
                  <c:v>65.66</c:v>
                </c:pt>
                <c:pt idx="36">
                  <c:v>65.62</c:v>
                </c:pt>
                <c:pt idx="37">
                  <c:v>65.599999999999994</c:v>
                </c:pt>
                <c:pt idx="38">
                  <c:v>65.569999999999993</c:v>
                </c:pt>
                <c:pt idx="39">
                  <c:v>65.540000000000006</c:v>
                </c:pt>
                <c:pt idx="40">
                  <c:v>65.489999999999995</c:v>
                </c:pt>
                <c:pt idx="41">
                  <c:v>65.430000000000007</c:v>
                </c:pt>
                <c:pt idx="42">
                  <c:v>65.36</c:v>
                </c:pt>
                <c:pt idx="43">
                  <c:v>65.28</c:v>
                </c:pt>
                <c:pt idx="44">
                  <c:v>65.2</c:v>
                </c:pt>
                <c:pt idx="45">
                  <c:v>65.13</c:v>
                </c:pt>
                <c:pt idx="46">
                  <c:v>65.06</c:v>
                </c:pt>
                <c:pt idx="47">
                  <c:v>65</c:v>
                </c:pt>
                <c:pt idx="48">
                  <c:v>64.95</c:v>
                </c:pt>
                <c:pt idx="49">
                  <c:v>64.92</c:v>
                </c:pt>
                <c:pt idx="50">
                  <c:v>64.900000000000006</c:v>
                </c:pt>
                <c:pt idx="51">
                  <c:v>64.89</c:v>
                </c:pt>
                <c:pt idx="52">
                  <c:v>64.89</c:v>
                </c:pt>
                <c:pt idx="53">
                  <c:v>64.91</c:v>
                </c:pt>
                <c:pt idx="54">
                  <c:v>64.94</c:v>
                </c:pt>
                <c:pt idx="55">
                  <c:v>64.97</c:v>
                </c:pt>
                <c:pt idx="56">
                  <c:v>65</c:v>
                </c:pt>
                <c:pt idx="57">
                  <c:v>65.02</c:v>
                </c:pt>
                <c:pt idx="58">
                  <c:v>65.05</c:v>
                </c:pt>
                <c:pt idx="59">
                  <c:v>65.08</c:v>
                </c:pt>
                <c:pt idx="60">
                  <c:v>65.13</c:v>
                </c:pt>
                <c:pt idx="61">
                  <c:v>65.180000000000007</c:v>
                </c:pt>
                <c:pt idx="62">
                  <c:v>65.239999999999995</c:v>
                </c:pt>
                <c:pt idx="63">
                  <c:v>65.319999999999993</c:v>
                </c:pt>
                <c:pt idx="64">
                  <c:v>65.41</c:v>
                </c:pt>
                <c:pt idx="65">
                  <c:v>65.52</c:v>
                </c:pt>
                <c:pt idx="66">
                  <c:v>65.63</c:v>
                </c:pt>
                <c:pt idx="67">
                  <c:v>65.760000000000005</c:v>
                </c:pt>
                <c:pt idx="68">
                  <c:v>65.88</c:v>
                </c:pt>
                <c:pt idx="69">
                  <c:v>66</c:v>
                </c:pt>
                <c:pt idx="70">
                  <c:v>66.099999999999994</c:v>
                </c:pt>
                <c:pt idx="71">
                  <c:v>66.19</c:v>
                </c:pt>
                <c:pt idx="72">
                  <c:v>66.260000000000005</c:v>
                </c:pt>
                <c:pt idx="73">
                  <c:v>66.319999999999993</c:v>
                </c:pt>
                <c:pt idx="74">
                  <c:v>66.38</c:v>
                </c:pt>
                <c:pt idx="75">
                  <c:v>66.430000000000007</c:v>
                </c:pt>
                <c:pt idx="76">
                  <c:v>66.48</c:v>
                </c:pt>
                <c:pt idx="77">
                  <c:v>66.53</c:v>
                </c:pt>
                <c:pt idx="78">
                  <c:v>66.58</c:v>
                </c:pt>
                <c:pt idx="79">
                  <c:v>66.63</c:v>
                </c:pt>
                <c:pt idx="80">
                  <c:v>66.680000000000007</c:v>
                </c:pt>
                <c:pt idx="81">
                  <c:v>66.73</c:v>
                </c:pt>
                <c:pt idx="82">
                  <c:v>66.77</c:v>
                </c:pt>
                <c:pt idx="83">
                  <c:v>66.819999999999993</c:v>
                </c:pt>
                <c:pt idx="84">
                  <c:v>66.849999999999994</c:v>
                </c:pt>
                <c:pt idx="85">
                  <c:v>66.87</c:v>
                </c:pt>
                <c:pt idx="86">
                  <c:v>66.88</c:v>
                </c:pt>
                <c:pt idx="87">
                  <c:v>66.87</c:v>
                </c:pt>
                <c:pt idx="88">
                  <c:v>66.84</c:v>
                </c:pt>
                <c:pt idx="89">
                  <c:v>66.78</c:v>
                </c:pt>
                <c:pt idx="90">
                  <c:v>66.69</c:v>
                </c:pt>
                <c:pt idx="91">
                  <c:v>66.569999999999993</c:v>
                </c:pt>
                <c:pt idx="92">
                  <c:v>66.41</c:v>
                </c:pt>
                <c:pt idx="93">
                  <c:v>66.22</c:v>
                </c:pt>
                <c:pt idx="94">
                  <c:v>66.02</c:v>
                </c:pt>
                <c:pt idx="95">
                  <c:v>65.8</c:v>
                </c:pt>
                <c:pt idx="96">
                  <c:v>65.569999999999993</c:v>
                </c:pt>
                <c:pt idx="97">
                  <c:v>65.349999999999994</c:v>
                </c:pt>
                <c:pt idx="98">
                  <c:v>65.12</c:v>
                </c:pt>
                <c:pt idx="99">
                  <c:v>64.91</c:v>
                </c:pt>
                <c:pt idx="100">
                  <c:v>64.709999999999994</c:v>
                </c:pt>
                <c:pt idx="101">
                  <c:v>64.53</c:v>
                </c:pt>
                <c:pt idx="102">
                  <c:v>64.38</c:v>
                </c:pt>
                <c:pt idx="103">
                  <c:v>64.239999999999995</c:v>
                </c:pt>
                <c:pt idx="104">
                  <c:v>64.13</c:v>
                </c:pt>
                <c:pt idx="105">
                  <c:v>64.040000000000006</c:v>
                </c:pt>
                <c:pt idx="106">
                  <c:v>63.97</c:v>
                </c:pt>
                <c:pt idx="107">
                  <c:v>63.92</c:v>
                </c:pt>
                <c:pt idx="108">
                  <c:v>63.9</c:v>
                </c:pt>
                <c:pt idx="109">
                  <c:v>63.91</c:v>
                </c:pt>
                <c:pt idx="110">
                  <c:v>63.93</c:v>
                </c:pt>
                <c:pt idx="111">
                  <c:v>63.97</c:v>
                </c:pt>
                <c:pt idx="112">
                  <c:v>64.03</c:v>
                </c:pt>
                <c:pt idx="113">
                  <c:v>64.099999999999994</c:v>
                </c:pt>
                <c:pt idx="114">
                  <c:v>64.19</c:v>
                </c:pt>
                <c:pt idx="115">
                  <c:v>64.290000000000006</c:v>
                </c:pt>
                <c:pt idx="116">
                  <c:v>64.400000000000006</c:v>
                </c:pt>
                <c:pt idx="117">
                  <c:v>64.52</c:v>
                </c:pt>
                <c:pt idx="118">
                  <c:v>64.64</c:v>
                </c:pt>
                <c:pt idx="119">
                  <c:v>64.760000000000005</c:v>
                </c:pt>
                <c:pt idx="120">
                  <c:v>64.87</c:v>
                </c:pt>
                <c:pt idx="121">
                  <c:v>64.959999999999994</c:v>
                </c:pt>
                <c:pt idx="122">
                  <c:v>65.05</c:v>
                </c:pt>
                <c:pt idx="123">
                  <c:v>65.11</c:v>
                </c:pt>
                <c:pt idx="124">
                  <c:v>65.16</c:v>
                </c:pt>
                <c:pt idx="125">
                  <c:v>65.2</c:v>
                </c:pt>
                <c:pt idx="126">
                  <c:v>65.22</c:v>
                </c:pt>
                <c:pt idx="127">
                  <c:v>65.23</c:v>
                </c:pt>
                <c:pt idx="128">
                  <c:v>65.239999999999995</c:v>
                </c:pt>
                <c:pt idx="129">
                  <c:v>65.260000000000005</c:v>
                </c:pt>
                <c:pt idx="130">
                  <c:v>65.27</c:v>
                </c:pt>
                <c:pt idx="131">
                  <c:v>65.290000000000006</c:v>
                </c:pt>
                <c:pt idx="132">
                  <c:v>65.3</c:v>
                </c:pt>
                <c:pt idx="133">
                  <c:v>65.3</c:v>
                </c:pt>
                <c:pt idx="134">
                  <c:v>65.3</c:v>
                </c:pt>
                <c:pt idx="135">
                  <c:v>65.290000000000006</c:v>
                </c:pt>
                <c:pt idx="136">
                  <c:v>65.28</c:v>
                </c:pt>
                <c:pt idx="137">
                  <c:v>65.260000000000005</c:v>
                </c:pt>
                <c:pt idx="138">
                  <c:v>65.25</c:v>
                </c:pt>
                <c:pt idx="139">
                  <c:v>65.25</c:v>
                </c:pt>
                <c:pt idx="140">
                  <c:v>65.239999999999995</c:v>
                </c:pt>
                <c:pt idx="141">
                  <c:v>65.25</c:v>
                </c:pt>
                <c:pt idx="142">
                  <c:v>65.27</c:v>
                </c:pt>
                <c:pt idx="143">
                  <c:v>65.290000000000006</c:v>
                </c:pt>
                <c:pt idx="144">
                  <c:v>65.31</c:v>
                </c:pt>
                <c:pt idx="145">
                  <c:v>65.349999999999994</c:v>
                </c:pt>
                <c:pt idx="146">
                  <c:v>65.39</c:v>
                </c:pt>
                <c:pt idx="147">
                  <c:v>65.44</c:v>
                </c:pt>
                <c:pt idx="148">
                  <c:v>65.48</c:v>
                </c:pt>
                <c:pt idx="149">
                  <c:v>65.53</c:v>
                </c:pt>
                <c:pt idx="150">
                  <c:v>65.56</c:v>
                </c:pt>
                <c:pt idx="151">
                  <c:v>65.59</c:v>
                </c:pt>
                <c:pt idx="152">
                  <c:v>65.61</c:v>
                </c:pt>
                <c:pt idx="153">
                  <c:v>65.63</c:v>
                </c:pt>
                <c:pt idx="154">
                  <c:v>65.650000000000006</c:v>
                </c:pt>
                <c:pt idx="155">
                  <c:v>65.67</c:v>
                </c:pt>
                <c:pt idx="156">
                  <c:v>65.709999999999994</c:v>
                </c:pt>
                <c:pt idx="157">
                  <c:v>65.760000000000005</c:v>
                </c:pt>
                <c:pt idx="158">
                  <c:v>65.819999999999993</c:v>
                </c:pt>
                <c:pt idx="159">
                  <c:v>65.89</c:v>
                </c:pt>
                <c:pt idx="160">
                  <c:v>65.97</c:v>
                </c:pt>
                <c:pt idx="161">
                  <c:v>66.05</c:v>
                </c:pt>
                <c:pt idx="162">
                  <c:v>66.13</c:v>
                </c:pt>
                <c:pt idx="163">
                  <c:v>66.2</c:v>
                </c:pt>
                <c:pt idx="164">
                  <c:v>66.25</c:v>
                </c:pt>
                <c:pt idx="165">
                  <c:v>66.28</c:v>
                </c:pt>
                <c:pt idx="166">
                  <c:v>66.290000000000006</c:v>
                </c:pt>
                <c:pt idx="167">
                  <c:v>66.290000000000006</c:v>
                </c:pt>
                <c:pt idx="168">
                  <c:v>66.290000000000006</c:v>
                </c:pt>
                <c:pt idx="169">
                  <c:v>66.3</c:v>
                </c:pt>
                <c:pt idx="170">
                  <c:v>66.31</c:v>
                </c:pt>
                <c:pt idx="171">
                  <c:v>66.34</c:v>
                </c:pt>
                <c:pt idx="172">
                  <c:v>66.37</c:v>
                </c:pt>
                <c:pt idx="173">
                  <c:v>66.42</c:v>
                </c:pt>
                <c:pt idx="174">
                  <c:v>66.47</c:v>
                </c:pt>
                <c:pt idx="175">
                  <c:v>66.52</c:v>
                </c:pt>
                <c:pt idx="176">
                  <c:v>66.58</c:v>
                </c:pt>
                <c:pt idx="177">
                  <c:v>66.63</c:v>
                </c:pt>
                <c:pt idx="178">
                  <c:v>66.680000000000007</c:v>
                </c:pt>
                <c:pt idx="179">
                  <c:v>66.72</c:v>
                </c:pt>
                <c:pt idx="180">
                  <c:v>66.75</c:v>
                </c:pt>
                <c:pt idx="181">
                  <c:v>66.760000000000005</c:v>
                </c:pt>
                <c:pt idx="182">
                  <c:v>66.77</c:v>
                </c:pt>
                <c:pt idx="183">
                  <c:v>66.78</c:v>
                </c:pt>
                <c:pt idx="184">
                  <c:v>66.78</c:v>
                </c:pt>
                <c:pt idx="185">
                  <c:v>66.790000000000006</c:v>
                </c:pt>
                <c:pt idx="186">
                  <c:v>66.81</c:v>
                </c:pt>
                <c:pt idx="187">
                  <c:v>66.849999999999994</c:v>
                </c:pt>
                <c:pt idx="188">
                  <c:v>66.900000000000006</c:v>
                </c:pt>
                <c:pt idx="189">
                  <c:v>66.97</c:v>
                </c:pt>
                <c:pt idx="190">
                  <c:v>67.040000000000006</c:v>
                </c:pt>
                <c:pt idx="191">
                  <c:v>67.13</c:v>
                </c:pt>
                <c:pt idx="192">
                  <c:v>67.22</c:v>
                </c:pt>
                <c:pt idx="193">
                  <c:v>67.319999999999993</c:v>
                </c:pt>
                <c:pt idx="194">
                  <c:v>67.41</c:v>
                </c:pt>
                <c:pt idx="195">
                  <c:v>67.489999999999995</c:v>
                </c:pt>
                <c:pt idx="196">
                  <c:v>67.55</c:v>
                </c:pt>
                <c:pt idx="197">
                  <c:v>67.61</c:v>
                </c:pt>
                <c:pt idx="198">
                  <c:v>67.66</c:v>
                </c:pt>
                <c:pt idx="199">
                  <c:v>67.709999999999994</c:v>
                </c:pt>
                <c:pt idx="200">
                  <c:v>67.760000000000005</c:v>
                </c:pt>
                <c:pt idx="201">
                  <c:v>67.819999999999993</c:v>
                </c:pt>
                <c:pt idx="202">
                  <c:v>67.88</c:v>
                </c:pt>
                <c:pt idx="203">
                  <c:v>67.94</c:v>
                </c:pt>
                <c:pt idx="204">
                  <c:v>68</c:v>
                </c:pt>
                <c:pt idx="205">
                  <c:v>68.05</c:v>
                </c:pt>
                <c:pt idx="206">
                  <c:v>68.09</c:v>
                </c:pt>
                <c:pt idx="207">
                  <c:v>68.11</c:v>
                </c:pt>
                <c:pt idx="208">
                  <c:v>68.12</c:v>
                </c:pt>
                <c:pt idx="209">
                  <c:v>68.12</c:v>
                </c:pt>
                <c:pt idx="210">
                  <c:v>68.12</c:v>
                </c:pt>
                <c:pt idx="211">
                  <c:v>68.11</c:v>
                </c:pt>
                <c:pt idx="212">
                  <c:v>68.099999999999994</c:v>
                </c:pt>
                <c:pt idx="213">
                  <c:v>68.09</c:v>
                </c:pt>
                <c:pt idx="214">
                  <c:v>68.08</c:v>
                </c:pt>
                <c:pt idx="215">
                  <c:v>68.069999999999993</c:v>
                </c:pt>
                <c:pt idx="216">
                  <c:v>68.06</c:v>
                </c:pt>
                <c:pt idx="217">
                  <c:v>68.06</c:v>
                </c:pt>
                <c:pt idx="218">
                  <c:v>68.05</c:v>
                </c:pt>
                <c:pt idx="219">
                  <c:v>68.05</c:v>
                </c:pt>
                <c:pt idx="220">
                  <c:v>68.05</c:v>
                </c:pt>
                <c:pt idx="221">
                  <c:v>68.05</c:v>
                </c:pt>
                <c:pt idx="222">
                  <c:v>68.06</c:v>
                </c:pt>
                <c:pt idx="223">
                  <c:v>68.069999999999993</c:v>
                </c:pt>
                <c:pt idx="224">
                  <c:v>68.09</c:v>
                </c:pt>
                <c:pt idx="225">
                  <c:v>68.099999999999994</c:v>
                </c:pt>
                <c:pt idx="226">
                  <c:v>68.11</c:v>
                </c:pt>
                <c:pt idx="227">
                  <c:v>68.11</c:v>
                </c:pt>
                <c:pt idx="228">
                  <c:v>68.12</c:v>
                </c:pt>
                <c:pt idx="229">
                  <c:v>68.14</c:v>
                </c:pt>
                <c:pt idx="230">
                  <c:v>67.08</c:v>
                </c:pt>
                <c:pt idx="231">
                  <c:v>66.7</c:v>
                </c:pt>
                <c:pt idx="232">
                  <c:v>66.8</c:v>
                </c:pt>
                <c:pt idx="233">
                  <c:v>65.989999999999995</c:v>
                </c:pt>
                <c:pt idx="234">
                  <c:v>66.12</c:v>
                </c:pt>
                <c:pt idx="235">
                  <c:v>66.260000000000005</c:v>
                </c:pt>
                <c:pt idx="236">
                  <c:v>66.39</c:v>
                </c:pt>
                <c:pt idx="237">
                  <c:v>66.5</c:v>
                </c:pt>
                <c:pt idx="238">
                  <c:v>66.599999999999994</c:v>
                </c:pt>
                <c:pt idx="239">
                  <c:v>66.67</c:v>
                </c:pt>
                <c:pt idx="240">
                  <c:v>66.73</c:v>
                </c:pt>
                <c:pt idx="241">
                  <c:v>66.77</c:v>
                </c:pt>
                <c:pt idx="242">
                  <c:v>66.81</c:v>
                </c:pt>
                <c:pt idx="243">
                  <c:v>66.849999999999994</c:v>
                </c:pt>
                <c:pt idx="244">
                  <c:v>66.91</c:v>
                </c:pt>
                <c:pt idx="245">
                  <c:v>67</c:v>
                </c:pt>
                <c:pt idx="246">
                  <c:v>67.11</c:v>
                </c:pt>
                <c:pt idx="247">
                  <c:v>67.25</c:v>
                </c:pt>
                <c:pt idx="248">
                  <c:v>67.41</c:v>
                </c:pt>
                <c:pt idx="249">
                  <c:v>67.58</c:v>
                </c:pt>
                <c:pt idx="250">
                  <c:v>67.760000000000005</c:v>
                </c:pt>
                <c:pt idx="251">
                  <c:v>67.959999999999994</c:v>
                </c:pt>
                <c:pt idx="252">
                  <c:v>68.150000000000006</c:v>
                </c:pt>
                <c:pt idx="253">
                  <c:v>68.349999999999994</c:v>
                </c:pt>
                <c:pt idx="254">
                  <c:v>68.53</c:v>
                </c:pt>
                <c:pt idx="255">
                  <c:v>68.69</c:v>
                </c:pt>
                <c:pt idx="256">
                  <c:v>68.819999999999993</c:v>
                </c:pt>
                <c:pt idx="257">
                  <c:v>68.92</c:v>
                </c:pt>
                <c:pt idx="258">
                  <c:v>68.989999999999995</c:v>
                </c:pt>
                <c:pt idx="259">
                  <c:v>69.05</c:v>
                </c:pt>
                <c:pt idx="260">
                  <c:v>69.099999999999994</c:v>
                </c:pt>
                <c:pt idx="261">
                  <c:v>69.16</c:v>
                </c:pt>
                <c:pt idx="262">
                  <c:v>69.23</c:v>
                </c:pt>
                <c:pt idx="263">
                  <c:v>69.3</c:v>
                </c:pt>
                <c:pt idx="264">
                  <c:v>69.38</c:v>
                </c:pt>
                <c:pt idx="265">
                  <c:v>69.45</c:v>
                </c:pt>
                <c:pt idx="266">
                  <c:v>69.510000000000005</c:v>
                </c:pt>
                <c:pt idx="267">
                  <c:v>69.55</c:v>
                </c:pt>
                <c:pt idx="268">
                  <c:v>69.569999999999993</c:v>
                </c:pt>
                <c:pt idx="269">
                  <c:v>69.56</c:v>
                </c:pt>
                <c:pt idx="270">
                  <c:v>69.52</c:v>
                </c:pt>
                <c:pt idx="271">
                  <c:v>69.459999999999994</c:v>
                </c:pt>
                <c:pt idx="272">
                  <c:v>69.38</c:v>
                </c:pt>
                <c:pt idx="273">
                  <c:v>69.31</c:v>
                </c:pt>
                <c:pt idx="274">
                  <c:v>69.239999999999995</c:v>
                </c:pt>
                <c:pt idx="275">
                  <c:v>69.180000000000007</c:v>
                </c:pt>
                <c:pt idx="276">
                  <c:v>69.14</c:v>
                </c:pt>
                <c:pt idx="277">
                  <c:v>69.11</c:v>
                </c:pt>
              </c:numCache>
            </c:numRef>
          </c:val>
          <c:smooth val="0"/>
          <c:extLst>
            <c:ext xmlns:c16="http://schemas.microsoft.com/office/drawing/2014/chart" uri="{C3380CC4-5D6E-409C-BE32-E72D297353CC}">
              <c16:uniqueId val="{00000000-D299-49BE-86D8-4825E9A56548}"/>
            </c:ext>
          </c:extLst>
        </c:ser>
        <c:dLbls>
          <c:showLegendKey val="0"/>
          <c:showVal val="0"/>
          <c:showCatName val="0"/>
          <c:showSerName val="0"/>
          <c:showPercent val="0"/>
          <c:showBubbleSize val="0"/>
        </c:dLbls>
        <c:marker val="1"/>
        <c:smooth val="0"/>
        <c:axId val="608308752"/>
        <c:axId val="608313344"/>
      </c:lineChart>
      <c:lineChart>
        <c:grouping val="standard"/>
        <c:varyColors val="0"/>
        <c:ser>
          <c:idx val="1"/>
          <c:order val="1"/>
          <c:tx>
            <c:strRef>
              <c:f>Blad1!$C$5</c:f>
              <c:strCache>
                <c:ptCount val="1"/>
                <c:pt idx="0">
                  <c:v>Arbetslöshet (höger)</c:v>
                </c:pt>
              </c:strCache>
            </c:strRef>
          </c:tx>
          <c:spPr>
            <a:ln w="28575" cap="rnd">
              <a:solidFill>
                <a:schemeClr val="accent2"/>
              </a:solidFill>
              <a:round/>
            </a:ln>
            <a:effectLst/>
          </c:spPr>
          <c:marker>
            <c:symbol val="none"/>
          </c:marker>
          <c:cat>
            <c:numRef>
              <c:f>Blad1!$D$3:$JU$3</c:f>
              <c:numCache>
                <c:formatCode>m/d/yyyy</c:formatCode>
                <c:ptCount val="278"/>
                <c:pt idx="0">
                  <c:v>36892</c:v>
                </c:pt>
                <c:pt idx="1">
                  <c:v>36923</c:v>
                </c:pt>
                <c:pt idx="2">
                  <c:v>36951</c:v>
                </c:pt>
                <c:pt idx="3">
                  <c:v>36982</c:v>
                </c:pt>
                <c:pt idx="4">
                  <c:v>37012</c:v>
                </c:pt>
                <c:pt idx="5">
                  <c:v>37043</c:v>
                </c:pt>
                <c:pt idx="6">
                  <c:v>37073</c:v>
                </c:pt>
                <c:pt idx="7">
                  <c:v>37104</c:v>
                </c:pt>
                <c:pt idx="8">
                  <c:v>37135</c:v>
                </c:pt>
                <c:pt idx="9">
                  <c:v>37165</c:v>
                </c:pt>
                <c:pt idx="10">
                  <c:v>37196</c:v>
                </c:pt>
                <c:pt idx="11">
                  <c:v>37226</c:v>
                </c:pt>
                <c:pt idx="12">
                  <c:v>37257</c:v>
                </c:pt>
                <c:pt idx="13">
                  <c:v>37288</c:v>
                </c:pt>
                <c:pt idx="14">
                  <c:v>37316</c:v>
                </c:pt>
                <c:pt idx="15">
                  <c:v>37347</c:v>
                </c:pt>
                <c:pt idx="16">
                  <c:v>37377</c:v>
                </c:pt>
                <c:pt idx="17">
                  <c:v>37408</c:v>
                </c:pt>
                <c:pt idx="18">
                  <c:v>37438</c:v>
                </c:pt>
                <c:pt idx="19">
                  <c:v>37469</c:v>
                </c:pt>
                <c:pt idx="20">
                  <c:v>37500</c:v>
                </c:pt>
                <c:pt idx="21">
                  <c:v>37530</c:v>
                </c:pt>
                <c:pt idx="22">
                  <c:v>37561</c:v>
                </c:pt>
                <c:pt idx="23">
                  <c:v>37591</c:v>
                </c:pt>
                <c:pt idx="24">
                  <c:v>37622</c:v>
                </c:pt>
                <c:pt idx="25">
                  <c:v>37653</c:v>
                </c:pt>
                <c:pt idx="26">
                  <c:v>37681</c:v>
                </c:pt>
                <c:pt idx="27">
                  <c:v>37712</c:v>
                </c:pt>
                <c:pt idx="28">
                  <c:v>37742</c:v>
                </c:pt>
                <c:pt idx="29">
                  <c:v>37773</c:v>
                </c:pt>
                <c:pt idx="30">
                  <c:v>37803</c:v>
                </c:pt>
                <c:pt idx="31">
                  <c:v>37834</c:v>
                </c:pt>
                <c:pt idx="32">
                  <c:v>37865</c:v>
                </c:pt>
                <c:pt idx="33">
                  <c:v>37895</c:v>
                </c:pt>
                <c:pt idx="34">
                  <c:v>37926</c:v>
                </c:pt>
                <c:pt idx="35">
                  <c:v>37956</c:v>
                </c:pt>
                <c:pt idx="36">
                  <c:v>37987</c:v>
                </c:pt>
                <c:pt idx="37">
                  <c:v>38018</c:v>
                </c:pt>
                <c:pt idx="38">
                  <c:v>38047</c:v>
                </c:pt>
                <c:pt idx="39">
                  <c:v>38078</c:v>
                </c:pt>
                <c:pt idx="40">
                  <c:v>38108</c:v>
                </c:pt>
                <c:pt idx="41">
                  <c:v>38139</c:v>
                </c:pt>
                <c:pt idx="42">
                  <c:v>38169</c:v>
                </c:pt>
                <c:pt idx="43">
                  <c:v>38200</c:v>
                </c:pt>
                <c:pt idx="44">
                  <c:v>38231</c:v>
                </c:pt>
                <c:pt idx="45">
                  <c:v>38261</c:v>
                </c:pt>
                <c:pt idx="46">
                  <c:v>38292</c:v>
                </c:pt>
                <c:pt idx="47">
                  <c:v>38322</c:v>
                </c:pt>
                <c:pt idx="48">
                  <c:v>38353</c:v>
                </c:pt>
                <c:pt idx="49">
                  <c:v>38384</c:v>
                </c:pt>
                <c:pt idx="50">
                  <c:v>38412</c:v>
                </c:pt>
                <c:pt idx="51">
                  <c:v>38443</c:v>
                </c:pt>
                <c:pt idx="52">
                  <c:v>38473</c:v>
                </c:pt>
                <c:pt idx="53">
                  <c:v>38504</c:v>
                </c:pt>
                <c:pt idx="54">
                  <c:v>38534</c:v>
                </c:pt>
                <c:pt idx="55">
                  <c:v>38565</c:v>
                </c:pt>
                <c:pt idx="56">
                  <c:v>38596</c:v>
                </c:pt>
                <c:pt idx="57">
                  <c:v>38626</c:v>
                </c:pt>
                <c:pt idx="58">
                  <c:v>38657</c:v>
                </c:pt>
                <c:pt idx="59">
                  <c:v>38687</c:v>
                </c:pt>
                <c:pt idx="60">
                  <c:v>38718</c:v>
                </c:pt>
                <c:pt idx="61">
                  <c:v>38749</c:v>
                </c:pt>
                <c:pt idx="62">
                  <c:v>38777</c:v>
                </c:pt>
                <c:pt idx="63">
                  <c:v>38808</c:v>
                </c:pt>
                <c:pt idx="64">
                  <c:v>38838</c:v>
                </c:pt>
                <c:pt idx="65">
                  <c:v>38869</c:v>
                </c:pt>
                <c:pt idx="66">
                  <c:v>38899</c:v>
                </c:pt>
                <c:pt idx="67">
                  <c:v>38930</c:v>
                </c:pt>
                <c:pt idx="68">
                  <c:v>38961</c:v>
                </c:pt>
                <c:pt idx="69">
                  <c:v>38991</c:v>
                </c:pt>
                <c:pt idx="70">
                  <c:v>39022</c:v>
                </c:pt>
                <c:pt idx="71">
                  <c:v>39052</c:v>
                </c:pt>
                <c:pt idx="72">
                  <c:v>39083</c:v>
                </c:pt>
                <c:pt idx="73">
                  <c:v>39114</c:v>
                </c:pt>
                <c:pt idx="74">
                  <c:v>39142</c:v>
                </c:pt>
                <c:pt idx="75">
                  <c:v>39173</c:v>
                </c:pt>
                <c:pt idx="76">
                  <c:v>39203</c:v>
                </c:pt>
                <c:pt idx="77">
                  <c:v>39234</c:v>
                </c:pt>
                <c:pt idx="78">
                  <c:v>39264</c:v>
                </c:pt>
                <c:pt idx="79">
                  <c:v>39295</c:v>
                </c:pt>
                <c:pt idx="80">
                  <c:v>39326</c:v>
                </c:pt>
                <c:pt idx="81">
                  <c:v>39356</c:v>
                </c:pt>
                <c:pt idx="82">
                  <c:v>39387</c:v>
                </c:pt>
                <c:pt idx="83">
                  <c:v>39417</c:v>
                </c:pt>
                <c:pt idx="84">
                  <c:v>39448</c:v>
                </c:pt>
                <c:pt idx="85">
                  <c:v>39479</c:v>
                </c:pt>
                <c:pt idx="86">
                  <c:v>39508</c:v>
                </c:pt>
                <c:pt idx="87">
                  <c:v>39539</c:v>
                </c:pt>
                <c:pt idx="88">
                  <c:v>39569</c:v>
                </c:pt>
                <c:pt idx="89">
                  <c:v>39600</c:v>
                </c:pt>
                <c:pt idx="90">
                  <c:v>39630</c:v>
                </c:pt>
                <c:pt idx="91">
                  <c:v>39661</c:v>
                </c:pt>
                <c:pt idx="92">
                  <c:v>39692</c:v>
                </c:pt>
                <c:pt idx="93">
                  <c:v>39722</c:v>
                </c:pt>
                <c:pt idx="94">
                  <c:v>39753</c:v>
                </c:pt>
                <c:pt idx="95">
                  <c:v>39783</c:v>
                </c:pt>
                <c:pt idx="96">
                  <c:v>39814</c:v>
                </c:pt>
                <c:pt idx="97">
                  <c:v>39845</c:v>
                </c:pt>
                <c:pt idx="98">
                  <c:v>39873</c:v>
                </c:pt>
                <c:pt idx="99">
                  <c:v>39904</c:v>
                </c:pt>
                <c:pt idx="100">
                  <c:v>39934</c:v>
                </c:pt>
                <c:pt idx="101">
                  <c:v>39965</c:v>
                </c:pt>
                <c:pt idx="102">
                  <c:v>39995</c:v>
                </c:pt>
                <c:pt idx="103">
                  <c:v>40026</c:v>
                </c:pt>
                <c:pt idx="104">
                  <c:v>40057</c:v>
                </c:pt>
                <c:pt idx="105">
                  <c:v>40087</c:v>
                </c:pt>
                <c:pt idx="106">
                  <c:v>40118</c:v>
                </c:pt>
                <c:pt idx="107">
                  <c:v>40148</c:v>
                </c:pt>
                <c:pt idx="108">
                  <c:v>40179</c:v>
                </c:pt>
                <c:pt idx="109">
                  <c:v>40210</c:v>
                </c:pt>
                <c:pt idx="110">
                  <c:v>40238</c:v>
                </c:pt>
                <c:pt idx="111">
                  <c:v>40269</c:v>
                </c:pt>
                <c:pt idx="112">
                  <c:v>40299</c:v>
                </c:pt>
                <c:pt idx="113">
                  <c:v>40330</c:v>
                </c:pt>
                <c:pt idx="114">
                  <c:v>40360</c:v>
                </c:pt>
                <c:pt idx="115">
                  <c:v>40391</c:v>
                </c:pt>
                <c:pt idx="116">
                  <c:v>40422</c:v>
                </c:pt>
                <c:pt idx="117">
                  <c:v>40452</c:v>
                </c:pt>
                <c:pt idx="118">
                  <c:v>40483</c:v>
                </c:pt>
                <c:pt idx="119">
                  <c:v>40513</c:v>
                </c:pt>
                <c:pt idx="120">
                  <c:v>40544</c:v>
                </c:pt>
                <c:pt idx="121">
                  <c:v>40575</c:v>
                </c:pt>
                <c:pt idx="122">
                  <c:v>40603</c:v>
                </c:pt>
                <c:pt idx="123">
                  <c:v>40634</c:v>
                </c:pt>
                <c:pt idx="124">
                  <c:v>40664</c:v>
                </c:pt>
                <c:pt idx="125">
                  <c:v>40695</c:v>
                </c:pt>
                <c:pt idx="126">
                  <c:v>40725</c:v>
                </c:pt>
                <c:pt idx="127">
                  <c:v>40756</c:v>
                </c:pt>
                <c:pt idx="128">
                  <c:v>40787</c:v>
                </c:pt>
                <c:pt idx="129">
                  <c:v>40817</c:v>
                </c:pt>
                <c:pt idx="130">
                  <c:v>40848</c:v>
                </c:pt>
                <c:pt idx="131">
                  <c:v>40878</c:v>
                </c:pt>
                <c:pt idx="132">
                  <c:v>40909</c:v>
                </c:pt>
                <c:pt idx="133">
                  <c:v>40940</c:v>
                </c:pt>
                <c:pt idx="134">
                  <c:v>40969</c:v>
                </c:pt>
                <c:pt idx="135">
                  <c:v>41000</c:v>
                </c:pt>
                <c:pt idx="136">
                  <c:v>41030</c:v>
                </c:pt>
                <c:pt idx="137">
                  <c:v>41061</c:v>
                </c:pt>
                <c:pt idx="138">
                  <c:v>41091</c:v>
                </c:pt>
                <c:pt idx="139">
                  <c:v>41122</c:v>
                </c:pt>
                <c:pt idx="140">
                  <c:v>41153</c:v>
                </c:pt>
                <c:pt idx="141">
                  <c:v>41183</c:v>
                </c:pt>
                <c:pt idx="142">
                  <c:v>41214</c:v>
                </c:pt>
                <c:pt idx="143">
                  <c:v>41244</c:v>
                </c:pt>
                <c:pt idx="144">
                  <c:v>41275</c:v>
                </c:pt>
                <c:pt idx="145">
                  <c:v>41306</c:v>
                </c:pt>
                <c:pt idx="146">
                  <c:v>41334</c:v>
                </c:pt>
                <c:pt idx="147">
                  <c:v>41365</c:v>
                </c:pt>
                <c:pt idx="148">
                  <c:v>41395</c:v>
                </c:pt>
                <c:pt idx="149">
                  <c:v>41426</c:v>
                </c:pt>
                <c:pt idx="150">
                  <c:v>41456</c:v>
                </c:pt>
                <c:pt idx="151">
                  <c:v>41487</c:v>
                </c:pt>
                <c:pt idx="152">
                  <c:v>41518</c:v>
                </c:pt>
                <c:pt idx="153">
                  <c:v>41548</c:v>
                </c:pt>
                <c:pt idx="154">
                  <c:v>41579</c:v>
                </c:pt>
                <c:pt idx="155">
                  <c:v>41609</c:v>
                </c:pt>
                <c:pt idx="156">
                  <c:v>41640</c:v>
                </c:pt>
                <c:pt idx="157">
                  <c:v>41671</c:v>
                </c:pt>
                <c:pt idx="158">
                  <c:v>41699</c:v>
                </c:pt>
                <c:pt idx="159">
                  <c:v>41730</c:v>
                </c:pt>
                <c:pt idx="160">
                  <c:v>41760</c:v>
                </c:pt>
                <c:pt idx="161">
                  <c:v>41791</c:v>
                </c:pt>
                <c:pt idx="162">
                  <c:v>41821</c:v>
                </c:pt>
                <c:pt idx="163">
                  <c:v>41852</c:v>
                </c:pt>
                <c:pt idx="164">
                  <c:v>41883</c:v>
                </c:pt>
                <c:pt idx="165">
                  <c:v>41913</c:v>
                </c:pt>
                <c:pt idx="166">
                  <c:v>41944</c:v>
                </c:pt>
                <c:pt idx="167">
                  <c:v>41974</c:v>
                </c:pt>
                <c:pt idx="168">
                  <c:v>42005</c:v>
                </c:pt>
                <c:pt idx="169">
                  <c:v>42036</c:v>
                </c:pt>
                <c:pt idx="170">
                  <c:v>42064</c:v>
                </c:pt>
                <c:pt idx="171">
                  <c:v>42095</c:v>
                </c:pt>
                <c:pt idx="172">
                  <c:v>42125</c:v>
                </c:pt>
                <c:pt idx="173">
                  <c:v>42156</c:v>
                </c:pt>
                <c:pt idx="174">
                  <c:v>42186</c:v>
                </c:pt>
                <c:pt idx="175">
                  <c:v>42217</c:v>
                </c:pt>
                <c:pt idx="176">
                  <c:v>42248</c:v>
                </c:pt>
                <c:pt idx="177">
                  <c:v>42278</c:v>
                </c:pt>
                <c:pt idx="178">
                  <c:v>42309</c:v>
                </c:pt>
                <c:pt idx="179">
                  <c:v>42339</c:v>
                </c:pt>
                <c:pt idx="180">
                  <c:v>42370</c:v>
                </c:pt>
                <c:pt idx="181">
                  <c:v>42401</c:v>
                </c:pt>
                <c:pt idx="182">
                  <c:v>42430</c:v>
                </c:pt>
                <c:pt idx="183">
                  <c:v>42461</c:v>
                </c:pt>
                <c:pt idx="184">
                  <c:v>42491</c:v>
                </c:pt>
                <c:pt idx="185">
                  <c:v>42522</c:v>
                </c:pt>
                <c:pt idx="186">
                  <c:v>42552</c:v>
                </c:pt>
                <c:pt idx="187">
                  <c:v>42583</c:v>
                </c:pt>
                <c:pt idx="188">
                  <c:v>42614</c:v>
                </c:pt>
                <c:pt idx="189">
                  <c:v>42644</c:v>
                </c:pt>
                <c:pt idx="190">
                  <c:v>42675</c:v>
                </c:pt>
                <c:pt idx="191">
                  <c:v>42705</c:v>
                </c:pt>
                <c:pt idx="192">
                  <c:v>42736</c:v>
                </c:pt>
                <c:pt idx="193">
                  <c:v>42767</c:v>
                </c:pt>
                <c:pt idx="194">
                  <c:v>42795</c:v>
                </c:pt>
                <c:pt idx="195">
                  <c:v>42826</c:v>
                </c:pt>
                <c:pt idx="196">
                  <c:v>42856</c:v>
                </c:pt>
                <c:pt idx="197">
                  <c:v>42887</c:v>
                </c:pt>
                <c:pt idx="198">
                  <c:v>42917</c:v>
                </c:pt>
                <c:pt idx="199">
                  <c:v>42948</c:v>
                </c:pt>
                <c:pt idx="200">
                  <c:v>42979</c:v>
                </c:pt>
                <c:pt idx="201">
                  <c:v>43009</c:v>
                </c:pt>
                <c:pt idx="202">
                  <c:v>43040</c:v>
                </c:pt>
                <c:pt idx="203">
                  <c:v>43070</c:v>
                </c:pt>
                <c:pt idx="204">
                  <c:v>43101</c:v>
                </c:pt>
                <c:pt idx="205">
                  <c:v>43132</c:v>
                </c:pt>
                <c:pt idx="206">
                  <c:v>43160</c:v>
                </c:pt>
                <c:pt idx="207">
                  <c:v>43191</c:v>
                </c:pt>
                <c:pt idx="208">
                  <c:v>43221</c:v>
                </c:pt>
                <c:pt idx="209">
                  <c:v>43252</c:v>
                </c:pt>
                <c:pt idx="210">
                  <c:v>43282</c:v>
                </c:pt>
                <c:pt idx="211">
                  <c:v>43313</c:v>
                </c:pt>
                <c:pt idx="212">
                  <c:v>43344</c:v>
                </c:pt>
                <c:pt idx="213">
                  <c:v>43374</c:v>
                </c:pt>
                <c:pt idx="214">
                  <c:v>43405</c:v>
                </c:pt>
                <c:pt idx="215">
                  <c:v>43435</c:v>
                </c:pt>
                <c:pt idx="216">
                  <c:v>43466</c:v>
                </c:pt>
                <c:pt idx="217">
                  <c:v>43497</c:v>
                </c:pt>
                <c:pt idx="218">
                  <c:v>43525</c:v>
                </c:pt>
                <c:pt idx="219">
                  <c:v>43556</c:v>
                </c:pt>
                <c:pt idx="220">
                  <c:v>43586</c:v>
                </c:pt>
                <c:pt idx="221">
                  <c:v>43617</c:v>
                </c:pt>
                <c:pt idx="222">
                  <c:v>43647</c:v>
                </c:pt>
                <c:pt idx="223">
                  <c:v>43678</c:v>
                </c:pt>
                <c:pt idx="224">
                  <c:v>43709</c:v>
                </c:pt>
                <c:pt idx="225">
                  <c:v>43739</c:v>
                </c:pt>
                <c:pt idx="226">
                  <c:v>43770</c:v>
                </c:pt>
                <c:pt idx="227">
                  <c:v>43800</c:v>
                </c:pt>
                <c:pt idx="228">
                  <c:v>43831</c:v>
                </c:pt>
                <c:pt idx="229">
                  <c:v>43862</c:v>
                </c:pt>
                <c:pt idx="230">
                  <c:v>43891</c:v>
                </c:pt>
                <c:pt idx="231">
                  <c:v>43922</c:v>
                </c:pt>
                <c:pt idx="232">
                  <c:v>43952</c:v>
                </c:pt>
                <c:pt idx="233">
                  <c:v>43983</c:v>
                </c:pt>
                <c:pt idx="234">
                  <c:v>44013</c:v>
                </c:pt>
                <c:pt idx="235">
                  <c:v>44044</c:v>
                </c:pt>
                <c:pt idx="236">
                  <c:v>44075</c:v>
                </c:pt>
                <c:pt idx="237">
                  <c:v>44105</c:v>
                </c:pt>
                <c:pt idx="238">
                  <c:v>44136</c:v>
                </c:pt>
                <c:pt idx="239">
                  <c:v>44166</c:v>
                </c:pt>
                <c:pt idx="240">
                  <c:v>44197</c:v>
                </c:pt>
                <c:pt idx="241">
                  <c:v>44228</c:v>
                </c:pt>
                <c:pt idx="242">
                  <c:v>44256</c:v>
                </c:pt>
                <c:pt idx="243">
                  <c:v>44287</c:v>
                </c:pt>
                <c:pt idx="244">
                  <c:v>44317</c:v>
                </c:pt>
                <c:pt idx="245">
                  <c:v>44348</c:v>
                </c:pt>
                <c:pt idx="246">
                  <c:v>44378</c:v>
                </c:pt>
                <c:pt idx="247">
                  <c:v>44409</c:v>
                </c:pt>
                <c:pt idx="248">
                  <c:v>44440</c:v>
                </c:pt>
                <c:pt idx="249">
                  <c:v>44470</c:v>
                </c:pt>
                <c:pt idx="250">
                  <c:v>44501</c:v>
                </c:pt>
                <c:pt idx="251">
                  <c:v>44531</c:v>
                </c:pt>
                <c:pt idx="252">
                  <c:v>44562</c:v>
                </c:pt>
                <c:pt idx="253">
                  <c:v>44593</c:v>
                </c:pt>
                <c:pt idx="254">
                  <c:v>44621</c:v>
                </c:pt>
                <c:pt idx="255">
                  <c:v>44652</c:v>
                </c:pt>
                <c:pt idx="256">
                  <c:v>44682</c:v>
                </c:pt>
                <c:pt idx="257">
                  <c:v>44713</c:v>
                </c:pt>
                <c:pt idx="258">
                  <c:v>44743</c:v>
                </c:pt>
                <c:pt idx="259">
                  <c:v>44774</c:v>
                </c:pt>
                <c:pt idx="260">
                  <c:v>44805</c:v>
                </c:pt>
                <c:pt idx="261">
                  <c:v>44835</c:v>
                </c:pt>
                <c:pt idx="262">
                  <c:v>44866</c:v>
                </c:pt>
                <c:pt idx="263">
                  <c:v>44896</c:v>
                </c:pt>
                <c:pt idx="264">
                  <c:v>44927</c:v>
                </c:pt>
                <c:pt idx="265">
                  <c:v>44958</c:v>
                </c:pt>
                <c:pt idx="266">
                  <c:v>44986</c:v>
                </c:pt>
                <c:pt idx="267">
                  <c:v>45017</c:v>
                </c:pt>
                <c:pt idx="268">
                  <c:v>45047</c:v>
                </c:pt>
                <c:pt idx="269">
                  <c:v>45078</c:v>
                </c:pt>
                <c:pt idx="270">
                  <c:v>45108</c:v>
                </c:pt>
                <c:pt idx="271">
                  <c:v>45139</c:v>
                </c:pt>
                <c:pt idx="272">
                  <c:v>45170</c:v>
                </c:pt>
                <c:pt idx="273">
                  <c:v>45200</c:v>
                </c:pt>
                <c:pt idx="274">
                  <c:v>45231</c:v>
                </c:pt>
                <c:pt idx="275">
                  <c:v>45261</c:v>
                </c:pt>
                <c:pt idx="276">
                  <c:v>45292</c:v>
                </c:pt>
                <c:pt idx="277">
                  <c:v>45323</c:v>
                </c:pt>
              </c:numCache>
            </c:numRef>
          </c:cat>
          <c:val>
            <c:numRef>
              <c:f>Blad1!$D$5:$JU$5</c:f>
              <c:numCache>
                <c:formatCode>General</c:formatCode>
                <c:ptCount val="278"/>
                <c:pt idx="0">
                  <c:v>5.89</c:v>
                </c:pt>
                <c:pt idx="1">
                  <c:v>5.9</c:v>
                </c:pt>
                <c:pt idx="2">
                  <c:v>5.9</c:v>
                </c:pt>
                <c:pt idx="3">
                  <c:v>5.91</c:v>
                </c:pt>
                <c:pt idx="4">
                  <c:v>5.92</c:v>
                </c:pt>
                <c:pt idx="5">
                  <c:v>5.93</c:v>
                </c:pt>
                <c:pt idx="6">
                  <c:v>5.95</c:v>
                </c:pt>
                <c:pt idx="7">
                  <c:v>5.97</c:v>
                </c:pt>
                <c:pt idx="8">
                  <c:v>5.98</c:v>
                </c:pt>
                <c:pt idx="9">
                  <c:v>5.99</c:v>
                </c:pt>
                <c:pt idx="10">
                  <c:v>5.99</c:v>
                </c:pt>
                <c:pt idx="11">
                  <c:v>5.99</c:v>
                </c:pt>
                <c:pt idx="12">
                  <c:v>5.98</c:v>
                </c:pt>
                <c:pt idx="13">
                  <c:v>5.97</c:v>
                </c:pt>
                <c:pt idx="14">
                  <c:v>5.96</c:v>
                </c:pt>
                <c:pt idx="15">
                  <c:v>5.97</c:v>
                </c:pt>
                <c:pt idx="16">
                  <c:v>5.99</c:v>
                </c:pt>
                <c:pt idx="17">
                  <c:v>6.02</c:v>
                </c:pt>
                <c:pt idx="18">
                  <c:v>6.06</c:v>
                </c:pt>
                <c:pt idx="19">
                  <c:v>6.11</c:v>
                </c:pt>
                <c:pt idx="20">
                  <c:v>6.15</c:v>
                </c:pt>
                <c:pt idx="21">
                  <c:v>6.2</c:v>
                </c:pt>
                <c:pt idx="22">
                  <c:v>6.24</c:v>
                </c:pt>
                <c:pt idx="23">
                  <c:v>6.27</c:v>
                </c:pt>
                <c:pt idx="24">
                  <c:v>6.31</c:v>
                </c:pt>
                <c:pt idx="25">
                  <c:v>6.34</c:v>
                </c:pt>
                <c:pt idx="26">
                  <c:v>6.39</c:v>
                </c:pt>
                <c:pt idx="27">
                  <c:v>6.44</c:v>
                </c:pt>
                <c:pt idx="28">
                  <c:v>6.5</c:v>
                </c:pt>
                <c:pt idx="29">
                  <c:v>6.58</c:v>
                </c:pt>
                <c:pt idx="30">
                  <c:v>6.68</c:v>
                </c:pt>
                <c:pt idx="31">
                  <c:v>6.78</c:v>
                </c:pt>
                <c:pt idx="32">
                  <c:v>6.89</c:v>
                </c:pt>
                <c:pt idx="33">
                  <c:v>7</c:v>
                </c:pt>
                <c:pt idx="34">
                  <c:v>7.12</c:v>
                </c:pt>
                <c:pt idx="35">
                  <c:v>7.22</c:v>
                </c:pt>
                <c:pt idx="36">
                  <c:v>7.31</c:v>
                </c:pt>
                <c:pt idx="37">
                  <c:v>7.38</c:v>
                </c:pt>
                <c:pt idx="38">
                  <c:v>7.44</c:v>
                </c:pt>
                <c:pt idx="39">
                  <c:v>7.48</c:v>
                </c:pt>
                <c:pt idx="40">
                  <c:v>7.51</c:v>
                </c:pt>
                <c:pt idx="41">
                  <c:v>7.53</c:v>
                </c:pt>
                <c:pt idx="42">
                  <c:v>7.56</c:v>
                </c:pt>
                <c:pt idx="43">
                  <c:v>7.58</c:v>
                </c:pt>
                <c:pt idx="44">
                  <c:v>7.61</c:v>
                </c:pt>
                <c:pt idx="45">
                  <c:v>7.64</c:v>
                </c:pt>
                <c:pt idx="46">
                  <c:v>7.68</c:v>
                </c:pt>
                <c:pt idx="47">
                  <c:v>7.73</c:v>
                </c:pt>
                <c:pt idx="48">
                  <c:v>7.78</c:v>
                </c:pt>
                <c:pt idx="49">
                  <c:v>7.84</c:v>
                </c:pt>
                <c:pt idx="50">
                  <c:v>7.88</c:v>
                </c:pt>
                <c:pt idx="51">
                  <c:v>7.92</c:v>
                </c:pt>
                <c:pt idx="52">
                  <c:v>7.94</c:v>
                </c:pt>
                <c:pt idx="53">
                  <c:v>7.94</c:v>
                </c:pt>
                <c:pt idx="54">
                  <c:v>7.93</c:v>
                </c:pt>
                <c:pt idx="55">
                  <c:v>7.9</c:v>
                </c:pt>
                <c:pt idx="56">
                  <c:v>7.87</c:v>
                </c:pt>
                <c:pt idx="57">
                  <c:v>7.83</c:v>
                </c:pt>
                <c:pt idx="58">
                  <c:v>7.79</c:v>
                </c:pt>
                <c:pt idx="59">
                  <c:v>7.74</c:v>
                </c:pt>
                <c:pt idx="60">
                  <c:v>7.68</c:v>
                </c:pt>
                <c:pt idx="61">
                  <c:v>7.61</c:v>
                </c:pt>
                <c:pt idx="62">
                  <c:v>7.54</c:v>
                </c:pt>
                <c:pt idx="63">
                  <c:v>7.45</c:v>
                </c:pt>
                <c:pt idx="64">
                  <c:v>7.36</c:v>
                </c:pt>
                <c:pt idx="65">
                  <c:v>7.26</c:v>
                </c:pt>
                <c:pt idx="66">
                  <c:v>7.14</c:v>
                </c:pt>
                <c:pt idx="67">
                  <c:v>7.03</c:v>
                </c:pt>
                <c:pt idx="68">
                  <c:v>6.91</c:v>
                </c:pt>
                <c:pt idx="69">
                  <c:v>6.8</c:v>
                </c:pt>
                <c:pt idx="70">
                  <c:v>6.69</c:v>
                </c:pt>
                <c:pt idx="71">
                  <c:v>6.58</c:v>
                </c:pt>
                <c:pt idx="72">
                  <c:v>6.49</c:v>
                </c:pt>
                <c:pt idx="73">
                  <c:v>6.41</c:v>
                </c:pt>
                <c:pt idx="74">
                  <c:v>6.34</c:v>
                </c:pt>
                <c:pt idx="75">
                  <c:v>6.28</c:v>
                </c:pt>
                <c:pt idx="76">
                  <c:v>6.24</c:v>
                </c:pt>
                <c:pt idx="77">
                  <c:v>6.2</c:v>
                </c:pt>
                <c:pt idx="78">
                  <c:v>6.17</c:v>
                </c:pt>
                <c:pt idx="79">
                  <c:v>6.15</c:v>
                </c:pt>
                <c:pt idx="80">
                  <c:v>6.12</c:v>
                </c:pt>
                <c:pt idx="81">
                  <c:v>6.09</c:v>
                </c:pt>
                <c:pt idx="82">
                  <c:v>6.06</c:v>
                </c:pt>
                <c:pt idx="83">
                  <c:v>6.02</c:v>
                </c:pt>
                <c:pt idx="84">
                  <c:v>6</c:v>
                </c:pt>
                <c:pt idx="85">
                  <c:v>5.98</c:v>
                </c:pt>
                <c:pt idx="86">
                  <c:v>5.97</c:v>
                </c:pt>
                <c:pt idx="87">
                  <c:v>5.98</c:v>
                </c:pt>
                <c:pt idx="88">
                  <c:v>6.01</c:v>
                </c:pt>
                <c:pt idx="89">
                  <c:v>6.08</c:v>
                </c:pt>
                <c:pt idx="90">
                  <c:v>6.17</c:v>
                </c:pt>
                <c:pt idx="91">
                  <c:v>6.3</c:v>
                </c:pt>
                <c:pt idx="92">
                  <c:v>6.45</c:v>
                </c:pt>
                <c:pt idx="93">
                  <c:v>6.63</c:v>
                </c:pt>
                <c:pt idx="94">
                  <c:v>6.83</c:v>
                </c:pt>
                <c:pt idx="95">
                  <c:v>7.05</c:v>
                </c:pt>
                <c:pt idx="96">
                  <c:v>7.29</c:v>
                </c:pt>
                <c:pt idx="97">
                  <c:v>7.53</c:v>
                </c:pt>
                <c:pt idx="98">
                  <c:v>7.76</c:v>
                </c:pt>
                <c:pt idx="99">
                  <c:v>7.99</c:v>
                </c:pt>
                <c:pt idx="100">
                  <c:v>8.2100000000000009</c:v>
                </c:pt>
                <c:pt idx="101">
                  <c:v>8.4</c:v>
                </c:pt>
                <c:pt idx="102">
                  <c:v>8.57</c:v>
                </c:pt>
                <c:pt idx="103">
                  <c:v>8.7100000000000009</c:v>
                </c:pt>
                <c:pt idx="104">
                  <c:v>8.83</c:v>
                </c:pt>
                <c:pt idx="105">
                  <c:v>8.93</c:v>
                </c:pt>
                <c:pt idx="106">
                  <c:v>9</c:v>
                </c:pt>
                <c:pt idx="107">
                  <c:v>9.0500000000000007</c:v>
                </c:pt>
                <c:pt idx="108">
                  <c:v>9.07</c:v>
                </c:pt>
                <c:pt idx="109">
                  <c:v>9.06</c:v>
                </c:pt>
                <c:pt idx="110">
                  <c:v>9.0299999999999994</c:v>
                </c:pt>
                <c:pt idx="111">
                  <c:v>8.98</c:v>
                </c:pt>
                <c:pt idx="112">
                  <c:v>8.9</c:v>
                </c:pt>
                <c:pt idx="113">
                  <c:v>8.81</c:v>
                </c:pt>
                <c:pt idx="114">
                  <c:v>8.6999999999999993</c:v>
                </c:pt>
                <c:pt idx="115">
                  <c:v>8.58</c:v>
                </c:pt>
                <c:pt idx="116">
                  <c:v>8.4499999999999993</c:v>
                </c:pt>
                <c:pt idx="117">
                  <c:v>8.34</c:v>
                </c:pt>
                <c:pt idx="118">
                  <c:v>8.23</c:v>
                </c:pt>
                <c:pt idx="119">
                  <c:v>8.14</c:v>
                </c:pt>
                <c:pt idx="120">
                  <c:v>8.06</c:v>
                </c:pt>
                <c:pt idx="121">
                  <c:v>7.99</c:v>
                </c:pt>
                <c:pt idx="122">
                  <c:v>7.94</c:v>
                </c:pt>
                <c:pt idx="123">
                  <c:v>7.9</c:v>
                </c:pt>
                <c:pt idx="124">
                  <c:v>7.87</c:v>
                </c:pt>
                <c:pt idx="125">
                  <c:v>7.85</c:v>
                </c:pt>
                <c:pt idx="126">
                  <c:v>7.83</c:v>
                </c:pt>
                <c:pt idx="127">
                  <c:v>7.82</c:v>
                </c:pt>
                <c:pt idx="128">
                  <c:v>7.81</c:v>
                </c:pt>
                <c:pt idx="129">
                  <c:v>7.8</c:v>
                </c:pt>
                <c:pt idx="130">
                  <c:v>7.79</c:v>
                </c:pt>
                <c:pt idx="131">
                  <c:v>7.79</c:v>
                </c:pt>
                <c:pt idx="132">
                  <c:v>7.8</c:v>
                </c:pt>
                <c:pt idx="133">
                  <c:v>7.82</c:v>
                </c:pt>
                <c:pt idx="134">
                  <c:v>7.86</c:v>
                </c:pt>
                <c:pt idx="135">
                  <c:v>7.91</c:v>
                </c:pt>
                <c:pt idx="136">
                  <c:v>7.97</c:v>
                </c:pt>
                <c:pt idx="137">
                  <c:v>8.0299999999999994</c:v>
                </c:pt>
                <c:pt idx="138">
                  <c:v>8.09</c:v>
                </c:pt>
                <c:pt idx="139">
                  <c:v>8.15</c:v>
                </c:pt>
                <c:pt idx="140">
                  <c:v>8.19</c:v>
                </c:pt>
                <c:pt idx="141">
                  <c:v>8.23</c:v>
                </c:pt>
                <c:pt idx="142">
                  <c:v>8.25</c:v>
                </c:pt>
                <c:pt idx="143">
                  <c:v>8.25</c:v>
                </c:pt>
                <c:pt idx="144">
                  <c:v>8.24</c:v>
                </c:pt>
                <c:pt idx="145">
                  <c:v>8.2200000000000006</c:v>
                </c:pt>
                <c:pt idx="146">
                  <c:v>8.19</c:v>
                </c:pt>
                <c:pt idx="147">
                  <c:v>8.16</c:v>
                </c:pt>
                <c:pt idx="148">
                  <c:v>8.14</c:v>
                </c:pt>
                <c:pt idx="149">
                  <c:v>8.1199999999999992</c:v>
                </c:pt>
                <c:pt idx="150">
                  <c:v>8.11</c:v>
                </c:pt>
                <c:pt idx="151">
                  <c:v>8.1</c:v>
                </c:pt>
                <c:pt idx="152">
                  <c:v>8.1</c:v>
                </c:pt>
                <c:pt idx="153">
                  <c:v>8.11</c:v>
                </c:pt>
                <c:pt idx="154">
                  <c:v>8.11</c:v>
                </c:pt>
                <c:pt idx="155">
                  <c:v>8.1199999999999992</c:v>
                </c:pt>
                <c:pt idx="156">
                  <c:v>8.1199999999999992</c:v>
                </c:pt>
                <c:pt idx="157">
                  <c:v>8.1199999999999992</c:v>
                </c:pt>
                <c:pt idx="158">
                  <c:v>8.11</c:v>
                </c:pt>
                <c:pt idx="159">
                  <c:v>8.1</c:v>
                </c:pt>
                <c:pt idx="160">
                  <c:v>8.08</c:v>
                </c:pt>
                <c:pt idx="161">
                  <c:v>8.06</c:v>
                </c:pt>
                <c:pt idx="162">
                  <c:v>8.0299999999999994</c:v>
                </c:pt>
                <c:pt idx="163">
                  <c:v>8.01</c:v>
                </c:pt>
                <c:pt idx="164">
                  <c:v>7.99</c:v>
                </c:pt>
                <c:pt idx="165">
                  <c:v>7.97</c:v>
                </c:pt>
                <c:pt idx="166">
                  <c:v>7.95</c:v>
                </c:pt>
                <c:pt idx="167">
                  <c:v>7.92</c:v>
                </c:pt>
                <c:pt idx="168">
                  <c:v>7.89</c:v>
                </c:pt>
                <c:pt idx="169">
                  <c:v>7.84</c:v>
                </c:pt>
                <c:pt idx="170">
                  <c:v>7.77</c:v>
                </c:pt>
                <c:pt idx="171">
                  <c:v>7.69</c:v>
                </c:pt>
                <c:pt idx="172">
                  <c:v>7.61</c:v>
                </c:pt>
                <c:pt idx="173">
                  <c:v>7.52</c:v>
                </c:pt>
                <c:pt idx="174">
                  <c:v>7.44</c:v>
                </c:pt>
                <c:pt idx="175">
                  <c:v>7.36</c:v>
                </c:pt>
                <c:pt idx="176">
                  <c:v>7.3</c:v>
                </c:pt>
                <c:pt idx="177">
                  <c:v>7.25</c:v>
                </c:pt>
                <c:pt idx="178">
                  <c:v>7.21</c:v>
                </c:pt>
                <c:pt idx="179">
                  <c:v>7.18</c:v>
                </c:pt>
                <c:pt idx="180">
                  <c:v>7.17</c:v>
                </c:pt>
                <c:pt idx="181">
                  <c:v>7.15</c:v>
                </c:pt>
                <c:pt idx="182">
                  <c:v>7.13</c:v>
                </c:pt>
                <c:pt idx="183">
                  <c:v>7.11</c:v>
                </c:pt>
                <c:pt idx="184">
                  <c:v>7.09</c:v>
                </c:pt>
                <c:pt idx="185">
                  <c:v>7.06</c:v>
                </c:pt>
                <c:pt idx="186">
                  <c:v>7.04</c:v>
                </c:pt>
                <c:pt idx="187">
                  <c:v>7.02</c:v>
                </c:pt>
                <c:pt idx="188">
                  <c:v>6.99</c:v>
                </c:pt>
                <c:pt idx="189">
                  <c:v>6.97</c:v>
                </c:pt>
                <c:pt idx="190">
                  <c:v>6.95</c:v>
                </c:pt>
                <c:pt idx="191">
                  <c:v>6.93</c:v>
                </c:pt>
                <c:pt idx="192">
                  <c:v>6.9</c:v>
                </c:pt>
                <c:pt idx="193">
                  <c:v>6.88</c:v>
                </c:pt>
                <c:pt idx="194">
                  <c:v>6.86</c:v>
                </c:pt>
                <c:pt idx="195">
                  <c:v>6.84</c:v>
                </c:pt>
                <c:pt idx="196">
                  <c:v>6.83</c:v>
                </c:pt>
                <c:pt idx="197">
                  <c:v>6.82</c:v>
                </c:pt>
                <c:pt idx="198">
                  <c:v>6.8</c:v>
                </c:pt>
                <c:pt idx="199">
                  <c:v>6.78</c:v>
                </c:pt>
                <c:pt idx="200">
                  <c:v>6.74</c:v>
                </c:pt>
                <c:pt idx="201">
                  <c:v>6.69</c:v>
                </c:pt>
                <c:pt idx="202">
                  <c:v>6.62</c:v>
                </c:pt>
                <c:pt idx="203">
                  <c:v>6.56</c:v>
                </c:pt>
                <c:pt idx="204">
                  <c:v>6.49</c:v>
                </c:pt>
                <c:pt idx="205">
                  <c:v>6.43</c:v>
                </c:pt>
                <c:pt idx="206">
                  <c:v>6.38</c:v>
                </c:pt>
                <c:pt idx="207">
                  <c:v>6.36</c:v>
                </c:pt>
                <c:pt idx="208">
                  <c:v>6.35</c:v>
                </c:pt>
                <c:pt idx="209">
                  <c:v>6.37</c:v>
                </c:pt>
                <c:pt idx="210">
                  <c:v>6.41</c:v>
                </c:pt>
                <c:pt idx="211">
                  <c:v>6.46</c:v>
                </c:pt>
                <c:pt idx="212">
                  <c:v>6.52</c:v>
                </c:pt>
                <c:pt idx="213">
                  <c:v>6.57</c:v>
                </c:pt>
                <c:pt idx="214">
                  <c:v>6.62</c:v>
                </c:pt>
                <c:pt idx="215">
                  <c:v>6.66</c:v>
                </c:pt>
                <c:pt idx="216">
                  <c:v>6.7</c:v>
                </c:pt>
                <c:pt idx="217">
                  <c:v>6.73</c:v>
                </c:pt>
                <c:pt idx="218">
                  <c:v>6.76</c:v>
                </c:pt>
                <c:pt idx="219">
                  <c:v>6.8</c:v>
                </c:pt>
                <c:pt idx="220">
                  <c:v>6.84</c:v>
                </c:pt>
                <c:pt idx="221">
                  <c:v>6.89</c:v>
                </c:pt>
                <c:pt idx="222">
                  <c:v>6.94</c:v>
                </c:pt>
                <c:pt idx="223">
                  <c:v>6.99</c:v>
                </c:pt>
                <c:pt idx="224">
                  <c:v>7.05</c:v>
                </c:pt>
                <c:pt idx="225">
                  <c:v>7.11</c:v>
                </c:pt>
                <c:pt idx="226">
                  <c:v>7.17</c:v>
                </c:pt>
                <c:pt idx="227">
                  <c:v>7.24</c:v>
                </c:pt>
                <c:pt idx="228">
                  <c:v>7.29</c:v>
                </c:pt>
                <c:pt idx="229">
                  <c:v>7.32</c:v>
                </c:pt>
                <c:pt idx="230">
                  <c:v>7.45</c:v>
                </c:pt>
                <c:pt idx="231">
                  <c:v>8.1199999999999992</c:v>
                </c:pt>
                <c:pt idx="232">
                  <c:v>8.08</c:v>
                </c:pt>
                <c:pt idx="233">
                  <c:v>9.3000000000000007</c:v>
                </c:pt>
                <c:pt idx="234">
                  <c:v>9.24</c:v>
                </c:pt>
                <c:pt idx="235">
                  <c:v>9.17</c:v>
                </c:pt>
                <c:pt idx="236">
                  <c:v>9.1199999999999992</c:v>
                </c:pt>
                <c:pt idx="237">
                  <c:v>9.08</c:v>
                </c:pt>
                <c:pt idx="238">
                  <c:v>9.07</c:v>
                </c:pt>
                <c:pt idx="239">
                  <c:v>9.07</c:v>
                </c:pt>
                <c:pt idx="240">
                  <c:v>9.09</c:v>
                </c:pt>
                <c:pt idx="241">
                  <c:v>9.11</c:v>
                </c:pt>
                <c:pt idx="242">
                  <c:v>9.14</c:v>
                </c:pt>
                <c:pt idx="243">
                  <c:v>9.15</c:v>
                </c:pt>
                <c:pt idx="244">
                  <c:v>9.1300000000000008</c:v>
                </c:pt>
                <c:pt idx="245">
                  <c:v>9.07</c:v>
                </c:pt>
                <c:pt idx="246">
                  <c:v>8.9700000000000006</c:v>
                </c:pt>
                <c:pt idx="247">
                  <c:v>8.84</c:v>
                </c:pt>
                <c:pt idx="248">
                  <c:v>8.68</c:v>
                </c:pt>
                <c:pt idx="249">
                  <c:v>8.5</c:v>
                </c:pt>
                <c:pt idx="250">
                  <c:v>8.33</c:v>
                </c:pt>
                <c:pt idx="251">
                  <c:v>8.16</c:v>
                </c:pt>
                <c:pt idx="252">
                  <c:v>7.99</c:v>
                </c:pt>
                <c:pt idx="253">
                  <c:v>7.83</c:v>
                </c:pt>
                <c:pt idx="254">
                  <c:v>7.69</c:v>
                </c:pt>
                <c:pt idx="255">
                  <c:v>7.57</c:v>
                </c:pt>
                <c:pt idx="256">
                  <c:v>7.48</c:v>
                </c:pt>
                <c:pt idx="257">
                  <c:v>7.4</c:v>
                </c:pt>
                <c:pt idx="258">
                  <c:v>7.35</c:v>
                </c:pt>
                <c:pt idx="259">
                  <c:v>7.32</c:v>
                </c:pt>
                <c:pt idx="260">
                  <c:v>7.3</c:v>
                </c:pt>
                <c:pt idx="261">
                  <c:v>7.29</c:v>
                </c:pt>
                <c:pt idx="262">
                  <c:v>7.29</c:v>
                </c:pt>
                <c:pt idx="263">
                  <c:v>7.3</c:v>
                </c:pt>
                <c:pt idx="264">
                  <c:v>7.31</c:v>
                </c:pt>
                <c:pt idx="265">
                  <c:v>7.34</c:v>
                </c:pt>
                <c:pt idx="266">
                  <c:v>7.39</c:v>
                </c:pt>
                <c:pt idx="267">
                  <c:v>7.44</c:v>
                </c:pt>
                <c:pt idx="268">
                  <c:v>7.5</c:v>
                </c:pt>
                <c:pt idx="269">
                  <c:v>7.57</c:v>
                </c:pt>
                <c:pt idx="270">
                  <c:v>7.66</c:v>
                </c:pt>
                <c:pt idx="271">
                  <c:v>7.76</c:v>
                </c:pt>
                <c:pt idx="272">
                  <c:v>7.86</c:v>
                </c:pt>
                <c:pt idx="273">
                  <c:v>7.96</c:v>
                </c:pt>
                <c:pt idx="274">
                  <c:v>8.06</c:v>
                </c:pt>
                <c:pt idx="275">
                  <c:v>8.14</c:v>
                </c:pt>
                <c:pt idx="276">
                  <c:v>8.2100000000000009</c:v>
                </c:pt>
                <c:pt idx="277">
                  <c:v>8.26</c:v>
                </c:pt>
              </c:numCache>
            </c:numRef>
          </c:val>
          <c:smooth val="0"/>
          <c:extLst>
            <c:ext xmlns:c16="http://schemas.microsoft.com/office/drawing/2014/chart" uri="{C3380CC4-5D6E-409C-BE32-E72D297353CC}">
              <c16:uniqueId val="{00000001-D299-49BE-86D8-4825E9A56548}"/>
            </c:ext>
          </c:extLst>
        </c:ser>
        <c:dLbls>
          <c:showLegendKey val="0"/>
          <c:showVal val="0"/>
          <c:showCatName val="0"/>
          <c:showSerName val="0"/>
          <c:showPercent val="0"/>
          <c:showBubbleSize val="0"/>
        </c:dLbls>
        <c:marker val="1"/>
        <c:smooth val="0"/>
        <c:axId val="608313016"/>
        <c:axId val="608311704"/>
      </c:lineChart>
      <c:dateAx>
        <c:axId val="608308752"/>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08313344"/>
        <c:crosses val="autoZero"/>
        <c:auto val="1"/>
        <c:lblOffset val="100"/>
        <c:baseTimeUnit val="months"/>
        <c:majorUnit val="1"/>
        <c:majorTimeUnit val="years"/>
      </c:dateAx>
      <c:valAx>
        <c:axId val="608313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08308752"/>
        <c:crosses val="autoZero"/>
        <c:crossBetween val="between"/>
      </c:valAx>
      <c:valAx>
        <c:axId val="608311704"/>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08313016"/>
        <c:crosses val="max"/>
        <c:crossBetween val="between"/>
      </c:valAx>
      <c:dateAx>
        <c:axId val="608313016"/>
        <c:scaling>
          <c:orientation val="minMax"/>
        </c:scaling>
        <c:delete val="1"/>
        <c:axPos val="b"/>
        <c:numFmt formatCode="m/d/yyyy" sourceLinked="1"/>
        <c:majorTickMark val="out"/>
        <c:minorTickMark val="none"/>
        <c:tickLblPos val="nextTo"/>
        <c:crossAx val="608311704"/>
        <c:crosses val="autoZero"/>
        <c:auto val="1"/>
        <c:lblOffset val="100"/>
        <c:baseTimeUnit val="month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'D47'!$B$4</c:f>
              <c:strCache>
                <c:ptCount val="1"/>
                <c:pt idx="0">
                  <c:v>Inrikes födda</c:v>
                </c:pt>
              </c:strCache>
            </c:strRef>
          </c:tx>
          <c:spPr>
            <a:ln w="28575" cap="rnd">
              <a:solidFill>
                <a:schemeClr val="accent1"/>
              </a:solidFill>
              <a:round/>
            </a:ln>
            <a:effectLst/>
          </c:spPr>
          <c:marker>
            <c:symbol val="none"/>
          </c:marker>
          <c:cat>
            <c:numRef>
              <c:f>'D47'!$A$5:$A$68</c:f>
              <c:numCache>
                <c:formatCode>m/d/yyyy</c:formatCode>
                <c:ptCount val="64"/>
                <c:pt idx="0">
                  <c:v>39448</c:v>
                </c:pt>
                <c:pt idx="1">
                  <c:v>39539</c:v>
                </c:pt>
                <c:pt idx="2">
                  <c:v>39630</c:v>
                </c:pt>
                <c:pt idx="3">
                  <c:v>39722</c:v>
                </c:pt>
                <c:pt idx="4">
                  <c:v>39814</c:v>
                </c:pt>
                <c:pt idx="5">
                  <c:v>39904</c:v>
                </c:pt>
                <c:pt idx="6">
                  <c:v>39995</c:v>
                </c:pt>
                <c:pt idx="7">
                  <c:v>40087</c:v>
                </c:pt>
                <c:pt idx="8">
                  <c:v>40179</c:v>
                </c:pt>
                <c:pt idx="9">
                  <c:v>40269</c:v>
                </c:pt>
                <c:pt idx="10">
                  <c:v>40360</c:v>
                </c:pt>
                <c:pt idx="11">
                  <c:v>40452</c:v>
                </c:pt>
                <c:pt idx="12">
                  <c:v>40544</c:v>
                </c:pt>
                <c:pt idx="13">
                  <c:v>40634</c:v>
                </c:pt>
                <c:pt idx="14">
                  <c:v>40725</c:v>
                </c:pt>
                <c:pt idx="15">
                  <c:v>40817</c:v>
                </c:pt>
                <c:pt idx="16">
                  <c:v>40909</c:v>
                </c:pt>
                <c:pt idx="17">
                  <c:v>41000</c:v>
                </c:pt>
                <c:pt idx="18">
                  <c:v>41091</c:v>
                </c:pt>
                <c:pt idx="19">
                  <c:v>41183</c:v>
                </c:pt>
                <c:pt idx="20">
                  <c:v>41275</c:v>
                </c:pt>
                <c:pt idx="21">
                  <c:v>41365</c:v>
                </c:pt>
                <c:pt idx="22">
                  <c:v>41456</c:v>
                </c:pt>
                <c:pt idx="23">
                  <c:v>41548</c:v>
                </c:pt>
                <c:pt idx="24">
                  <c:v>41640</c:v>
                </c:pt>
                <c:pt idx="25">
                  <c:v>41730</c:v>
                </c:pt>
                <c:pt idx="26">
                  <c:v>41821</c:v>
                </c:pt>
                <c:pt idx="27">
                  <c:v>41913</c:v>
                </c:pt>
                <c:pt idx="28">
                  <c:v>42005</c:v>
                </c:pt>
                <c:pt idx="29">
                  <c:v>42095</c:v>
                </c:pt>
                <c:pt idx="30">
                  <c:v>42186</c:v>
                </c:pt>
                <c:pt idx="31">
                  <c:v>42278</c:v>
                </c:pt>
                <c:pt idx="32">
                  <c:v>42370</c:v>
                </c:pt>
                <c:pt idx="33">
                  <c:v>42461</c:v>
                </c:pt>
                <c:pt idx="34">
                  <c:v>42552</c:v>
                </c:pt>
                <c:pt idx="35">
                  <c:v>42644</c:v>
                </c:pt>
                <c:pt idx="36">
                  <c:v>42736</c:v>
                </c:pt>
                <c:pt idx="37">
                  <c:v>42826</c:v>
                </c:pt>
                <c:pt idx="38">
                  <c:v>42917</c:v>
                </c:pt>
                <c:pt idx="39">
                  <c:v>43009</c:v>
                </c:pt>
                <c:pt idx="40">
                  <c:v>43101</c:v>
                </c:pt>
                <c:pt idx="41">
                  <c:v>43191</c:v>
                </c:pt>
                <c:pt idx="42">
                  <c:v>43282</c:v>
                </c:pt>
                <c:pt idx="43">
                  <c:v>43374</c:v>
                </c:pt>
                <c:pt idx="44">
                  <c:v>43466</c:v>
                </c:pt>
                <c:pt idx="45">
                  <c:v>43556</c:v>
                </c:pt>
                <c:pt idx="46">
                  <c:v>43647</c:v>
                </c:pt>
                <c:pt idx="47">
                  <c:v>43739</c:v>
                </c:pt>
                <c:pt idx="48">
                  <c:v>43831</c:v>
                </c:pt>
                <c:pt idx="49">
                  <c:v>43922</c:v>
                </c:pt>
                <c:pt idx="50">
                  <c:v>44013</c:v>
                </c:pt>
                <c:pt idx="51">
                  <c:v>44105</c:v>
                </c:pt>
                <c:pt idx="52">
                  <c:v>44197</c:v>
                </c:pt>
                <c:pt idx="53">
                  <c:v>44287</c:v>
                </c:pt>
                <c:pt idx="54">
                  <c:v>44378</c:v>
                </c:pt>
                <c:pt idx="55">
                  <c:v>44470</c:v>
                </c:pt>
                <c:pt idx="56">
                  <c:v>44562</c:v>
                </c:pt>
                <c:pt idx="57">
                  <c:v>44652</c:v>
                </c:pt>
                <c:pt idx="58">
                  <c:v>44743</c:v>
                </c:pt>
                <c:pt idx="59">
                  <c:v>44835</c:v>
                </c:pt>
                <c:pt idx="60">
                  <c:v>44927</c:v>
                </c:pt>
                <c:pt idx="61">
                  <c:v>45017</c:v>
                </c:pt>
                <c:pt idx="62">
                  <c:v>45108</c:v>
                </c:pt>
                <c:pt idx="63">
                  <c:v>45200</c:v>
                </c:pt>
              </c:numCache>
            </c:numRef>
          </c:cat>
          <c:val>
            <c:numRef>
              <c:f>'D47'!$B$5:$B$68</c:f>
              <c:numCache>
                <c:formatCode>0.0</c:formatCode>
                <c:ptCount val="64"/>
                <c:pt idx="0">
                  <c:v>68.592528764586419</c:v>
                </c:pt>
                <c:pt idx="1">
                  <c:v>68.402903653851169</c:v>
                </c:pt>
                <c:pt idx="2">
                  <c:v>68.179738516782891</c:v>
                </c:pt>
                <c:pt idx="3">
                  <c:v>67.690124023090974</c:v>
                </c:pt>
                <c:pt idx="4">
                  <c:v>66.988219711968227</c:v>
                </c:pt>
                <c:pt idx="5">
                  <c:v>66.419929587557121</c:v>
                </c:pt>
                <c:pt idx="6">
                  <c:v>65.532525499204922</c:v>
                </c:pt>
                <c:pt idx="7">
                  <c:v>65.697139489925675</c:v>
                </c:pt>
                <c:pt idx="8">
                  <c:v>65.56421673330361</c:v>
                </c:pt>
                <c:pt idx="9">
                  <c:v>65.96560389265278</c:v>
                </c:pt>
                <c:pt idx="10">
                  <c:v>66.127730041536822</c:v>
                </c:pt>
                <c:pt idx="11">
                  <c:v>66.429146489467797</c:v>
                </c:pt>
                <c:pt idx="12">
                  <c:v>66.844358096859551</c:v>
                </c:pt>
                <c:pt idx="13">
                  <c:v>67.122260302771835</c:v>
                </c:pt>
                <c:pt idx="14">
                  <c:v>67.047018328946422</c:v>
                </c:pt>
                <c:pt idx="15">
                  <c:v>67.022831112879544</c:v>
                </c:pt>
                <c:pt idx="16">
                  <c:v>67.022799225913047</c:v>
                </c:pt>
                <c:pt idx="17">
                  <c:v>67.017169257449751</c:v>
                </c:pt>
                <c:pt idx="18">
                  <c:v>67.047060940190704</c:v>
                </c:pt>
                <c:pt idx="19">
                  <c:v>67.105502181610035</c:v>
                </c:pt>
                <c:pt idx="20">
                  <c:v>67.135454076376249</c:v>
                </c:pt>
                <c:pt idx="21">
                  <c:v>67.070592773563064</c:v>
                </c:pt>
                <c:pt idx="22">
                  <c:v>67.434555153369075</c:v>
                </c:pt>
                <c:pt idx="23">
                  <c:v>67.676329479867903</c:v>
                </c:pt>
                <c:pt idx="24">
                  <c:v>67.482844318515106</c:v>
                </c:pt>
                <c:pt idx="25">
                  <c:v>67.762829496391774</c:v>
                </c:pt>
                <c:pt idx="26">
                  <c:v>68.067977919355556</c:v>
                </c:pt>
                <c:pt idx="27">
                  <c:v>67.837053104118112</c:v>
                </c:pt>
                <c:pt idx="28">
                  <c:v>68.028957989627443</c:v>
                </c:pt>
                <c:pt idx="29">
                  <c:v>67.982576626444796</c:v>
                </c:pt>
                <c:pt idx="30">
                  <c:v>68.420230068251058</c:v>
                </c:pt>
                <c:pt idx="31">
                  <c:v>68.437121686943527</c:v>
                </c:pt>
                <c:pt idx="32">
                  <c:v>68.50118825210177</c:v>
                </c:pt>
                <c:pt idx="33">
                  <c:v>68.854347859682989</c:v>
                </c:pt>
                <c:pt idx="34">
                  <c:v>68.390373256986223</c:v>
                </c:pt>
                <c:pt idx="35">
                  <c:v>68.69151091051846</c:v>
                </c:pt>
                <c:pt idx="36">
                  <c:v>68.98473467409741</c:v>
                </c:pt>
                <c:pt idx="37">
                  <c:v>69.124173566153402</c:v>
                </c:pt>
                <c:pt idx="38">
                  <c:v>69.437801718353768</c:v>
                </c:pt>
                <c:pt idx="39">
                  <c:v>69.576556090524278</c:v>
                </c:pt>
                <c:pt idx="40">
                  <c:v>69.986133002592538</c:v>
                </c:pt>
                <c:pt idx="41">
                  <c:v>70.12102313763819</c:v>
                </c:pt>
                <c:pt idx="42">
                  <c:v>69.821901215737299</c:v>
                </c:pt>
                <c:pt idx="43">
                  <c:v>70.025738981523517</c:v>
                </c:pt>
                <c:pt idx="44">
                  <c:v>70.131043441609137</c:v>
                </c:pt>
                <c:pt idx="45">
                  <c:v>69.848331333446296</c:v>
                </c:pt>
                <c:pt idx="46">
                  <c:v>70.083472454090142</c:v>
                </c:pt>
                <c:pt idx="47">
                  <c:v>70.344650784934927</c:v>
                </c:pt>
                <c:pt idx="48">
                  <c:v>69.855791568713116</c:v>
                </c:pt>
                <c:pt idx="49">
                  <c:v>68.760519293034108</c:v>
                </c:pt>
                <c:pt idx="50">
                  <c:v>68.821747019856048</c:v>
                </c:pt>
                <c:pt idx="51">
                  <c:v>69.010270937244741</c:v>
                </c:pt>
                <c:pt idx="52">
                  <c:v>68.795719753019867</c:v>
                </c:pt>
                <c:pt idx="53">
                  <c:v>69.111403435507668</c:v>
                </c:pt>
                <c:pt idx="54">
                  <c:v>69.267873063635349</c:v>
                </c:pt>
                <c:pt idx="55">
                  <c:v>69.533467005084987</c:v>
                </c:pt>
                <c:pt idx="56">
                  <c:v>70.020188073346517</c:v>
                </c:pt>
                <c:pt idx="57">
                  <c:v>70.530392233822653</c:v>
                </c:pt>
                <c:pt idx="58">
                  <c:v>70.43665995884551</c:v>
                </c:pt>
                <c:pt idx="59">
                  <c:v>70.336009556860006</c:v>
                </c:pt>
                <c:pt idx="60">
                  <c:v>70.421056126255692</c:v>
                </c:pt>
                <c:pt idx="61">
                  <c:v>70.21586834251508</c:v>
                </c:pt>
                <c:pt idx="62">
                  <c:v>70.157025024660868</c:v>
                </c:pt>
                <c:pt idx="63">
                  <c:v>70.108175537247348</c:v>
                </c:pt>
              </c:numCache>
            </c:numRef>
          </c:val>
          <c:smooth val="0"/>
          <c:extLst>
            <c:ext xmlns:c16="http://schemas.microsoft.com/office/drawing/2014/chart" uri="{C3380CC4-5D6E-409C-BE32-E72D297353CC}">
              <c16:uniqueId val="{00000000-ACAC-4D93-B952-55EE0C32C7A4}"/>
            </c:ext>
          </c:extLst>
        </c:ser>
        <c:ser>
          <c:idx val="1"/>
          <c:order val="1"/>
          <c:tx>
            <c:strRef>
              <c:f>'D47'!$C$4</c:f>
              <c:strCache>
                <c:ptCount val="1"/>
                <c:pt idx="0">
                  <c:v>Utrikes födda</c:v>
                </c:pt>
              </c:strCache>
            </c:strRef>
          </c:tx>
          <c:spPr>
            <a:ln w="28575" cap="rnd">
              <a:solidFill>
                <a:schemeClr val="accent2"/>
              </a:solidFill>
              <a:round/>
            </a:ln>
            <a:effectLst/>
          </c:spPr>
          <c:marker>
            <c:symbol val="none"/>
          </c:marker>
          <c:cat>
            <c:numRef>
              <c:f>'D47'!$A$5:$A$68</c:f>
              <c:numCache>
                <c:formatCode>m/d/yyyy</c:formatCode>
                <c:ptCount val="64"/>
                <c:pt idx="0">
                  <c:v>39448</c:v>
                </c:pt>
                <c:pt idx="1">
                  <c:v>39539</c:v>
                </c:pt>
                <c:pt idx="2">
                  <c:v>39630</c:v>
                </c:pt>
                <c:pt idx="3">
                  <c:v>39722</c:v>
                </c:pt>
                <c:pt idx="4">
                  <c:v>39814</c:v>
                </c:pt>
                <c:pt idx="5">
                  <c:v>39904</c:v>
                </c:pt>
                <c:pt idx="6">
                  <c:v>39995</c:v>
                </c:pt>
                <c:pt idx="7">
                  <c:v>40087</c:v>
                </c:pt>
                <c:pt idx="8">
                  <c:v>40179</c:v>
                </c:pt>
                <c:pt idx="9">
                  <c:v>40269</c:v>
                </c:pt>
                <c:pt idx="10">
                  <c:v>40360</c:v>
                </c:pt>
                <c:pt idx="11">
                  <c:v>40452</c:v>
                </c:pt>
                <c:pt idx="12">
                  <c:v>40544</c:v>
                </c:pt>
                <c:pt idx="13">
                  <c:v>40634</c:v>
                </c:pt>
                <c:pt idx="14">
                  <c:v>40725</c:v>
                </c:pt>
                <c:pt idx="15">
                  <c:v>40817</c:v>
                </c:pt>
                <c:pt idx="16">
                  <c:v>40909</c:v>
                </c:pt>
                <c:pt idx="17">
                  <c:v>41000</c:v>
                </c:pt>
                <c:pt idx="18">
                  <c:v>41091</c:v>
                </c:pt>
                <c:pt idx="19">
                  <c:v>41183</c:v>
                </c:pt>
                <c:pt idx="20">
                  <c:v>41275</c:v>
                </c:pt>
                <c:pt idx="21">
                  <c:v>41365</c:v>
                </c:pt>
                <c:pt idx="22">
                  <c:v>41456</c:v>
                </c:pt>
                <c:pt idx="23">
                  <c:v>41548</c:v>
                </c:pt>
                <c:pt idx="24">
                  <c:v>41640</c:v>
                </c:pt>
                <c:pt idx="25">
                  <c:v>41730</c:v>
                </c:pt>
                <c:pt idx="26">
                  <c:v>41821</c:v>
                </c:pt>
                <c:pt idx="27">
                  <c:v>41913</c:v>
                </c:pt>
                <c:pt idx="28">
                  <c:v>42005</c:v>
                </c:pt>
                <c:pt idx="29">
                  <c:v>42095</c:v>
                </c:pt>
                <c:pt idx="30">
                  <c:v>42186</c:v>
                </c:pt>
                <c:pt idx="31">
                  <c:v>42278</c:v>
                </c:pt>
                <c:pt idx="32">
                  <c:v>42370</c:v>
                </c:pt>
                <c:pt idx="33">
                  <c:v>42461</c:v>
                </c:pt>
                <c:pt idx="34">
                  <c:v>42552</c:v>
                </c:pt>
                <c:pt idx="35">
                  <c:v>42644</c:v>
                </c:pt>
                <c:pt idx="36">
                  <c:v>42736</c:v>
                </c:pt>
                <c:pt idx="37">
                  <c:v>42826</c:v>
                </c:pt>
                <c:pt idx="38">
                  <c:v>42917</c:v>
                </c:pt>
                <c:pt idx="39">
                  <c:v>43009</c:v>
                </c:pt>
                <c:pt idx="40">
                  <c:v>43101</c:v>
                </c:pt>
                <c:pt idx="41">
                  <c:v>43191</c:v>
                </c:pt>
                <c:pt idx="42">
                  <c:v>43282</c:v>
                </c:pt>
                <c:pt idx="43">
                  <c:v>43374</c:v>
                </c:pt>
                <c:pt idx="44">
                  <c:v>43466</c:v>
                </c:pt>
                <c:pt idx="45">
                  <c:v>43556</c:v>
                </c:pt>
                <c:pt idx="46">
                  <c:v>43647</c:v>
                </c:pt>
                <c:pt idx="47">
                  <c:v>43739</c:v>
                </c:pt>
                <c:pt idx="48">
                  <c:v>43831</c:v>
                </c:pt>
                <c:pt idx="49">
                  <c:v>43922</c:v>
                </c:pt>
                <c:pt idx="50">
                  <c:v>44013</c:v>
                </c:pt>
                <c:pt idx="51">
                  <c:v>44105</c:v>
                </c:pt>
                <c:pt idx="52">
                  <c:v>44197</c:v>
                </c:pt>
                <c:pt idx="53">
                  <c:v>44287</c:v>
                </c:pt>
                <c:pt idx="54">
                  <c:v>44378</c:v>
                </c:pt>
                <c:pt idx="55">
                  <c:v>44470</c:v>
                </c:pt>
                <c:pt idx="56">
                  <c:v>44562</c:v>
                </c:pt>
                <c:pt idx="57">
                  <c:v>44652</c:v>
                </c:pt>
                <c:pt idx="58">
                  <c:v>44743</c:v>
                </c:pt>
                <c:pt idx="59">
                  <c:v>44835</c:v>
                </c:pt>
                <c:pt idx="60">
                  <c:v>44927</c:v>
                </c:pt>
                <c:pt idx="61">
                  <c:v>45017</c:v>
                </c:pt>
                <c:pt idx="62">
                  <c:v>45108</c:v>
                </c:pt>
                <c:pt idx="63">
                  <c:v>45200</c:v>
                </c:pt>
              </c:numCache>
            </c:numRef>
          </c:cat>
          <c:val>
            <c:numRef>
              <c:f>'D47'!$C$5:$C$68</c:f>
              <c:numCache>
                <c:formatCode>0.0</c:formatCode>
                <c:ptCount val="64"/>
                <c:pt idx="0">
                  <c:v>57.62070672632337</c:v>
                </c:pt>
                <c:pt idx="1">
                  <c:v>58.291117552812167</c:v>
                </c:pt>
                <c:pt idx="2">
                  <c:v>57.656954481593367</c:v>
                </c:pt>
                <c:pt idx="3">
                  <c:v>57.598643649815038</c:v>
                </c:pt>
                <c:pt idx="4">
                  <c:v>56.832543443917849</c:v>
                </c:pt>
                <c:pt idx="5">
                  <c:v>55.464842535423976</c:v>
                </c:pt>
                <c:pt idx="6">
                  <c:v>55.602782071097366</c:v>
                </c:pt>
                <c:pt idx="7">
                  <c:v>55.455050522587591</c:v>
                </c:pt>
                <c:pt idx="8">
                  <c:v>55.205957043860025</c:v>
                </c:pt>
                <c:pt idx="9">
                  <c:v>54.780782984970166</c:v>
                </c:pt>
                <c:pt idx="10">
                  <c:v>55.337404606015426</c:v>
                </c:pt>
                <c:pt idx="11">
                  <c:v>55.193303504097337</c:v>
                </c:pt>
                <c:pt idx="12">
                  <c:v>56.255401183274614</c:v>
                </c:pt>
                <c:pt idx="13">
                  <c:v>56.073027788752796</c:v>
                </c:pt>
                <c:pt idx="14">
                  <c:v>56.324588183435921</c:v>
                </c:pt>
                <c:pt idx="15">
                  <c:v>56.972221545557154</c:v>
                </c:pt>
                <c:pt idx="16">
                  <c:v>56.594904047734232</c:v>
                </c:pt>
                <c:pt idx="17">
                  <c:v>57.401120896717387</c:v>
                </c:pt>
                <c:pt idx="18">
                  <c:v>56.605602249797428</c:v>
                </c:pt>
                <c:pt idx="19">
                  <c:v>56.983676366217182</c:v>
                </c:pt>
                <c:pt idx="20">
                  <c:v>57.268767253986496</c:v>
                </c:pt>
                <c:pt idx="21">
                  <c:v>58.087192404572761</c:v>
                </c:pt>
                <c:pt idx="22">
                  <c:v>57.178307199434556</c:v>
                </c:pt>
                <c:pt idx="23">
                  <c:v>57.329695288325233</c:v>
                </c:pt>
                <c:pt idx="24">
                  <c:v>57.65646207208566</c:v>
                </c:pt>
                <c:pt idx="25">
                  <c:v>57.859843541422741</c:v>
                </c:pt>
                <c:pt idx="26">
                  <c:v>59.233999837618001</c:v>
                </c:pt>
                <c:pt idx="27">
                  <c:v>59.249795584627961</c:v>
                </c:pt>
                <c:pt idx="28">
                  <c:v>59.085349525594722</c:v>
                </c:pt>
                <c:pt idx="29">
                  <c:v>58.92199435344024</c:v>
                </c:pt>
                <c:pt idx="30">
                  <c:v>59.000318821070529</c:v>
                </c:pt>
                <c:pt idx="31">
                  <c:v>59.54234886429002</c:v>
                </c:pt>
                <c:pt idx="32">
                  <c:v>59.310526754227645</c:v>
                </c:pt>
                <c:pt idx="33">
                  <c:v>59.544321871589098</c:v>
                </c:pt>
                <c:pt idx="34">
                  <c:v>59.881013617781633</c:v>
                </c:pt>
                <c:pt idx="35">
                  <c:v>60.668743178127407</c:v>
                </c:pt>
                <c:pt idx="36">
                  <c:v>61.442045253725873</c:v>
                </c:pt>
                <c:pt idx="37">
                  <c:v>61.686818581098535</c:v>
                </c:pt>
                <c:pt idx="38">
                  <c:v>61.430806065442937</c:v>
                </c:pt>
                <c:pt idx="39">
                  <c:v>61.0785544418301</c:v>
                </c:pt>
                <c:pt idx="40">
                  <c:v>61.248822953498085</c:v>
                </c:pt>
                <c:pt idx="41">
                  <c:v>61.127127485538971</c:v>
                </c:pt>
                <c:pt idx="42">
                  <c:v>61.743446355966348</c:v>
                </c:pt>
                <c:pt idx="43">
                  <c:v>61.301564636551745</c:v>
                </c:pt>
                <c:pt idx="44">
                  <c:v>61.332311028315047</c:v>
                </c:pt>
                <c:pt idx="45">
                  <c:v>61.889831914843171</c:v>
                </c:pt>
                <c:pt idx="46">
                  <c:v>61.15719484306382</c:v>
                </c:pt>
                <c:pt idx="47">
                  <c:v>60.953723881553643</c:v>
                </c:pt>
                <c:pt idx="48">
                  <c:v>61.107251210078971</c:v>
                </c:pt>
                <c:pt idx="49">
                  <c:v>57.650729326164786</c:v>
                </c:pt>
                <c:pt idx="50">
                  <c:v>58.110665137614681</c:v>
                </c:pt>
                <c:pt idx="51">
                  <c:v>59.784870030406246</c:v>
                </c:pt>
                <c:pt idx="52">
                  <c:v>58.552672763591453</c:v>
                </c:pt>
                <c:pt idx="53">
                  <c:v>60.104777277489873</c:v>
                </c:pt>
                <c:pt idx="54">
                  <c:v>60.835898503666265</c:v>
                </c:pt>
                <c:pt idx="55">
                  <c:v>61.99621057573539</c:v>
                </c:pt>
                <c:pt idx="56">
                  <c:v>63.061098813308256</c:v>
                </c:pt>
                <c:pt idx="57">
                  <c:v>63.832600575187591</c:v>
                </c:pt>
                <c:pt idx="58">
                  <c:v>64.66531018564099</c:v>
                </c:pt>
                <c:pt idx="59">
                  <c:v>65.125248163858657</c:v>
                </c:pt>
                <c:pt idx="60">
                  <c:v>66.897287510911383</c:v>
                </c:pt>
                <c:pt idx="61">
                  <c:v>67.705661549335744</c:v>
                </c:pt>
                <c:pt idx="62">
                  <c:v>67.294926821465708</c:v>
                </c:pt>
                <c:pt idx="63">
                  <c:v>66.615769312619705</c:v>
                </c:pt>
              </c:numCache>
            </c:numRef>
          </c:val>
          <c:smooth val="0"/>
          <c:extLst>
            <c:ext xmlns:c16="http://schemas.microsoft.com/office/drawing/2014/chart" uri="{C3380CC4-5D6E-409C-BE32-E72D297353CC}">
              <c16:uniqueId val="{00000001-ACAC-4D93-B952-55EE0C32C7A4}"/>
            </c:ext>
          </c:extLst>
        </c:ser>
        <c:dLbls>
          <c:showLegendKey val="0"/>
          <c:showVal val="0"/>
          <c:showCatName val="0"/>
          <c:showSerName val="0"/>
          <c:showPercent val="0"/>
          <c:showBubbleSize val="0"/>
        </c:dLbls>
        <c:smooth val="0"/>
        <c:axId val="750387160"/>
        <c:axId val="750382240"/>
      </c:lineChart>
      <c:dateAx>
        <c:axId val="750387160"/>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50382240"/>
        <c:crosses val="autoZero"/>
        <c:auto val="1"/>
        <c:lblOffset val="100"/>
        <c:baseTimeUnit val="months"/>
        <c:majorUnit val="1"/>
        <c:majorTimeUnit val="years"/>
      </c:dateAx>
      <c:valAx>
        <c:axId val="750382240"/>
        <c:scaling>
          <c:orientation val="minMax"/>
          <c:min val="54"/>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50387160"/>
        <c:crosses val="autoZero"/>
        <c:crossBetween val="between"/>
        <c:maj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Blad1!$B$4</c:f>
              <c:strCache>
                <c:ptCount val="1"/>
                <c:pt idx="0">
                  <c:v>Vinstandel</c:v>
                </c:pt>
              </c:strCache>
            </c:strRef>
          </c:tx>
          <c:spPr>
            <a:ln w="28575" cap="rnd">
              <a:solidFill>
                <a:schemeClr val="accent1"/>
              </a:solidFill>
              <a:round/>
            </a:ln>
            <a:effectLst/>
          </c:spPr>
          <c:marker>
            <c:symbol val="none"/>
          </c:marker>
          <c:cat>
            <c:numRef>
              <c:f>Blad1!$C$3:$Y$3</c:f>
              <c:numCache>
                <c:formatCode>m/d/yyyy</c:formatCode>
                <c:ptCount val="23"/>
                <c:pt idx="0">
                  <c:v>36892</c:v>
                </c:pt>
                <c:pt idx="1">
                  <c:v>37257</c:v>
                </c:pt>
                <c:pt idx="2">
                  <c:v>37622</c:v>
                </c:pt>
                <c:pt idx="3">
                  <c:v>37987</c:v>
                </c:pt>
                <c:pt idx="4">
                  <c:v>38353</c:v>
                </c:pt>
                <c:pt idx="5">
                  <c:v>38718</c:v>
                </c:pt>
                <c:pt idx="6">
                  <c:v>39083</c:v>
                </c:pt>
                <c:pt idx="7">
                  <c:v>39448</c:v>
                </c:pt>
                <c:pt idx="8">
                  <c:v>39814</c:v>
                </c:pt>
                <c:pt idx="9">
                  <c:v>40179</c:v>
                </c:pt>
                <c:pt idx="10">
                  <c:v>40544</c:v>
                </c:pt>
                <c:pt idx="11">
                  <c:v>40909</c:v>
                </c:pt>
                <c:pt idx="12">
                  <c:v>41275</c:v>
                </c:pt>
                <c:pt idx="13">
                  <c:v>41640</c:v>
                </c:pt>
                <c:pt idx="14">
                  <c:v>42005</c:v>
                </c:pt>
                <c:pt idx="15">
                  <c:v>42370</c:v>
                </c:pt>
                <c:pt idx="16">
                  <c:v>42736</c:v>
                </c:pt>
                <c:pt idx="17">
                  <c:v>43101</c:v>
                </c:pt>
                <c:pt idx="18">
                  <c:v>43466</c:v>
                </c:pt>
                <c:pt idx="19">
                  <c:v>43831</c:v>
                </c:pt>
                <c:pt idx="20">
                  <c:v>44197</c:v>
                </c:pt>
                <c:pt idx="21">
                  <c:v>44562</c:v>
                </c:pt>
                <c:pt idx="22">
                  <c:v>44927</c:v>
                </c:pt>
              </c:numCache>
            </c:numRef>
          </c:cat>
          <c:val>
            <c:numRef>
              <c:f>Blad1!$C$4:$Y$4</c:f>
              <c:numCache>
                <c:formatCode>0.0</c:formatCode>
                <c:ptCount val="23"/>
                <c:pt idx="0">
                  <c:v>34.585461508332266</c:v>
                </c:pt>
                <c:pt idx="1">
                  <c:v>34.910206231602992</c:v>
                </c:pt>
                <c:pt idx="2">
                  <c:v>35.971422762579991</c:v>
                </c:pt>
                <c:pt idx="3">
                  <c:v>37.542209633440002</c:v>
                </c:pt>
                <c:pt idx="4">
                  <c:v>37.263067740499466</c:v>
                </c:pt>
                <c:pt idx="5">
                  <c:v>39.070234139034675</c:v>
                </c:pt>
                <c:pt idx="6">
                  <c:v>37.945155388847184</c:v>
                </c:pt>
                <c:pt idx="7">
                  <c:v>36.288101931466016</c:v>
                </c:pt>
                <c:pt idx="8">
                  <c:v>34.631702376092299</c:v>
                </c:pt>
                <c:pt idx="9">
                  <c:v>38.032076016258813</c:v>
                </c:pt>
                <c:pt idx="10">
                  <c:v>37.629486923176849</c:v>
                </c:pt>
                <c:pt idx="11">
                  <c:v>35.081687410161017</c:v>
                </c:pt>
                <c:pt idx="12">
                  <c:v>34.720170132401812</c:v>
                </c:pt>
                <c:pt idx="13">
                  <c:v>35.501761709797584</c:v>
                </c:pt>
                <c:pt idx="14">
                  <c:v>37.521919690674153</c:v>
                </c:pt>
                <c:pt idx="15">
                  <c:v>36.22398797034927</c:v>
                </c:pt>
                <c:pt idx="16">
                  <c:v>36.356164490790292</c:v>
                </c:pt>
                <c:pt idx="17">
                  <c:v>35.435870737499371</c:v>
                </c:pt>
                <c:pt idx="18">
                  <c:v>36.457399596580231</c:v>
                </c:pt>
                <c:pt idx="19">
                  <c:v>37.511219955767864</c:v>
                </c:pt>
                <c:pt idx="20">
                  <c:v>39.511383300339538</c:v>
                </c:pt>
                <c:pt idx="21">
                  <c:v>40.579844742982807</c:v>
                </c:pt>
                <c:pt idx="22">
                  <c:v>40.747910975817241</c:v>
                </c:pt>
              </c:numCache>
            </c:numRef>
          </c:val>
          <c:smooth val="0"/>
          <c:extLst>
            <c:ext xmlns:c16="http://schemas.microsoft.com/office/drawing/2014/chart" uri="{C3380CC4-5D6E-409C-BE32-E72D297353CC}">
              <c16:uniqueId val="{00000000-8738-43B9-BD47-A711C8D8E3C1}"/>
            </c:ext>
          </c:extLst>
        </c:ser>
        <c:dLbls>
          <c:showLegendKey val="0"/>
          <c:showVal val="0"/>
          <c:showCatName val="0"/>
          <c:showSerName val="0"/>
          <c:showPercent val="0"/>
          <c:showBubbleSize val="0"/>
        </c:dLbls>
        <c:smooth val="0"/>
        <c:axId val="675861032"/>
        <c:axId val="675865952"/>
      </c:lineChart>
      <c:dateAx>
        <c:axId val="675861032"/>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75865952"/>
        <c:crosses val="autoZero"/>
        <c:auto val="1"/>
        <c:lblOffset val="100"/>
        <c:baseTimeUnit val="years"/>
        <c:majorUnit val="2"/>
        <c:majorTimeUnit val="years"/>
      </c:dateAx>
      <c:valAx>
        <c:axId val="675865952"/>
        <c:scaling>
          <c:orientation val="minMax"/>
          <c:max val="41"/>
          <c:min val="34"/>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75861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'Reporäntan per förändring'!$G$62</c:f>
              <c:strCache>
                <c:ptCount val="1"/>
                <c:pt idx="0">
                  <c:v>Styrränta</c:v>
                </c:pt>
              </c:strCache>
            </c:strRef>
          </c:tx>
          <c:spPr>
            <a:ln w="28575" cap="rnd">
              <a:solidFill>
                <a:schemeClr val="accent1"/>
              </a:solidFill>
              <a:round/>
            </a:ln>
            <a:effectLst/>
          </c:spPr>
          <c:marker>
            <c:symbol val="none"/>
          </c:marker>
          <c:cat>
            <c:numRef>
              <c:f>'Reporäntan per förändring'!$H$61:$CZ$61</c:f>
              <c:numCache>
                <c:formatCode>m/d/yyyy</c:formatCode>
                <c:ptCount val="97"/>
                <c:pt idx="0">
                  <c:v>39498</c:v>
                </c:pt>
                <c:pt idx="1">
                  <c:v>39568</c:v>
                </c:pt>
                <c:pt idx="2">
                  <c:v>39638</c:v>
                </c:pt>
                <c:pt idx="3">
                  <c:v>39701</c:v>
                </c:pt>
                <c:pt idx="4">
                  <c:v>39736</c:v>
                </c:pt>
                <c:pt idx="5">
                  <c:v>39750</c:v>
                </c:pt>
                <c:pt idx="6">
                  <c:v>39792</c:v>
                </c:pt>
                <c:pt idx="7">
                  <c:v>39862</c:v>
                </c:pt>
                <c:pt idx="8">
                  <c:v>39925</c:v>
                </c:pt>
                <c:pt idx="9">
                  <c:v>40002</c:v>
                </c:pt>
                <c:pt idx="10">
                  <c:v>40065</c:v>
                </c:pt>
                <c:pt idx="11">
                  <c:v>40114</c:v>
                </c:pt>
                <c:pt idx="12">
                  <c:v>40170</c:v>
                </c:pt>
                <c:pt idx="13">
                  <c:v>40226</c:v>
                </c:pt>
                <c:pt idx="14">
                  <c:v>40289</c:v>
                </c:pt>
                <c:pt idx="15">
                  <c:v>40366</c:v>
                </c:pt>
                <c:pt idx="16">
                  <c:v>40429</c:v>
                </c:pt>
                <c:pt idx="17">
                  <c:v>40478</c:v>
                </c:pt>
                <c:pt idx="18">
                  <c:v>40534</c:v>
                </c:pt>
                <c:pt idx="19">
                  <c:v>40590</c:v>
                </c:pt>
                <c:pt idx="20">
                  <c:v>40660</c:v>
                </c:pt>
                <c:pt idx="21">
                  <c:v>40730</c:v>
                </c:pt>
                <c:pt idx="22">
                  <c:v>40800</c:v>
                </c:pt>
                <c:pt idx="23">
                  <c:v>40849</c:v>
                </c:pt>
                <c:pt idx="24">
                  <c:v>40898</c:v>
                </c:pt>
                <c:pt idx="25">
                  <c:v>40961</c:v>
                </c:pt>
                <c:pt idx="26">
                  <c:v>41024</c:v>
                </c:pt>
                <c:pt idx="27">
                  <c:v>41101</c:v>
                </c:pt>
                <c:pt idx="28">
                  <c:v>41164</c:v>
                </c:pt>
                <c:pt idx="29">
                  <c:v>41213</c:v>
                </c:pt>
                <c:pt idx="30">
                  <c:v>41262</c:v>
                </c:pt>
                <c:pt idx="31">
                  <c:v>41325</c:v>
                </c:pt>
                <c:pt idx="32">
                  <c:v>41388</c:v>
                </c:pt>
                <c:pt idx="33">
                  <c:v>41465</c:v>
                </c:pt>
                <c:pt idx="34">
                  <c:v>41528</c:v>
                </c:pt>
                <c:pt idx="35">
                  <c:v>41577</c:v>
                </c:pt>
                <c:pt idx="36">
                  <c:v>41626</c:v>
                </c:pt>
                <c:pt idx="37">
                  <c:v>41689</c:v>
                </c:pt>
                <c:pt idx="38">
                  <c:v>41745</c:v>
                </c:pt>
                <c:pt idx="39">
                  <c:v>41829</c:v>
                </c:pt>
                <c:pt idx="40">
                  <c:v>41892</c:v>
                </c:pt>
                <c:pt idx="41">
                  <c:v>41941</c:v>
                </c:pt>
                <c:pt idx="42">
                  <c:v>41990</c:v>
                </c:pt>
                <c:pt idx="43">
                  <c:v>42053</c:v>
                </c:pt>
                <c:pt idx="44">
                  <c:v>42088</c:v>
                </c:pt>
                <c:pt idx="45">
                  <c:v>42130</c:v>
                </c:pt>
                <c:pt idx="46">
                  <c:v>42193</c:v>
                </c:pt>
                <c:pt idx="47">
                  <c:v>42256</c:v>
                </c:pt>
                <c:pt idx="48">
                  <c:v>42312</c:v>
                </c:pt>
                <c:pt idx="49">
                  <c:v>42354</c:v>
                </c:pt>
                <c:pt idx="50">
                  <c:v>42417</c:v>
                </c:pt>
                <c:pt idx="51">
                  <c:v>42487</c:v>
                </c:pt>
                <c:pt idx="52">
                  <c:v>42564</c:v>
                </c:pt>
                <c:pt idx="53">
                  <c:v>42627</c:v>
                </c:pt>
                <c:pt idx="54">
                  <c:v>42676</c:v>
                </c:pt>
                <c:pt idx="55">
                  <c:v>42732</c:v>
                </c:pt>
                <c:pt idx="56">
                  <c:v>42788</c:v>
                </c:pt>
                <c:pt idx="57">
                  <c:v>42858</c:v>
                </c:pt>
                <c:pt idx="58">
                  <c:v>42921</c:v>
                </c:pt>
                <c:pt idx="59">
                  <c:v>42991</c:v>
                </c:pt>
                <c:pt idx="60">
                  <c:v>43040</c:v>
                </c:pt>
                <c:pt idx="61">
                  <c:v>43103</c:v>
                </c:pt>
                <c:pt idx="62">
                  <c:v>43152</c:v>
                </c:pt>
                <c:pt idx="63">
                  <c:v>43222</c:v>
                </c:pt>
                <c:pt idx="64">
                  <c:v>43285</c:v>
                </c:pt>
                <c:pt idx="65">
                  <c:v>43355</c:v>
                </c:pt>
                <c:pt idx="66">
                  <c:v>43404</c:v>
                </c:pt>
                <c:pt idx="67">
                  <c:v>43474</c:v>
                </c:pt>
                <c:pt idx="68">
                  <c:v>43516</c:v>
                </c:pt>
                <c:pt idx="69">
                  <c:v>43593</c:v>
                </c:pt>
                <c:pt idx="70">
                  <c:v>43656</c:v>
                </c:pt>
                <c:pt idx="71">
                  <c:v>43719</c:v>
                </c:pt>
                <c:pt idx="72">
                  <c:v>43768</c:v>
                </c:pt>
                <c:pt idx="73">
                  <c:v>43838</c:v>
                </c:pt>
                <c:pt idx="74">
                  <c:v>43880</c:v>
                </c:pt>
                <c:pt idx="75">
                  <c:v>43908</c:v>
                </c:pt>
                <c:pt idx="76">
                  <c:v>43950</c:v>
                </c:pt>
                <c:pt idx="77">
                  <c:v>44020</c:v>
                </c:pt>
                <c:pt idx="78">
                  <c:v>44097</c:v>
                </c:pt>
                <c:pt idx="79">
                  <c:v>44167</c:v>
                </c:pt>
                <c:pt idx="80">
                  <c:v>44244</c:v>
                </c:pt>
                <c:pt idx="81">
                  <c:v>44314</c:v>
                </c:pt>
                <c:pt idx="82">
                  <c:v>44384</c:v>
                </c:pt>
                <c:pt idx="83">
                  <c:v>44461</c:v>
                </c:pt>
                <c:pt idx="84">
                  <c:v>44531</c:v>
                </c:pt>
                <c:pt idx="85">
                  <c:v>44608</c:v>
                </c:pt>
                <c:pt idx="86">
                  <c:v>44685</c:v>
                </c:pt>
                <c:pt idx="87">
                  <c:v>44748</c:v>
                </c:pt>
                <c:pt idx="88">
                  <c:v>44825</c:v>
                </c:pt>
                <c:pt idx="89">
                  <c:v>44895</c:v>
                </c:pt>
                <c:pt idx="90">
                  <c:v>44972</c:v>
                </c:pt>
                <c:pt idx="91">
                  <c:v>45049</c:v>
                </c:pt>
                <c:pt idx="92">
                  <c:v>45112</c:v>
                </c:pt>
                <c:pt idx="93">
                  <c:v>45196</c:v>
                </c:pt>
                <c:pt idx="94">
                  <c:v>45259</c:v>
                </c:pt>
                <c:pt idx="95">
                  <c:v>45329</c:v>
                </c:pt>
                <c:pt idx="96">
                  <c:v>45385</c:v>
                </c:pt>
              </c:numCache>
            </c:numRef>
          </c:cat>
          <c:val>
            <c:numRef>
              <c:f>'Reporäntan per förändring'!$H$62:$CZ$62</c:f>
              <c:numCache>
                <c:formatCode>General</c:formatCode>
                <c:ptCount val="97"/>
                <c:pt idx="0">
                  <c:v>4.25</c:v>
                </c:pt>
                <c:pt idx="1">
                  <c:v>4.25</c:v>
                </c:pt>
                <c:pt idx="2">
                  <c:v>4.5</c:v>
                </c:pt>
                <c:pt idx="3">
                  <c:v>4.75</c:v>
                </c:pt>
                <c:pt idx="4">
                  <c:v>4.25</c:v>
                </c:pt>
                <c:pt idx="5">
                  <c:v>3.75</c:v>
                </c:pt>
                <c:pt idx="6">
                  <c:v>2</c:v>
                </c:pt>
                <c:pt idx="7">
                  <c:v>1</c:v>
                </c:pt>
                <c:pt idx="8">
                  <c:v>0.5</c:v>
                </c:pt>
                <c:pt idx="9">
                  <c:v>0.25</c:v>
                </c:pt>
                <c:pt idx="10">
                  <c:v>0.25</c:v>
                </c:pt>
                <c:pt idx="11">
                  <c:v>0.25</c:v>
                </c:pt>
                <c:pt idx="12">
                  <c:v>0.25</c:v>
                </c:pt>
                <c:pt idx="13">
                  <c:v>0.25</c:v>
                </c:pt>
                <c:pt idx="14">
                  <c:v>0.25</c:v>
                </c:pt>
                <c:pt idx="15">
                  <c:v>0.5</c:v>
                </c:pt>
                <c:pt idx="16">
                  <c:v>0.75</c:v>
                </c:pt>
                <c:pt idx="17">
                  <c:v>1</c:v>
                </c:pt>
                <c:pt idx="18">
                  <c:v>1.25</c:v>
                </c:pt>
                <c:pt idx="19">
                  <c:v>1.5</c:v>
                </c:pt>
                <c:pt idx="20">
                  <c:v>1.75</c:v>
                </c:pt>
                <c:pt idx="21">
                  <c:v>2</c:v>
                </c:pt>
                <c:pt idx="22">
                  <c:v>2</c:v>
                </c:pt>
                <c:pt idx="23">
                  <c:v>2</c:v>
                </c:pt>
                <c:pt idx="24">
                  <c:v>1.75</c:v>
                </c:pt>
                <c:pt idx="25">
                  <c:v>1.5</c:v>
                </c:pt>
                <c:pt idx="26">
                  <c:v>1.5</c:v>
                </c:pt>
                <c:pt idx="27">
                  <c:v>1.5</c:v>
                </c:pt>
                <c:pt idx="28">
                  <c:v>1.25</c:v>
                </c:pt>
                <c:pt idx="29">
                  <c:v>1.25</c:v>
                </c:pt>
                <c:pt idx="30">
                  <c:v>1</c:v>
                </c:pt>
                <c:pt idx="31">
                  <c:v>1</c:v>
                </c:pt>
                <c:pt idx="32">
                  <c:v>1</c:v>
                </c:pt>
                <c:pt idx="33">
                  <c:v>1</c:v>
                </c:pt>
                <c:pt idx="34">
                  <c:v>1</c:v>
                </c:pt>
                <c:pt idx="35">
                  <c:v>1</c:v>
                </c:pt>
                <c:pt idx="36">
                  <c:v>0.75</c:v>
                </c:pt>
                <c:pt idx="37">
                  <c:v>0.75</c:v>
                </c:pt>
                <c:pt idx="38">
                  <c:v>0.75</c:v>
                </c:pt>
                <c:pt idx="39">
                  <c:v>0.25</c:v>
                </c:pt>
                <c:pt idx="40">
                  <c:v>0.25</c:v>
                </c:pt>
                <c:pt idx="41">
                  <c:v>0</c:v>
                </c:pt>
                <c:pt idx="42">
                  <c:v>0</c:v>
                </c:pt>
                <c:pt idx="43">
                  <c:v>-0.1</c:v>
                </c:pt>
                <c:pt idx="44">
                  <c:v>-0.25</c:v>
                </c:pt>
                <c:pt idx="45">
                  <c:v>-0.25</c:v>
                </c:pt>
                <c:pt idx="46">
                  <c:v>-0.35</c:v>
                </c:pt>
                <c:pt idx="47">
                  <c:v>-0.35</c:v>
                </c:pt>
                <c:pt idx="48">
                  <c:v>-0.35</c:v>
                </c:pt>
                <c:pt idx="49">
                  <c:v>-0.35</c:v>
                </c:pt>
                <c:pt idx="50">
                  <c:v>-0.5</c:v>
                </c:pt>
                <c:pt idx="51">
                  <c:v>-0.5</c:v>
                </c:pt>
                <c:pt idx="52">
                  <c:v>-0.5</c:v>
                </c:pt>
                <c:pt idx="53">
                  <c:v>-0.5</c:v>
                </c:pt>
                <c:pt idx="54">
                  <c:v>-0.5</c:v>
                </c:pt>
                <c:pt idx="55">
                  <c:v>-0.5</c:v>
                </c:pt>
                <c:pt idx="56">
                  <c:v>-0.5</c:v>
                </c:pt>
                <c:pt idx="57">
                  <c:v>-0.5</c:v>
                </c:pt>
                <c:pt idx="58">
                  <c:v>-0.5</c:v>
                </c:pt>
                <c:pt idx="59">
                  <c:v>-0.5</c:v>
                </c:pt>
                <c:pt idx="60">
                  <c:v>-0.5</c:v>
                </c:pt>
                <c:pt idx="61">
                  <c:v>-0.5</c:v>
                </c:pt>
                <c:pt idx="62">
                  <c:v>-0.5</c:v>
                </c:pt>
                <c:pt idx="63">
                  <c:v>-0.5</c:v>
                </c:pt>
                <c:pt idx="64">
                  <c:v>-0.5</c:v>
                </c:pt>
                <c:pt idx="65">
                  <c:v>-0.5</c:v>
                </c:pt>
                <c:pt idx="66">
                  <c:v>-0.5</c:v>
                </c:pt>
                <c:pt idx="67">
                  <c:v>-0.25</c:v>
                </c:pt>
                <c:pt idx="68">
                  <c:v>-0.25</c:v>
                </c:pt>
                <c:pt idx="69">
                  <c:v>-0.25</c:v>
                </c:pt>
                <c:pt idx="70">
                  <c:v>-0.25</c:v>
                </c:pt>
                <c:pt idx="71">
                  <c:v>-0.25</c:v>
                </c:pt>
                <c:pt idx="72">
                  <c:v>-0.25</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0.25</c:v>
                </c:pt>
                <c:pt idx="87">
                  <c:v>0.75</c:v>
                </c:pt>
                <c:pt idx="88">
                  <c:v>1.75</c:v>
                </c:pt>
                <c:pt idx="89">
                  <c:v>2.5</c:v>
                </c:pt>
                <c:pt idx="90">
                  <c:v>3</c:v>
                </c:pt>
                <c:pt idx="91">
                  <c:v>3.5</c:v>
                </c:pt>
                <c:pt idx="92">
                  <c:v>3.75</c:v>
                </c:pt>
                <c:pt idx="93">
                  <c:v>4</c:v>
                </c:pt>
                <c:pt idx="94">
                  <c:v>4</c:v>
                </c:pt>
                <c:pt idx="95">
                  <c:v>4</c:v>
                </c:pt>
                <c:pt idx="96">
                  <c:v>4</c:v>
                </c:pt>
              </c:numCache>
            </c:numRef>
          </c:val>
          <c:smooth val="0"/>
          <c:extLst>
            <c:ext xmlns:c16="http://schemas.microsoft.com/office/drawing/2014/chart" uri="{C3380CC4-5D6E-409C-BE32-E72D297353CC}">
              <c16:uniqueId val="{00000000-3C7E-4A09-8E08-DA008F9603E7}"/>
            </c:ext>
          </c:extLst>
        </c:ser>
        <c:dLbls>
          <c:showLegendKey val="0"/>
          <c:showVal val="0"/>
          <c:showCatName val="0"/>
          <c:showSerName val="0"/>
          <c:showPercent val="0"/>
          <c:showBubbleSize val="0"/>
        </c:dLbls>
        <c:smooth val="0"/>
        <c:axId val="642854880"/>
        <c:axId val="642855536"/>
      </c:lineChart>
      <c:dateAx>
        <c:axId val="642854880"/>
        <c:scaling>
          <c:orientation val="minMax"/>
        </c:scaling>
        <c:delete val="0"/>
        <c:axPos val="b"/>
        <c:numFmt formatCode="yyyy" sourceLinked="0"/>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42855536"/>
        <c:crosses val="autoZero"/>
        <c:auto val="1"/>
        <c:lblOffset val="100"/>
        <c:baseTimeUnit val="days"/>
      </c:dateAx>
      <c:valAx>
        <c:axId val="642855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42854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Blad1!$C$4</c:f>
              <c:strCache>
                <c:ptCount val="1"/>
                <c:pt idx="0">
                  <c:v>KPIF</c:v>
                </c:pt>
              </c:strCache>
            </c:strRef>
          </c:tx>
          <c:spPr>
            <a:ln w="28575" cap="rnd">
              <a:solidFill>
                <a:schemeClr val="accent1"/>
              </a:solidFill>
              <a:round/>
            </a:ln>
            <a:effectLst/>
          </c:spPr>
          <c:marker>
            <c:symbol val="none"/>
          </c:marker>
          <c:cat>
            <c:numRef>
              <c:f>Blad1!$D$3:$BN$3</c:f>
              <c:numCache>
                <c:formatCode>m/d/yyyy</c:formatCode>
                <c:ptCount val="63"/>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numCache>
            </c:numRef>
          </c:cat>
          <c:val>
            <c:numRef>
              <c:f>Blad1!$D$4:$BN$4</c:f>
              <c:numCache>
                <c:formatCode>0.0</c:formatCode>
                <c:ptCount val="63"/>
                <c:pt idx="0">
                  <c:v>2</c:v>
                </c:pt>
                <c:pt idx="1">
                  <c:v>1.9</c:v>
                </c:pt>
                <c:pt idx="2">
                  <c:v>1.8</c:v>
                </c:pt>
                <c:pt idx="3">
                  <c:v>2</c:v>
                </c:pt>
                <c:pt idx="4">
                  <c:v>2.1</c:v>
                </c:pt>
                <c:pt idx="5">
                  <c:v>1.7</c:v>
                </c:pt>
                <c:pt idx="6">
                  <c:v>1.5</c:v>
                </c:pt>
                <c:pt idx="7">
                  <c:v>1.3</c:v>
                </c:pt>
                <c:pt idx="8">
                  <c:v>1.3</c:v>
                </c:pt>
                <c:pt idx="9">
                  <c:v>1.5</c:v>
                </c:pt>
                <c:pt idx="10">
                  <c:v>1.7</c:v>
                </c:pt>
                <c:pt idx="11">
                  <c:v>1.7</c:v>
                </c:pt>
                <c:pt idx="12">
                  <c:v>1.2</c:v>
                </c:pt>
                <c:pt idx="13">
                  <c:v>1</c:v>
                </c:pt>
                <c:pt idx="14">
                  <c:v>0.6</c:v>
                </c:pt>
                <c:pt idx="15">
                  <c:v>-0.4</c:v>
                </c:pt>
                <c:pt idx="16">
                  <c:v>0</c:v>
                </c:pt>
                <c:pt idx="17">
                  <c:v>0.7</c:v>
                </c:pt>
                <c:pt idx="18">
                  <c:v>0.5</c:v>
                </c:pt>
                <c:pt idx="19">
                  <c:v>0.7</c:v>
                </c:pt>
                <c:pt idx="20">
                  <c:v>0.3</c:v>
                </c:pt>
                <c:pt idx="21">
                  <c:v>0.3</c:v>
                </c:pt>
                <c:pt idx="22">
                  <c:v>0.2</c:v>
                </c:pt>
                <c:pt idx="23">
                  <c:v>0.5</c:v>
                </c:pt>
                <c:pt idx="24">
                  <c:v>1.7</c:v>
                </c:pt>
                <c:pt idx="25">
                  <c:v>1.5</c:v>
                </c:pt>
                <c:pt idx="26">
                  <c:v>1.9</c:v>
                </c:pt>
                <c:pt idx="27">
                  <c:v>2.5</c:v>
                </c:pt>
                <c:pt idx="28">
                  <c:v>2.1</c:v>
                </c:pt>
                <c:pt idx="29">
                  <c:v>1.6</c:v>
                </c:pt>
                <c:pt idx="30">
                  <c:v>1.7</c:v>
                </c:pt>
                <c:pt idx="31">
                  <c:v>2.4</c:v>
                </c:pt>
                <c:pt idx="32">
                  <c:v>2.8</c:v>
                </c:pt>
                <c:pt idx="33">
                  <c:v>3.1</c:v>
                </c:pt>
                <c:pt idx="34">
                  <c:v>3.6</c:v>
                </c:pt>
                <c:pt idx="35">
                  <c:v>4.0999999999999996</c:v>
                </c:pt>
                <c:pt idx="36">
                  <c:v>3.9</c:v>
                </c:pt>
                <c:pt idx="37">
                  <c:v>4.5</c:v>
                </c:pt>
                <c:pt idx="38">
                  <c:v>6.1</c:v>
                </c:pt>
                <c:pt idx="39">
                  <c:v>6.4</c:v>
                </c:pt>
                <c:pt idx="40">
                  <c:v>7.2</c:v>
                </c:pt>
                <c:pt idx="41">
                  <c:v>8.5</c:v>
                </c:pt>
                <c:pt idx="42">
                  <c:v>8</c:v>
                </c:pt>
                <c:pt idx="43">
                  <c:v>9</c:v>
                </c:pt>
                <c:pt idx="44">
                  <c:v>9.6999999999999993</c:v>
                </c:pt>
                <c:pt idx="45">
                  <c:v>9.3000000000000007</c:v>
                </c:pt>
                <c:pt idx="46">
                  <c:v>9.5</c:v>
                </c:pt>
                <c:pt idx="47">
                  <c:v>10.199999999999999</c:v>
                </c:pt>
                <c:pt idx="48">
                  <c:v>9.3000000000000007</c:v>
                </c:pt>
                <c:pt idx="49">
                  <c:v>9.4</c:v>
                </c:pt>
                <c:pt idx="50">
                  <c:v>8</c:v>
                </c:pt>
                <c:pt idx="51">
                  <c:v>7.6</c:v>
                </c:pt>
                <c:pt idx="52">
                  <c:v>6.7</c:v>
                </c:pt>
                <c:pt idx="53">
                  <c:v>6.4</c:v>
                </c:pt>
                <c:pt idx="54">
                  <c:v>6.4</c:v>
                </c:pt>
                <c:pt idx="55">
                  <c:v>4.7</c:v>
                </c:pt>
                <c:pt idx="56">
                  <c:v>4</c:v>
                </c:pt>
                <c:pt idx="57">
                  <c:v>4.2</c:v>
                </c:pt>
                <c:pt idx="58">
                  <c:v>3.6</c:v>
                </c:pt>
                <c:pt idx="59">
                  <c:v>2.2999999999999998</c:v>
                </c:pt>
                <c:pt idx="60">
                  <c:v>3.3</c:v>
                </c:pt>
                <c:pt idx="61">
                  <c:v>2.5</c:v>
                </c:pt>
                <c:pt idx="62">
                  <c:v>2.2000000000000002</c:v>
                </c:pt>
              </c:numCache>
            </c:numRef>
          </c:val>
          <c:smooth val="0"/>
          <c:extLst>
            <c:ext xmlns:c16="http://schemas.microsoft.com/office/drawing/2014/chart" uri="{C3380CC4-5D6E-409C-BE32-E72D297353CC}">
              <c16:uniqueId val="{00000000-B52E-4E95-9C9E-34A794221FDE}"/>
            </c:ext>
          </c:extLst>
        </c:ser>
        <c:dLbls>
          <c:showLegendKey val="0"/>
          <c:showVal val="0"/>
          <c:showCatName val="0"/>
          <c:showSerName val="0"/>
          <c:showPercent val="0"/>
          <c:showBubbleSize val="0"/>
        </c:dLbls>
        <c:smooth val="0"/>
        <c:axId val="451015200"/>
        <c:axId val="451012248"/>
      </c:lineChart>
      <c:dateAx>
        <c:axId val="451015200"/>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51012248"/>
        <c:crosses val="autoZero"/>
        <c:auto val="1"/>
        <c:lblOffset val="100"/>
        <c:baseTimeUnit val="months"/>
        <c:majorUnit val="1"/>
        <c:majorTimeUnit val="years"/>
      </c:dateAx>
      <c:valAx>
        <c:axId val="45101224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51015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'Kapitalinkomst, hushåll'!$G$44</c:f>
              <c:strCache>
                <c:ptCount val="1"/>
                <c:pt idx="0">
                  <c:v>Andel</c:v>
                </c:pt>
              </c:strCache>
            </c:strRef>
          </c:tx>
          <c:spPr>
            <a:solidFill>
              <a:schemeClr val="accent1"/>
            </a:solidFill>
            <a:ln>
              <a:noFill/>
            </a:ln>
            <a:effectLst/>
          </c:spPr>
          <c:invertIfNegative val="0"/>
          <c:cat>
            <c:numRef>
              <c:f>'Kapitalinkomst, hushåll'!$H$43:$DD$43</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cat>
          <c:val>
            <c:numRef>
              <c:f>'Kapitalinkomst, hushåll'!$H$44:$DD$44</c:f>
              <c:numCache>
                <c:formatCode>#\ ##0.0_ ;\-#\ ##0.0\ </c:formatCode>
                <c:ptCount val="101"/>
                <c:pt idx="0" formatCode="General">
                  <c:v>0</c:v>
                </c:pt>
                <c:pt idx="1">
                  <c:v>-0.62718153913255381</c:v>
                </c:pt>
                <c:pt idx="2">
                  <c:v>-9.7990170470258018E-3</c:v>
                </c:pt>
                <c:pt idx="3">
                  <c:v>3.2902298855671096E-3</c:v>
                </c:pt>
                <c:pt idx="4">
                  <c:v>1.2691535445884956E-2</c:v>
                </c:pt>
                <c:pt idx="5">
                  <c:v>1.2773304071527616E-2</c:v>
                </c:pt>
                <c:pt idx="6">
                  <c:v>1.4741599125906394E-2</c:v>
                </c:pt>
                <c:pt idx="7">
                  <c:v>1.8960809313330402E-2</c:v>
                </c:pt>
                <c:pt idx="8">
                  <c:v>2.2038069413817994E-2</c:v>
                </c:pt>
                <c:pt idx="9">
                  <c:v>2.2200151473649433E-2</c:v>
                </c:pt>
                <c:pt idx="10">
                  <c:v>2.5557894003916243E-2</c:v>
                </c:pt>
                <c:pt idx="11">
                  <c:v>2.7370519917208416E-2</c:v>
                </c:pt>
                <c:pt idx="12">
                  <c:v>2.7312387141949727E-2</c:v>
                </c:pt>
                <c:pt idx="13">
                  <c:v>2.7752488378371454E-2</c:v>
                </c:pt>
                <c:pt idx="14">
                  <c:v>2.8287671187885784E-2</c:v>
                </c:pt>
                <c:pt idx="15">
                  <c:v>2.8015235385190396E-2</c:v>
                </c:pt>
                <c:pt idx="16">
                  <c:v>2.8916950269217152E-2</c:v>
                </c:pt>
                <c:pt idx="17">
                  <c:v>3.0578004002950646E-2</c:v>
                </c:pt>
                <c:pt idx="18">
                  <c:v>3.0537606650652235E-2</c:v>
                </c:pt>
                <c:pt idx="19">
                  <c:v>3.1492856237318352E-2</c:v>
                </c:pt>
                <c:pt idx="20">
                  <c:v>3.3814061825684444E-2</c:v>
                </c:pt>
                <c:pt idx="21">
                  <c:v>3.3718487601954047E-2</c:v>
                </c:pt>
                <c:pt idx="22">
                  <c:v>3.5741475337580639E-2</c:v>
                </c:pt>
                <c:pt idx="23">
                  <c:v>3.7774644519721463E-2</c:v>
                </c:pt>
                <c:pt idx="24">
                  <c:v>3.9273451976744263E-2</c:v>
                </c:pt>
                <c:pt idx="25">
                  <c:v>4.2518377510958189E-2</c:v>
                </c:pt>
                <c:pt idx="26">
                  <c:v>4.4337407882541577E-2</c:v>
                </c:pt>
                <c:pt idx="27">
                  <c:v>4.6975223614124491E-2</c:v>
                </c:pt>
                <c:pt idx="28">
                  <c:v>5.1736527811442237E-2</c:v>
                </c:pt>
                <c:pt idx="29">
                  <c:v>5.5351433974633088E-2</c:v>
                </c:pt>
                <c:pt idx="30">
                  <c:v>5.7593487027194967E-2</c:v>
                </c:pt>
                <c:pt idx="31">
                  <c:v>6.0420480603687522E-2</c:v>
                </c:pt>
                <c:pt idx="32">
                  <c:v>6.4962555267190719E-2</c:v>
                </c:pt>
                <c:pt idx="33">
                  <c:v>6.6599633336551986E-2</c:v>
                </c:pt>
                <c:pt idx="34">
                  <c:v>6.885236048626589E-2</c:v>
                </c:pt>
                <c:pt idx="35">
                  <c:v>7.0303709265182007E-2</c:v>
                </c:pt>
                <c:pt idx="36">
                  <c:v>7.2430317851622822E-2</c:v>
                </c:pt>
                <c:pt idx="37">
                  <c:v>7.4757763681400857E-2</c:v>
                </c:pt>
                <c:pt idx="38">
                  <c:v>7.5498546023751015E-2</c:v>
                </c:pt>
                <c:pt idx="39">
                  <c:v>7.8660377817058452E-2</c:v>
                </c:pt>
                <c:pt idx="40">
                  <c:v>8.3318225380441244E-2</c:v>
                </c:pt>
                <c:pt idx="41">
                  <c:v>8.4729997891455272E-2</c:v>
                </c:pt>
                <c:pt idx="42">
                  <c:v>8.4262800869955329E-2</c:v>
                </c:pt>
                <c:pt idx="43">
                  <c:v>8.8585645999643983E-2</c:v>
                </c:pt>
                <c:pt idx="44">
                  <c:v>9.1058095333810207E-2</c:v>
                </c:pt>
                <c:pt idx="45">
                  <c:v>9.1924175155037147E-2</c:v>
                </c:pt>
                <c:pt idx="46">
                  <c:v>9.4875316692251646E-2</c:v>
                </c:pt>
                <c:pt idx="47">
                  <c:v>9.5946503395676633E-2</c:v>
                </c:pt>
                <c:pt idx="48">
                  <c:v>9.9737778487194687E-2</c:v>
                </c:pt>
                <c:pt idx="49">
                  <c:v>0.10049087709548948</c:v>
                </c:pt>
                <c:pt idx="50">
                  <c:v>0.10409461651089054</c:v>
                </c:pt>
                <c:pt idx="51">
                  <c:v>0.10669367705896765</c:v>
                </c:pt>
                <c:pt idx="52">
                  <c:v>0.11285936400773264</c:v>
                </c:pt>
                <c:pt idx="53">
                  <c:v>0.11371772563563427</c:v>
                </c:pt>
                <c:pt idx="54">
                  <c:v>0.11581165506310197</c:v>
                </c:pt>
                <c:pt idx="55">
                  <c:v>0.11794187642088655</c:v>
                </c:pt>
                <c:pt idx="56">
                  <c:v>0.12598801085407885</c:v>
                </c:pt>
                <c:pt idx="57">
                  <c:v>0.13044255792093548</c:v>
                </c:pt>
                <c:pt idx="58">
                  <c:v>0.12998948355105208</c:v>
                </c:pt>
                <c:pt idx="59">
                  <c:v>0.13288741881938573</c:v>
                </c:pt>
                <c:pt idx="60">
                  <c:v>0.14099217867847449</c:v>
                </c:pt>
                <c:pt idx="61">
                  <c:v>0.14628275387765316</c:v>
                </c:pt>
                <c:pt idx="62">
                  <c:v>0.14731305057814192</c:v>
                </c:pt>
                <c:pt idx="63">
                  <c:v>0.15843726619621815</c:v>
                </c:pt>
                <c:pt idx="64">
                  <c:v>0.16162241678638076</c:v>
                </c:pt>
                <c:pt idx="65">
                  <c:v>0.16957856036973759</c:v>
                </c:pt>
                <c:pt idx="66">
                  <c:v>0.17217450079710872</c:v>
                </c:pt>
                <c:pt idx="67">
                  <c:v>0.17850686787832448</c:v>
                </c:pt>
                <c:pt idx="68">
                  <c:v>0.18663018424476985</c:v>
                </c:pt>
                <c:pt idx="69">
                  <c:v>0.19288421987457771</c:v>
                </c:pt>
                <c:pt idx="70">
                  <c:v>0.20545649993398482</c:v>
                </c:pt>
                <c:pt idx="71">
                  <c:v>0.21692918376985465</c:v>
                </c:pt>
                <c:pt idx="72">
                  <c:v>0.22406703464384972</c:v>
                </c:pt>
                <c:pt idx="73">
                  <c:v>0.23534430039339793</c:v>
                </c:pt>
                <c:pt idx="74">
                  <c:v>0.24917349644667516</c:v>
                </c:pt>
                <c:pt idx="75">
                  <c:v>0.25667147493689146</c:v>
                </c:pt>
                <c:pt idx="76">
                  <c:v>0.26580751679774456</c:v>
                </c:pt>
                <c:pt idx="77">
                  <c:v>0.27953456995212089</c:v>
                </c:pt>
                <c:pt idx="78">
                  <c:v>0.2931607939426305</c:v>
                </c:pt>
                <c:pt idx="79">
                  <c:v>0.30625840379879621</c:v>
                </c:pt>
                <c:pt idx="80">
                  <c:v>0.32163123851713465</c:v>
                </c:pt>
                <c:pt idx="81">
                  <c:v>0.33518767033395797</c:v>
                </c:pt>
                <c:pt idx="82">
                  <c:v>0.36115791292170074</c:v>
                </c:pt>
                <c:pt idx="83">
                  <c:v>0.37895228974163431</c:v>
                </c:pt>
                <c:pt idx="84">
                  <c:v>0.40352012018048089</c:v>
                </c:pt>
                <c:pt idx="85">
                  <c:v>0.44704481872755569</c:v>
                </c:pt>
                <c:pt idx="86">
                  <c:v>0.48538469774569637</c:v>
                </c:pt>
                <c:pt idx="87">
                  <c:v>0.52098987307348965</c:v>
                </c:pt>
                <c:pt idx="88">
                  <c:v>0.58658679814526882</c:v>
                </c:pt>
                <c:pt idx="89">
                  <c:v>0.65294815279001195</c:v>
                </c:pt>
                <c:pt idx="90">
                  <c:v>0.72975238722077385</c:v>
                </c:pt>
                <c:pt idx="91">
                  <c:v>0.84037446046544317</c:v>
                </c:pt>
                <c:pt idx="92">
                  <c:v>0.95996277531780894</c:v>
                </c:pt>
                <c:pt idx="93">
                  <c:v>1.1531775637703405</c:v>
                </c:pt>
                <c:pt idx="94">
                  <c:v>1.3874899252944572</c:v>
                </c:pt>
                <c:pt idx="95">
                  <c:v>1.773946597984599</c:v>
                </c:pt>
                <c:pt idx="96">
                  <c:v>2.3290850426668297</c:v>
                </c:pt>
                <c:pt idx="97">
                  <c:v>3.3666394723514608</c:v>
                </c:pt>
                <c:pt idx="98">
                  <c:v>5.3685429101989843</c:v>
                </c:pt>
                <c:pt idx="99">
                  <c:v>10.362033188888166</c:v>
                </c:pt>
                <c:pt idx="100">
                  <c:v>60.077372917483643</c:v>
                </c:pt>
              </c:numCache>
            </c:numRef>
          </c:val>
          <c:extLst>
            <c:ext xmlns:c16="http://schemas.microsoft.com/office/drawing/2014/chart" uri="{C3380CC4-5D6E-409C-BE32-E72D297353CC}">
              <c16:uniqueId val="{00000000-50F2-4362-B450-933691D89D3B}"/>
            </c:ext>
          </c:extLst>
        </c:ser>
        <c:dLbls>
          <c:showLegendKey val="0"/>
          <c:showVal val="0"/>
          <c:showCatName val="0"/>
          <c:showSerName val="0"/>
          <c:showPercent val="0"/>
          <c:showBubbleSize val="0"/>
        </c:dLbls>
        <c:gapWidth val="150"/>
        <c:axId val="622643288"/>
        <c:axId val="622643616"/>
      </c:barChart>
      <c:catAx>
        <c:axId val="622643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v-SE"/>
                  <a:t>Percentil</a:t>
                </a:r>
              </a:p>
            </c:rich>
          </c:tx>
          <c:layout>
            <c:manualLayout>
              <c:xMode val="edge"/>
              <c:yMode val="edge"/>
              <c:x val="0.47160885658523455"/>
              <c:y val="0.9214487219209214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2643616"/>
        <c:crosses val="autoZero"/>
        <c:auto val="1"/>
        <c:lblAlgn val="ctr"/>
        <c:lblOffset val="100"/>
        <c:tickLblSkip val="10"/>
        <c:noMultiLvlLbl val="0"/>
      </c:catAx>
      <c:valAx>
        <c:axId val="622643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2643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Blad1!$C$11</c:f>
              <c:strCache>
                <c:ptCount val="1"/>
                <c:pt idx="0">
                  <c:v>Gini</c:v>
                </c:pt>
              </c:strCache>
            </c:strRef>
          </c:tx>
          <c:spPr>
            <a:solidFill>
              <a:schemeClr val="accent1"/>
            </a:solidFill>
            <a:ln>
              <a:noFill/>
            </a:ln>
            <a:effectLst/>
          </c:spPr>
          <c:invertIfNegative val="0"/>
          <c:dPt>
            <c:idx val="12"/>
            <c:invertIfNegative val="0"/>
            <c:bubble3D val="0"/>
            <c:spPr>
              <a:solidFill>
                <a:srgbClr val="FFFF00"/>
              </a:solidFill>
              <a:ln>
                <a:solidFill>
                  <a:schemeClr val="tx1"/>
                </a:solidFill>
              </a:ln>
              <a:effectLst/>
            </c:spPr>
            <c:extLst>
              <c:ext xmlns:c16="http://schemas.microsoft.com/office/drawing/2014/chart" uri="{C3380CC4-5D6E-409C-BE32-E72D297353CC}">
                <c16:uniqueId val="{00000001-921F-48B1-BE4E-F6AAD2161582}"/>
              </c:ext>
            </c:extLst>
          </c:dPt>
          <c:cat>
            <c:strRef>
              <c:f>Blad1!$D$10:$P$10</c:f>
              <c:strCache>
                <c:ptCount val="13"/>
                <c:pt idx="0">
                  <c:v>Japan</c:v>
                </c:pt>
                <c:pt idx="1">
                  <c:v>Italien</c:v>
                </c:pt>
                <c:pt idx="2">
                  <c:v>Storbritannien</c:v>
                </c:pt>
                <c:pt idx="3">
                  <c:v>Frankrike</c:v>
                </c:pt>
                <c:pt idx="4">
                  <c:v>Kanada</c:v>
                </c:pt>
                <c:pt idx="5">
                  <c:v>Finland</c:v>
                </c:pt>
                <c:pt idx="6">
                  <c:v>Danmark</c:v>
                </c:pt>
                <c:pt idx="7">
                  <c:v>Norge</c:v>
                </c:pt>
                <c:pt idx="8">
                  <c:v>Tyskland</c:v>
                </c:pt>
                <c:pt idx="9">
                  <c:v>Mexiko</c:v>
                </c:pt>
                <c:pt idx="10">
                  <c:v>USA</c:v>
                </c:pt>
                <c:pt idx="11">
                  <c:v>Saudiarabien</c:v>
                </c:pt>
                <c:pt idx="12">
                  <c:v>Sverige</c:v>
                </c:pt>
              </c:strCache>
            </c:strRef>
          </c:cat>
          <c:val>
            <c:numRef>
              <c:f>Blad1!$D$11:$P$11</c:f>
              <c:numCache>
                <c:formatCode>General</c:formatCode>
                <c:ptCount val="13"/>
                <c:pt idx="0">
                  <c:v>64.8</c:v>
                </c:pt>
                <c:pt idx="1">
                  <c:v>67.8</c:v>
                </c:pt>
                <c:pt idx="2">
                  <c:v>70.099999999999994</c:v>
                </c:pt>
                <c:pt idx="3">
                  <c:v>70.3</c:v>
                </c:pt>
                <c:pt idx="4">
                  <c:v>72.3</c:v>
                </c:pt>
                <c:pt idx="5">
                  <c:v>72.400000000000006</c:v>
                </c:pt>
                <c:pt idx="6">
                  <c:v>73.599999999999994</c:v>
                </c:pt>
                <c:pt idx="7">
                  <c:v>76.900000000000006</c:v>
                </c:pt>
                <c:pt idx="8">
                  <c:v>76.900000000000006</c:v>
                </c:pt>
                <c:pt idx="9">
                  <c:v>79.3</c:v>
                </c:pt>
                <c:pt idx="10">
                  <c:v>83</c:v>
                </c:pt>
                <c:pt idx="11">
                  <c:v>86.7</c:v>
                </c:pt>
                <c:pt idx="12">
                  <c:v>87.4</c:v>
                </c:pt>
              </c:numCache>
            </c:numRef>
          </c:val>
          <c:extLst>
            <c:ext xmlns:c16="http://schemas.microsoft.com/office/drawing/2014/chart" uri="{C3380CC4-5D6E-409C-BE32-E72D297353CC}">
              <c16:uniqueId val="{00000002-921F-48B1-BE4E-F6AAD2161582}"/>
            </c:ext>
          </c:extLst>
        </c:ser>
        <c:dLbls>
          <c:showLegendKey val="0"/>
          <c:showVal val="0"/>
          <c:showCatName val="0"/>
          <c:showSerName val="0"/>
          <c:showPercent val="0"/>
          <c:showBubbleSize val="0"/>
        </c:dLbls>
        <c:gapWidth val="182"/>
        <c:axId val="698012328"/>
        <c:axId val="698013640"/>
      </c:barChart>
      <c:catAx>
        <c:axId val="698012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98013640"/>
        <c:crosses val="autoZero"/>
        <c:auto val="1"/>
        <c:lblAlgn val="ctr"/>
        <c:lblOffset val="100"/>
        <c:noMultiLvlLbl val="0"/>
      </c:catAx>
      <c:valAx>
        <c:axId val="698013640"/>
        <c:scaling>
          <c:orientation val="minMax"/>
          <c:min val="4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98012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9245D4173342DA95A360AC2EF4E707"/>
        <w:category>
          <w:name w:val="Allmänt"/>
          <w:gallery w:val="placeholder"/>
        </w:category>
        <w:types>
          <w:type w:val="bbPlcHdr"/>
        </w:types>
        <w:behaviors>
          <w:behavior w:val="content"/>
        </w:behaviors>
        <w:guid w:val="{1E2D9324-C82C-494C-9F51-D932C2354526}"/>
      </w:docPartPr>
      <w:docPartBody>
        <w:p w:rsidR="001329AD" w:rsidRDefault="001329AD">
          <w:pPr>
            <w:pStyle w:val="1B9245D4173342DA95A360AC2EF4E707"/>
          </w:pPr>
          <w:r w:rsidRPr="005A0A93">
            <w:rPr>
              <w:rStyle w:val="Platshllartext"/>
            </w:rPr>
            <w:t>Förslag till riksdagsbeslut</w:t>
          </w:r>
        </w:p>
      </w:docPartBody>
    </w:docPart>
    <w:docPart>
      <w:docPartPr>
        <w:name w:val="400112C4499842A7BDF849339DAB9E7C"/>
        <w:category>
          <w:name w:val="Allmänt"/>
          <w:gallery w:val="placeholder"/>
        </w:category>
        <w:types>
          <w:type w:val="bbPlcHdr"/>
        </w:types>
        <w:behaviors>
          <w:behavior w:val="content"/>
        </w:behaviors>
        <w:guid w:val="{8758729C-7669-4653-A984-B4D557BCADFA}"/>
      </w:docPartPr>
      <w:docPartBody>
        <w:p w:rsidR="001329AD" w:rsidRDefault="001329AD">
          <w:pPr>
            <w:pStyle w:val="400112C4499842A7BDF849339DAB9E7C"/>
          </w:pPr>
          <w:r w:rsidRPr="005A0A93">
            <w:rPr>
              <w:rStyle w:val="Platshllartext"/>
            </w:rPr>
            <w:t>Motivering</w:t>
          </w:r>
        </w:p>
      </w:docPartBody>
    </w:docPart>
    <w:docPart>
      <w:docPartPr>
        <w:name w:val="BE62F79C61F64491BC728F3D3D363D0B"/>
        <w:category>
          <w:name w:val="Allmänt"/>
          <w:gallery w:val="placeholder"/>
        </w:category>
        <w:types>
          <w:type w:val="bbPlcHdr"/>
        </w:types>
        <w:behaviors>
          <w:behavior w:val="content"/>
        </w:behaviors>
        <w:guid w:val="{DFDDE9EB-60BF-40CD-B763-3D27CBBCB086}"/>
      </w:docPartPr>
      <w:docPartBody>
        <w:p w:rsidR="00C81727" w:rsidRDefault="00C81727"/>
      </w:docPartBody>
    </w:docPart>
    <w:docPart>
      <w:docPartPr>
        <w:name w:val="61AE7F8FDC79430E8CA0FE2B387CCDB8"/>
        <w:category>
          <w:name w:val="Allmänt"/>
          <w:gallery w:val="placeholder"/>
        </w:category>
        <w:types>
          <w:type w:val="bbPlcHdr"/>
        </w:types>
        <w:behaviors>
          <w:behavior w:val="content"/>
        </w:behaviors>
        <w:guid w:val="{E834E3D8-5C58-4B55-8025-6F1F24050510}"/>
      </w:docPartPr>
      <w:docPartBody>
        <w:p w:rsidR="00A15495" w:rsidRDefault="00EF1760">
          <w:r>
            <w:t>:2891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9AD"/>
    <w:rsid w:val="00076DE2"/>
    <w:rsid w:val="000B45A2"/>
    <w:rsid w:val="000D597D"/>
    <w:rsid w:val="001174BD"/>
    <w:rsid w:val="001231DB"/>
    <w:rsid w:val="001329AD"/>
    <w:rsid w:val="001C5D99"/>
    <w:rsid w:val="001E45FF"/>
    <w:rsid w:val="002C17C7"/>
    <w:rsid w:val="002D7246"/>
    <w:rsid w:val="002F6828"/>
    <w:rsid w:val="002F6CB2"/>
    <w:rsid w:val="003810FF"/>
    <w:rsid w:val="004211A7"/>
    <w:rsid w:val="00472D50"/>
    <w:rsid w:val="004E6BF5"/>
    <w:rsid w:val="004F5517"/>
    <w:rsid w:val="00576097"/>
    <w:rsid w:val="0059671F"/>
    <w:rsid w:val="005F4B58"/>
    <w:rsid w:val="00645A17"/>
    <w:rsid w:val="006A42A8"/>
    <w:rsid w:val="006D45DF"/>
    <w:rsid w:val="00715980"/>
    <w:rsid w:val="00724097"/>
    <w:rsid w:val="00752C1D"/>
    <w:rsid w:val="007F3448"/>
    <w:rsid w:val="00817572"/>
    <w:rsid w:val="008C20B5"/>
    <w:rsid w:val="00917916"/>
    <w:rsid w:val="00965857"/>
    <w:rsid w:val="00A1489F"/>
    <w:rsid w:val="00A15495"/>
    <w:rsid w:val="00A353EF"/>
    <w:rsid w:val="00B24D0A"/>
    <w:rsid w:val="00B8789C"/>
    <w:rsid w:val="00BD5049"/>
    <w:rsid w:val="00C8107B"/>
    <w:rsid w:val="00C81727"/>
    <w:rsid w:val="00C85143"/>
    <w:rsid w:val="00D95C3E"/>
    <w:rsid w:val="00EF1760"/>
    <w:rsid w:val="00EF6F97"/>
    <w:rsid w:val="00F35952"/>
    <w:rsid w:val="00F76346"/>
    <w:rsid w:val="00F9554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45DF"/>
  </w:style>
  <w:style w:type="paragraph" w:customStyle="1" w:styleId="1B9245D4173342DA95A360AC2EF4E707">
    <w:name w:val="1B9245D4173342DA95A360AC2EF4E707"/>
  </w:style>
  <w:style w:type="paragraph" w:customStyle="1" w:styleId="400112C4499842A7BDF849339DAB9E7C">
    <w:name w:val="400112C4499842A7BDF849339DAB9E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8AEB3C-A2DE-4AF8-9C64-5128F70D166E}"/>
</file>

<file path=customXml/itemProps2.xml><?xml version="1.0" encoding="utf-8"?>
<ds:datastoreItem xmlns:ds="http://schemas.openxmlformats.org/officeDocument/2006/customXml" ds:itemID="{51129D70-B322-4F2B-B77C-6416BC642C44}"/>
</file>

<file path=customXml/itemProps3.xml><?xml version="1.0" encoding="utf-8"?>
<ds:datastoreItem xmlns:ds="http://schemas.openxmlformats.org/officeDocument/2006/customXml" ds:itemID="{40D2BA5D-912B-4496-BC77-59CD30946BA3}"/>
</file>

<file path=docProps/app.xml><?xml version="1.0" encoding="utf-8"?>
<Properties xmlns="http://schemas.openxmlformats.org/officeDocument/2006/extended-properties" xmlns:vt="http://schemas.openxmlformats.org/officeDocument/2006/docPropsVTypes">
  <Template>Normal</Template>
  <TotalTime>1365</TotalTime>
  <Pages>48</Pages>
  <Words>14580</Words>
  <Characters>87191</Characters>
  <Application>Microsoft Office Word</Application>
  <DocSecurity>0</DocSecurity>
  <Lines>1429</Lines>
  <Paragraphs>468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V040 med anledning av prop  2023 24 100 2024 års ekonomiska vårproposition   Förslag till riktlinjer</vt:lpstr>
      <vt:lpstr>
      </vt:lpstr>
    </vt:vector>
  </TitlesOfParts>
  <Company>Sveriges riksdag</Company>
  <LinksUpToDate>false</LinksUpToDate>
  <CharactersWithSpaces>101303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