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DCE0E6BC20E45F09B61124EC85DB83E"/>
        </w:placeholder>
        <w:text/>
      </w:sdtPr>
      <w:sdtEndPr/>
      <w:sdtContent>
        <w:p w:rsidRPr="009B062B" w:rsidR="00AF30DD" w:rsidP="002A6EEA" w:rsidRDefault="00AF30DD" w14:paraId="10D9ACC7" w14:textId="77777777">
          <w:pPr>
            <w:pStyle w:val="Rubrik1"/>
            <w:spacing w:after="300"/>
          </w:pPr>
          <w:r w:rsidRPr="009B062B">
            <w:t>Förslag till riksdagsbeslut</w:t>
          </w:r>
        </w:p>
      </w:sdtContent>
    </w:sdt>
    <w:sdt>
      <w:sdtPr>
        <w:alias w:val="Yrkande 1"/>
        <w:tag w:val="dbeb2f4c-f6f7-4de2-a278-5d60384e7df4"/>
        <w:id w:val="-808860211"/>
        <w:lock w:val="sdtLocked"/>
      </w:sdtPr>
      <w:sdtEndPr/>
      <w:sdtContent>
        <w:p w:rsidR="00A13F4F" w:rsidRDefault="005E1CB8" w14:paraId="72E8CBF4" w14:textId="77777777">
          <w:pPr>
            <w:pStyle w:val="Frslagstext"/>
          </w:pPr>
          <w:r>
            <w:t>Riksdagen ställer sig bakom det som anförs i motionen om att Sverige bör arbeta för att EU återupprättar förtroendet för den fria rörligheten och den inre marknaden och tillkännager detta för regeringen.</w:t>
          </w:r>
        </w:p>
      </w:sdtContent>
    </w:sdt>
    <w:sdt>
      <w:sdtPr>
        <w:alias w:val="Yrkande 2"/>
        <w:tag w:val="492c94ab-a149-4320-9a24-84ecd0f771cd"/>
        <w:id w:val="872895335"/>
        <w:lock w:val="sdtLocked"/>
      </w:sdtPr>
      <w:sdtEndPr/>
      <w:sdtContent>
        <w:p w:rsidR="00A13F4F" w:rsidRDefault="005E1CB8" w14:paraId="5D8D8A6B" w14:textId="77777777">
          <w:pPr>
            <w:pStyle w:val="Frslagstext"/>
          </w:pPr>
          <w:r>
            <w:t>Riksdagen ställer sig bakom det som anförs i motionen om att arbeta för att EU tar en aktiv faciliterande roll för att möjliggöra och underlätta licensierings- och partnerskapsavtal mellan europeiska vaccinproducenter och möjliga producenter i andra länder och tillkännager detta för regeringen.</w:t>
          </w:r>
        </w:p>
      </w:sdtContent>
    </w:sdt>
    <w:sdt>
      <w:sdtPr>
        <w:alias w:val="Yrkande 3"/>
        <w:tag w:val="1e9c9833-538f-4512-8d84-e06e8b97e371"/>
        <w:id w:val="-2076345993"/>
        <w:lock w:val="sdtLocked"/>
      </w:sdtPr>
      <w:sdtEndPr/>
      <w:sdtContent>
        <w:p w:rsidR="00A13F4F" w:rsidRDefault="005E1CB8" w14:paraId="6D50717F" w14:textId="718136D2">
          <w:pPr>
            <w:pStyle w:val="Frslagstext"/>
          </w:pPr>
          <w:r>
            <w:t xml:space="preserve">Riksdagen ställer sig bakom det som anförs i motionen om att arbeta för att det demokratilås och den rättsstatsmekanism som EU:s budget nu har också </w:t>
          </w:r>
          <w:proofErr w:type="gramStart"/>
          <w:r>
            <w:t>används</w:t>
          </w:r>
          <w:proofErr w:type="gramEnd"/>
          <w:r>
            <w:t xml:space="preserve"> av kommissionen och tillkännager detta för regeringen.</w:t>
          </w:r>
        </w:p>
      </w:sdtContent>
    </w:sdt>
    <w:sdt>
      <w:sdtPr>
        <w:alias w:val="Yrkande 4"/>
        <w:tag w:val="71107851-9cbe-4aff-8f74-51f8e683e5c0"/>
        <w:id w:val="441037265"/>
        <w:lock w:val="sdtLocked"/>
      </w:sdtPr>
      <w:sdtEndPr/>
      <w:sdtContent>
        <w:p w:rsidR="00A13F4F" w:rsidRDefault="005E1CB8" w14:paraId="18F1BE79" w14:textId="31665F1B">
          <w:pPr>
            <w:pStyle w:val="Frslagstext"/>
          </w:pPr>
          <w:r>
            <w:t>Riksdagen ställer sig bakom det som anförs i motionen om att EU:s Magnitskijlagstiftning bör breddas till att omfatta systematisk korruption och penningtvätt och tillkännager detta för regeringen.</w:t>
          </w:r>
        </w:p>
      </w:sdtContent>
    </w:sdt>
    <w:sdt>
      <w:sdtPr>
        <w:alias w:val="Yrkande 5"/>
        <w:tag w:val="836c21bd-d339-4934-ae70-4c1ae025eab2"/>
        <w:id w:val="1630824196"/>
        <w:lock w:val="sdtLocked"/>
      </w:sdtPr>
      <w:sdtEndPr/>
      <w:sdtContent>
        <w:p w:rsidR="00A13F4F" w:rsidRDefault="005E1CB8" w14:paraId="09A240BF" w14:textId="77777777">
          <w:pPr>
            <w:pStyle w:val="Frslagstext"/>
          </w:pPr>
          <w:r>
            <w:t>Riksdagen ställer sig bakom det som anförs i motionen om att Sverige ska motsätta sig ytterligare åtgärder på skatteområdet inom EU och tillkännager detta för regeringen.</w:t>
          </w:r>
        </w:p>
      </w:sdtContent>
    </w:sdt>
    <w:sdt>
      <w:sdtPr>
        <w:alias w:val="Yrkande 6"/>
        <w:tag w:val="9d089445-e619-4dc0-83b9-2157ff3d17b5"/>
        <w:id w:val="2061443162"/>
        <w:lock w:val="sdtLocked"/>
      </w:sdtPr>
      <w:sdtEndPr/>
      <w:sdtContent>
        <w:p w:rsidR="00A13F4F" w:rsidRDefault="005E1CB8" w14:paraId="36ED01F0" w14:textId="390F6723">
          <w:pPr>
            <w:pStyle w:val="Frslagstext"/>
          </w:pPr>
          <w:r>
            <w:t>Riksdagen ställer sig bakom det som anförs i motionen om att motverka all EU-lagstiftning som hotar den svenska arbetsmarknadsmodellen, och detta tillkännager riksdagen för regeringen.</w:t>
          </w:r>
        </w:p>
      </w:sdtContent>
    </w:sdt>
    <w:sdt>
      <w:sdtPr>
        <w:alias w:val="Yrkande 7"/>
        <w:tag w:val="4303a0c9-2674-4fda-84ce-bc46d2ac8fee"/>
        <w:id w:val="-225461098"/>
        <w:lock w:val="sdtLocked"/>
      </w:sdtPr>
      <w:sdtEndPr/>
      <w:sdtContent>
        <w:p w:rsidR="00A13F4F" w:rsidRDefault="005E1CB8" w14:paraId="3265750C" w14:textId="77777777">
          <w:pPr>
            <w:pStyle w:val="Frslagstext"/>
          </w:pPr>
          <w:r>
            <w:t>Riksdagen ställer sig bakom det som anförs i motionen om att arbeta för att EU ska vara föregångare på klimatområdet och verka för att utsläppen i EU ska minska med minst 60 procent till 2030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41E55DD40C4BC18B144686DE7DA306"/>
        </w:placeholder>
        <w:text/>
      </w:sdtPr>
      <w:sdtEndPr/>
      <w:sdtContent>
        <w:p w:rsidRPr="009B062B" w:rsidR="006D79C9" w:rsidP="00333E95" w:rsidRDefault="00BB7E11" w14:paraId="79F6062D" w14:textId="413C189C">
          <w:pPr>
            <w:pStyle w:val="Rubrik1"/>
          </w:pPr>
          <w:r w:rsidRPr="00BB7E11">
            <w:t>Pandemins stängda gränser utmanar den fria rörligheten</w:t>
          </w:r>
        </w:p>
      </w:sdtContent>
    </w:sdt>
    <w:p w:rsidR="00BB7E11" w:rsidP="00BB7E11" w:rsidRDefault="0064106A" w14:paraId="1DF6B75E" w14:textId="5CDC9CF1">
      <w:pPr>
        <w:pStyle w:val="Normalutanindragellerluft"/>
        <w:rPr>
          <w:b/>
        </w:rPr>
      </w:pPr>
      <w:r>
        <w:t xml:space="preserve">2020 var ett år präglat av </w:t>
      </w:r>
      <w:r w:rsidR="00EB0751">
        <w:t>c</w:t>
      </w:r>
      <w:r>
        <w:t>ovid-19</w:t>
      </w:r>
      <w:r w:rsidR="00EB0751">
        <w:t>-</w:t>
      </w:r>
      <w:r>
        <w:t>pandemin. Det har påverkat EU i grunden, inte minst genom att den fria rörligheten</w:t>
      </w:r>
      <w:r w:rsidR="00EB0751">
        <w:t xml:space="preserve"> och</w:t>
      </w:r>
      <w:r>
        <w:t xml:space="preserve"> den inre marknaden inte kunnat upprätthållas vare sig för varor eller </w:t>
      </w:r>
      <w:r w:rsidR="00EB0751">
        <w:t xml:space="preserve">för </w:t>
      </w:r>
      <w:r>
        <w:t>personer under pandemin. De stängda gränser</w:t>
      </w:r>
      <w:r w:rsidR="003843AC">
        <w:t>na</w:t>
      </w:r>
      <w:r>
        <w:t xml:space="preserve"> som inledningsvis</w:t>
      </w:r>
      <w:r w:rsidR="0017364C">
        <w:t xml:space="preserve"> </w:t>
      </w:r>
      <w:r>
        <w:t>präglade pandemin</w:t>
      </w:r>
      <w:r w:rsidR="0017364C">
        <w:t xml:space="preserve"> </w:t>
      </w:r>
      <w:r>
        <w:t xml:space="preserve">när det rådde global brist på skyddsutrustning har påverkat </w:t>
      </w:r>
      <w:r w:rsidR="00C376EF">
        <w:t>förtroen</w:t>
      </w:r>
      <w:r w:rsidR="00BB7E11">
        <w:softHyphen/>
      </w:r>
      <w:r w:rsidR="00C376EF">
        <w:t xml:space="preserve">det för den inre marknaden. </w:t>
      </w:r>
      <w:r w:rsidR="004E264A">
        <w:t xml:space="preserve">Det är allvarligt även om det tycks ha fungerat bättre under senare delen av pandemin. Den svaga viljan hos länderna att sedan ha samma regler för gränspassage för människor </w:t>
      </w:r>
      <w:r w:rsidR="00C2658B">
        <w:t>har i praktiken också underminerat den fria rörligheten.</w:t>
      </w:r>
    </w:p>
    <w:p w:rsidR="00BB7E11" w:rsidP="00BB7E11" w:rsidRDefault="00C2658B" w14:paraId="2261387C" w14:textId="70254024">
      <w:r>
        <w:t>Centerpartiet beklagar att pandemin haft så stora effekter på den fria rörligheten inom EU. Vi hade önskat bättre koordinering och samordning för att kunna hålla grän</w:t>
      </w:r>
      <w:r w:rsidR="00BB7E11">
        <w:softHyphen/>
      </w:r>
      <w:r>
        <w:t>serna öppna, utan att det skulle skapa oproportionerliga risker för ökad sprittsmidning. Genom förbättrad samordning och gemensamma krav för exempelvis in- och utresor i medlemsländerna hade vi kunnat undvika de fragmenterade nationella regelverk som i</w:t>
      </w:r>
      <w:r w:rsidR="00EB0751">
        <w:t xml:space="preserve"> </w:t>
      </w:r>
      <w:r>
        <w:t>stället uppstod och upprätthålla en högre grad av fri rörlighet. Här har regeringen olyck</w:t>
      </w:r>
      <w:r w:rsidR="00BB7E11">
        <w:softHyphen/>
      </w:r>
      <w:r>
        <w:t xml:space="preserve">ligtvis bidragit till det fragmenterade regelverket mellan länder, något som försvårat för vanliga människor i deras vardag, inte minst för arbetspendlarna och för gränshandeln. </w:t>
      </w:r>
    </w:p>
    <w:p w:rsidRPr="00BB7E11" w:rsidR="00B362F9" w:rsidP="00BB7E11" w:rsidRDefault="00B362F9" w14:paraId="26144469" w14:textId="1CE543A8">
      <w:pPr>
        <w:pStyle w:val="Rubrik1"/>
      </w:pPr>
      <w:r w:rsidRPr="00BB7E11">
        <w:t xml:space="preserve">Vaccinprotektionism </w:t>
      </w:r>
    </w:p>
    <w:p w:rsidR="00BB7E11" w:rsidP="00BB7E11" w:rsidRDefault="00E06F47" w14:paraId="27B57C86" w14:textId="601A8D3A">
      <w:pPr>
        <w:pStyle w:val="Normalutanindragellerluft"/>
      </w:pPr>
      <w:r>
        <w:lastRenderedPageBreak/>
        <w:t>Glädjande nog finns</w:t>
      </w:r>
      <w:r w:rsidR="00D16A9F">
        <w:t xml:space="preserve"> nu, snabbare än någon kanske trodde var möjligt, flera vaccin</w:t>
      </w:r>
      <w:r w:rsidR="00EB0751">
        <w:t>er</w:t>
      </w:r>
      <w:r w:rsidR="00D16A9F">
        <w:t xml:space="preserve"> mot </w:t>
      </w:r>
      <w:r w:rsidR="00EB0751">
        <w:t>c</w:t>
      </w:r>
      <w:r w:rsidR="00D16A9F">
        <w:t>ovid-19. Men den globala produktionskapaciteten räcker inte till. Centerpartiet anser att EU kan ta en mer aktiv roll för att öka samarbete</w:t>
      </w:r>
      <w:r w:rsidR="00EB0751">
        <w:t>t</w:t>
      </w:r>
      <w:r w:rsidR="00D16A9F">
        <w:t xml:space="preserve"> mellan vaccinproducenterna så att även de mest utsatta människorna i de fattigaste länderna i världen få</w:t>
      </w:r>
      <w:r w:rsidR="00EB0751">
        <w:t>r</w:t>
      </w:r>
      <w:r w:rsidR="00D16A9F">
        <w:t xml:space="preserve"> möjligheten att vaccinera sig. Även om tempot i EU:s vaccination går långsamt får inte detta leda till ökad protektionism. Vaccineringen kan inte anses vara framgångsrik om vi inte har en global tillgång till vaccin. Viruset mutera</w:t>
      </w:r>
      <w:r w:rsidR="0017364C">
        <w:t>r</w:t>
      </w:r>
      <w:r w:rsidR="00D16A9F">
        <w:t xml:space="preserve">, vilket kan göra </w:t>
      </w:r>
      <w:r w:rsidR="003843AC">
        <w:t>att vi inte når målen</w:t>
      </w:r>
      <w:r w:rsidR="0017364C">
        <w:t>. E</w:t>
      </w:r>
      <w:r w:rsidR="00D16A9F">
        <w:t>U och läkemedelsbolagen måste skala upp produktionstakten</w:t>
      </w:r>
      <w:r w:rsidR="00EB0751">
        <w:t>,</w:t>
      </w:r>
      <w:r w:rsidR="00D16A9F">
        <w:t xml:space="preserve"> och för att stoppa smittan måste vi se till att samhällets mest utsatta blir vaccinerade </w:t>
      </w:r>
      <w:r w:rsidR="00EB0751">
        <w:t>–</w:t>
      </w:r>
      <w:r w:rsidR="00D16A9F">
        <w:t xml:space="preserve"> också i länder utanför EU. Center</w:t>
      </w:r>
      <w:r w:rsidR="00BB7E11">
        <w:softHyphen/>
      </w:r>
      <w:r w:rsidR="00D16A9F">
        <w:t xml:space="preserve">partiet vill att läkemedelsbolagen i högre utsträckning hjälper varandra med rättigheter och produktion av vaccin globalt för att öka den globala produktionskapaciteten. Vi vill att EU tar </w:t>
      </w:r>
      <w:r w:rsidR="0017364C">
        <w:t>en aktiv faciliterande</w:t>
      </w:r>
      <w:r w:rsidR="00D16A9F">
        <w:t xml:space="preserve"> roll för att möjliggöra och underlätta licensierings- och partnerskapsavtal mellan europeiska vaccinproducenter och möjliga producenter i andra länder. På så sätt kan mer vaccin produceras globalt och nå fler människor. </w:t>
      </w:r>
    </w:p>
    <w:p w:rsidRPr="00BB7E11" w:rsidR="00B362F9" w:rsidP="00BB7E11" w:rsidRDefault="00B362F9" w14:paraId="2CC8E9F3" w14:textId="06C0A639">
      <w:pPr>
        <w:pStyle w:val="Rubrik1"/>
      </w:pPr>
      <w:r w:rsidRPr="00BB7E11">
        <w:t>Demokratilås</w:t>
      </w:r>
    </w:p>
    <w:p w:rsidR="00BB7E11" w:rsidP="00BB7E11" w:rsidRDefault="00D16A9F" w14:paraId="0672DDA2" w14:textId="35A3B021">
      <w:pPr>
        <w:pStyle w:val="Normalutanindragellerluft"/>
      </w:pPr>
      <w:r>
        <w:t>I ljuset av pandemin ser vi också att v</w:t>
      </w:r>
      <w:r w:rsidR="004E264A">
        <w:t>issa länder</w:t>
      </w:r>
      <w:r>
        <w:t xml:space="preserve"> gjort</w:t>
      </w:r>
      <w:r w:rsidR="004E264A">
        <w:t xml:space="preserve"> långtgående och obegränsade in</w:t>
      </w:r>
      <w:r w:rsidR="00BB7E11">
        <w:softHyphen/>
      </w:r>
      <w:r w:rsidR="004E264A">
        <w:t>skränkningar i demokratiska beslutsprocesser och människors vardag</w:t>
      </w:r>
      <w:r>
        <w:t>. Detta</w:t>
      </w:r>
      <w:r w:rsidR="004E264A">
        <w:t xml:space="preserve"> är något som vi måste vara vaksamma på framöver. Åtgärder och inskränkningar kan naturligtvis vara motiverade</w:t>
      </w:r>
      <w:r>
        <w:t xml:space="preserve"> under en pandemi</w:t>
      </w:r>
      <w:r w:rsidR="00EB0751">
        <w:t>,</w:t>
      </w:r>
      <w:r w:rsidR="004E264A">
        <w:t xml:space="preserve"> men </w:t>
      </w:r>
      <w:r>
        <w:t xml:space="preserve">de </w:t>
      </w:r>
      <w:r w:rsidR="004E264A">
        <w:t xml:space="preserve">behöver vara </w:t>
      </w:r>
      <w:r>
        <w:t xml:space="preserve">både tillfälliga och </w:t>
      </w:r>
      <w:r w:rsidR="004E264A">
        <w:t>proportio</w:t>
      </w:r>
      <w:r w:rsidR="00BB7E11">
        <w:softHyphen/>
      </w:r>
      <w:r w:rsidR="004E264A">
        <w:t xml:space="preserve">nerliga. </w:t>
      </w:r>
      <w:r w:rsidR="007B37DA">
        <w:t>Men alla inskränkningar i människors fri- och rättigheter och demokratiska principer är inte kopplade till pandemin. Det är tyvärr en utveckling vi sett i Ungern och Polen under lång tid. Vi anser att EU måste göra mer för att se till att alla medlems</w:t>
      </w:r>
      <w:r w:rsidR="00BB7E11">
        <w:softHyphen/>
      </w:r>
      <w:r w:rsidR="007B37DA">
        <w:t xml:space="preserve">länder är demokratiska och rättssäkra. Det är inte acceptabelt att vissa länder kan få EU-medel när de samtidigt bryter mot </w:t>
      </w:r>
      <w:r w:rsidR="00EB0751">
        <w:t>u</w:t>
      </w:r>
      <w:r w:rsidR="007B37DA">
        <w:t xml:space="preserve">nionsgemensamma demokratiska principer. Därför har Centerpartiet varit drivande för ett demokratilås på EU:s budget. Under 2020 enades man om ett demokratilås, där EU kan hålla tillbaka utbetalningar av stöd till länder som inte möter kraven. Det innebär också att EU:s budget får en rättsstatsmekanism, som gör att den </w:t>
      </w:r>
      <w:r w:rsidR="00EB0751">
        <w:t xml:space="preserve">är </w:t>
      </w:r>
      <w:r w:rsidR="007B37DA">
        <w:t>bunden mot efterlevnad av de demokratiska principer som är fastställda i för</w:t>
      </w:r>
      <w:r w:rsidR="00BB7E11">
        <w:softHyphen/>
      </w:r>
      <w:r w:rsidR="007B37DA">
        <w:t xml:space="preserve">dragen. Bedömningen som ska ligga till grund är EU-kommissionens årliga oberoende rapport om läget för demokratin och rättsstaten i varje EU-land. </w:t>
      </w:r>
    </w:p>
    <w:p w:rsidRPr="00BB7E11" w:rsidR="003A7D0A" w:rsidP="00BB7E11" w:rsidRDefault="003A7D0A" w14:paraId="218C8977" w14:textId="7876F3C6">
      <w:pPr>
        <w:pStyle w:val="Rubrik1"/>
      </w:pPr>
      <w:proofErr w:type="spellStart"/>
      <w:r w:rsidRPr="00BB7E11">
        <w:t>Magnitskijlagstiftning</w:t>
      </w:r>
      <w:proofErr w:type="spellEnd"/>
    </w:p>
    <w:p w:rsidRPr="00BB7E11" w:rsidR="00BB7E11" w:rsidP="00BB7E11" w:rsidRDefault="007B37DA" w14:paraId="3302D5F3" w14:textId="1BFF2831">
      <w:pPr>
        <w:pStyle w:val="Normalutanindragellerluft"/>
        <w:rPr>
          <w:spacing w:val="-1"/>
        </w:rPr>
      </w:pPr>
      <w:r w:rsidRPr="00BB7E11">
        <w:rPr>
          <w:spacing w:val="-1"/>
        </w:rPr>
        <w:lastRenderedPageBreak/>
        <w:t xml:space="preserve">Det är också viktigt att EU </w:t>
      </w:r>
      <w:r w:rsidRPr="00BB7E11" w:rsidR="00E739BB">
        <w:rPr>
          <w:spacing w:val="-1"/>
        </w:rPr>
        <w:t>står upp för</w:t>
      </w:r>
      <w:r w:rsidRPr="00BB7E11">
        <w:rPr>
          <w:spacing w:val="-1"/>
        </w:rPr>
        <w:t xml:space="preserve"> demokrati och mänskliga rättigheter också i län</w:t>
      </w:r>
      <w:r w:rsidRPr="00BB7E11" w:rsidR="00BB7E11">
        <w:rPr>
          <w:spacing w:val="-1"/>
        </w:rPr>
        <w:softHyphen/>
      </w:r>
      <w:r w:rsidRPr="00BB7E11">
        <w:rPr>
          <w:spacing w:val="-1"/>
        </w:rPr>
        <w:t xml:space="preserve">der utanför unionen. EU har slutligen 2020 lyckats enas om att införa s.k. </w:t>
      </w:r>
      <w:proofErr w:type="spellStart"/>
      <w:r w:rsidRPr="00BB7E11">
        <w:rPr>
          <w:spacing w:val="-1"/>
        </w:rPr>
        <w:t>Magnitskij</w:t>
      </w:r>
      <w:r w:rsidRPr="00BB7E11" w:rsidR="00BB7E11">
        <w:rPr>
          <w:spacing w:val="-1"/>
        </w:rPr>
        <w:softHyphen/>
      </w:r>
      <w:r w:rsidRPr="00BB7E11">
        <w:rPr>
          <w:spacing w:val="-1"/>
        </w:rPr>
        <w:t>lagstiftning</w:t>
      </w:r>
      <w:proofErr w:type="spellEnd"/>
      <w:r w:rsidRPr="00BB7E11">
        <w:rPr>
          <w:spacing w:val="-1"/>
        </w:rPr>
        <w:t xml:space="preserve">, något som Centerpartiet längre har drivit. </w:t>
      </w:r>
      <w:r w:rsidRPr="00BB7E11" w:rsidR="00791BED">
        <w:rPr>
          <w:spacing w:val="-1"/>
        </w:rPr>
        <w:t>Det är grundläggande för en aktör som EU att ha starka</w:t>
      </w:r>
      <w:r w:rsidRPr="00BB7E11" w:rsidR="005F3487">
        <w:rPr>
          <w:spacing w:val="-1"/>
        </w:rPr>
        <w:t xml:space="preserve"> utrikespolitiska instrument för att kunna sätta handling bakom ord av fördömanden. Det är bra att EU slutligen efter år av förhandlingar har lyckats enas om denna lagstiftning</w:t>
      </w:r>
      <w:r w:rsidRPr="00BB7E11" w:rsidR="00EB0751">
        <w:rPr>
          <w:spacing w:val="-1"/>
        </w:rPr>
        <w:t>. P</w:t>
      </w:r>
      <w:r w:rsidRPr="00BB7E11" w:rsidR="005F3487">
        <w:rPr>
          <w:spacing w:val="-1"/>
        </w:rPr>
        <w:t xml:space="preserve">ersoner som utsatt andra för systematiska övergrepp mot mänskliga rättigheter ska inte undgå straff. Tyvärr är EU:s Magnitskijlagstiftning inte tillräcklig. Centerpartiet vill </w:t>
      </w:r>
      <w:r w:rsidRPr="00BB7E11" w:rsidR="00E739BB">
        <w:rPr>
          <w:spacing w:val="-1"/>
        </w:rPr>
        <w:t xml:space="preserve">se </w:t>
      </w:r>
      <w:r w:rsidRPr="00BB7E11" w:rsidR="005F3487">
        <w:rPr>
          <w:spacing w:val="-1"/>
        </w:rPr>
        <w:t>att systematisk</w:t>
      </w:r>
      <w:r w:rsidRPr="00BB7E11" w:rsidR="00852AC5">
        <w:rPr>
          <w:spacing w:val="-1"/>
        </w:rPr>
        <w:t xml:space="preserve"> </w:t>
      </w:r>
      <w:r w:rsidRPr="00BB7E11" w:rsidR="005F3487">
        <w:rPr>
          <w:spacing w:val="-1"/>
        </w:rPr>
        <w:t>korruption</w:t>
      </w:r>
      <w:r w:rsidRPr="00BB7E11" w:rsidR="00E739BB">
        <w:rPr>
          <w:spacing w:val="-1"/>
        </w:rPr>
        <w:t xml:space="preserve"> och penningtvätt</w:t>
      </w:r>
      <w:r w:rsidRPr="00BB7E11" w:rsidR="005F3487">
        <w:rPr>
          <w:spacing w:val="-1"/>
        </w:rPr>
        <w:t xml:space="preserve"> ska inkluderas i lagstift</w:t>
      </w:r>
      <w:r w:rsidR="00BB7E11">
        <w:rPr>
          <w:spacing w:val="-1"/>
        </w:rPr>
        <w:softHyphen/>
      </w:r>
      <w:r w:rsidRPr="00BB7E11" w:rsidR="005F3487">
        <w:rPr>
          <w:spacing w:val="-1"/>
        </w:rPr>
        <w:t>ningen framöver, på samma sätt som i USA och Kanada och de baltiska länderna. Att det finns ett samband mellan korruption och brott mot mänskliga rättigheter är väl dokumen</w:t>
      </w:r>
      <w:r w:rsidR="00BB7E11">
        <w:rPr>
          <w:spacing w:val="-1"/>
        </w:rPr>
        <w:softHyphen/>
      </w:r>
      <w:r w:rsidRPr="00BB7E11" w:rsidR="005F3487">
        <w:rPr>
          <w:spacing w:val="-1"/>
        </w:rPr>
        <w:t xml:space="preserve">terat inom EU, bl.a. i Europaparlamentets årliga rapport om mänskliga rättigheter och demokrati i världen. EU:s Magnitskijlagstiftning behöver </w:t>
      </w:r>
      <w:r w:rsidRPr="00BB7E11" w:rsidR="00EB0751">
        <w:rPr>
          <w:spacing w:val="-1"/>
        </w:rPr>
        <w:t xml:space="preserve">för att bli mer effektiv </w:t>
      </w:r>
      <w:r w:rsidRPr="00BB7E11" w:rsidR="005F3487">
        <w:rPr>
          <w:spacing w:val="-1"/>
        </w:rPr>
        <w:t>breddas till att också inkludera korruptionsbrott. Den individ som bidragit fysiskt, ekonomiskt eller genom systematisk korruption till kränkningar av de mänskliga rättigheterna bör sanktionera</w:t>
      </w:r>
      <w:r w:rsidRPr="00BB7E11" w:rsidR="00EB0751">
        <w:rPr>
          <w:spacing w:val="-1"/>
        </w:rPr>
        <w:t>s</w:t>
      </w:r>
      <w:r w:rsidRPr="00BB7E11" w:rsidR="005F3487">
        <w:rPr>
          <w:spacing w:val="-1"/>
        </w:rPr>
        <w:t xml:space="preserve"> och hållas ansvarig enligt EU-lagstiftningen. EU får inte riskera att bli en fristad för personer som </w:t>
      </w:r>
      <w:r w:rsidRPr="00BB7E11" w:rsidR="00E739BB">
        <w:rPr>
          <w:spacing w:val="-1"/>
        </w:rPr>
        <w:t>med systematisk korruption och penningtvätt eroderar demokrati och rättsstat och finansierar auktoritära system och MR</w:t>
      </w:r>
      <w:r w:rsidRPr="00BB7E11" w:rsidR="00852AC5">
        <w:rPr>
          <w:spacing w:val="-1"/>
        </w:rPr>
        <w:t>-</w:t>
      </w:r>
      <w:r w:rsidRPr="00BB7E11" w:rsidR="00E739BB">
        <w:rPr>
          <w:spacing w:val="-1"/>
        </w:rPr>
        <w:t>brott</w:t>
      </w:r>
      <w:r w:rsidRPr="00BB7E11" w:rsidR="00EB0751">
        <w:rPr>
          <w:spacing w:val="-1"/>
        </w:rPr>
        <w:t xml:space="preserve"> – e</w:t>
      </w:r>
      <w:r w:rsidRPr="00BB7E11" w:rsidR="005F3487">
        <w:rPr>
          <w:spacing w:val="-1"/>
        </w:rPr>
        <w:t>n risk som är avsevärd när andra länder men inte EU har korruptionsbrott inkluderat i sin Magnitskijlagstiftning. Här måste regeringen</w:t>
      </w:r>
      <w:r w:rsidRPr="00BB7E11" w:rsidR="00E739BB">
        <w:rPr>
          <w:spacing w:val="-1"/>
        </w:rPr>
        <w:t xml:space="preserve"> aktivt driva på för att med likasinnade åstadkom</w:t>
      </w:r>
      <w:r w:rsidRPr="00BB7E11" w:rsidR="00852AC5">
        <w:rPr>
          <w:spacing w:val="-1"/>
        </w:rPr>
        <w:t>ma</w:t>
      </w:r>
      <w:r w:rsidRPr="00BB7E11" w:rsidR="00E739BB">
        <w:rPr>
          <w:spacing w:val="-1"/>
        </w:rPr>
        <w:t xml:space="preserve"> en förändring.</w:t>
      </w:r>
    </w:p>
    <w:p w:rsidRPr="00BB7E11" w:rsidR="003A7D0A" w:rsidP="00BB7E11" w:rsidRDefault="003A7D0A" w14:paraId="6F463A30" w14:textId="7FAD3623">
      <w:pPr>
        <w:pStyle w:val="Rubrik1"/>
      </w:pPr>
      <w:bookmarkStart w:name="_Hlk68598713" w:id="1"/>
      <w:r w:rsidRPr="00BB7E11">
        <w:t>Långtidsbudget och återhämtningsfond</w:t>
      </w:r>
    </w:p>
    <w:p w:rsidR="00BB7E11" w:rsidP="00BB7E11" w:rsidRDefault="005F3487" w14:paraId="5AF3C84B" w14:textId="1F1DFA8A">
      <w:pPr>
        <w:pStyle w:val="Normalutanindragellerluft"/>
      </w:pPr>
      <w:r w:rsidRPr="001E7E18">
        <w:t xml:space="preserve">Centerpartiet vill gemensamt i EU prioritera utmaningar som vi inte klarar som enskilda länder. Det handlar </w:t>
      </w:r>
      <w:r w:rsidR="00EB0751">
        <w:t>bl.a.</w:t>
      </w:r>
      <w:r w:rsidRPr="001E7E18">
        <w:t xml:space="preserve"> om migration, miljö och klimat, forskning, säkerhet och att utveckla den inre marknaden. Vissa av utmaningarna måste finansieras gemensamt, andra inte.</w:t>
      </w:r>
      <w:r>
        <w:t xml:space="preserve"> </w:t>
      </w:r>
      <w:r w:rsidRPr="001E7E18">
        <w:t>Vid gemensam finansiering vill vi se en återhållsam EU-budget. Vi ska fort</w:t>
      </w:r>
      <w:r w:rsidR="00BB7E11">
        <w:softHyphen/>
      </w:r>
      <w:r w:rsidRPr="001E7E18">
        <w:t>sätta effektivisera och modernisera jordbrukspolitiken och strukturfonderna. De behöver i högre utsträckning bidra till miljö- och klimatåtgärder, stärkt konkurrenskraft och ut</w:t>
      </w:r>
      <w:r w:rsidR="00BB7E11">
        <w:softHyphen/>
      </w:r>
      <w:r w:rsidRPr="001E7E18">
        <w:t xml:space="preserve">veckling. Det är också viktigt att det svenska jordbruket och civilsamhället runt om i landet inte får bära kostnaden för </w:t>
      </w:r>
      <w:r w:rsidR="00EB0751">
        <w:t>b</w:t>
      </w:r>
      <w:r w:rsidRPr="001E7E18">
        <w:t>rexit eller för att Sverige får rabatt på EU-avgiften.</w:t>
      </w:r>
      <w:r>
        <w:t xml:space="preserve"> </w:t>
      </w:r>
      <w:r w:rsidRPr="001E7E18">
        <w:t>Minskningar i budgeten måste framför</w:t>
      </w:r>
      <w:r w:rsidR="00EB0751">
        <w:t xml:space="preserve"> </w:t>
      </w:r>
      <w:r w:rsidRPr="001E7E18">
        <w:t>allt ta sikte på ineffektiva program som globali</w:t>
      </w:r>
      <w:r w:rsidR="00BB7E11">
        <w:softHyphen/>
      </w:r>
      <w:r w:rsidRPr="001E7E18">
        <w:t xml:space="preserve">seringsfonden och socialfonden, flyttkarusellen mellan Bryssel </w:t>
      </w:r>
      <w:r w:rsidR="00EB0751">
        <w:t>och</w:t>
      </w:r>
      <w:r w:rsidRPr="001E7E18">
        <w:t xml:space="preserve"> Strasbourg och nya symbolprojekt.</w:t>
      </w:r>
      <w:r>
        <w:t xml:space="preserve"> </w:t>
      </w:r>
      <w:r w:rsidRPr="001E7E18">
        <w:t>I budgetförhandlingarna bör Sverige inta en ansvarsfull inställning som ger fortsatt inflytande och påverkansmöjligheter.</w:t>
      </w:r>
    </w:p>
    <w:p w:rsidR="00BB7E11" w:rsidP="00BB7E11" w:rsidRDefault="005F3487" w14:paraId="25979AA5" w14:textId="77777777">
      <w:r>
        <w:t>Centerpartiet betonar vikten av konditionalitet gällande rättsstatens principe</w:t>
      </w:r>
      <w:r w:rsidR="006C1237">
        <w:t>r</w:t>
      </w:r>
      <w:r>
        <w:t xml:space="preserve"> i såväl långtidsbudgeten som återhämtningsfonden. Länder som inte respekterar demokrati, rättssäkerhet och pressfrihet bör ta konsekvenserna för detta. Vi har </w:t>
      </w:r>
      <w:r w:rsidR="00B4687B">
        <w:t xml:space="preserve">också </w:t>
      </w:r>
      <w:r>
        <w:t xml:space="preserve">varit drivande för att fonden ska innehålla motprestationskrav kopplat till </w:t>
      </w:r>
      <w:r w:rsidR="00EB0751">
        <w:t>bl.a.</w:t>
      </w:r>
      <w:r>
        <w:t xml:space="preserve"> genomförandet av den gröna omställningen och digitalisering.</w:t>
      </w:r>
      <w:r w:rsidR="008D5A21">
        <w:t xml:space="preserve"> </w:t>
      </w:r>
    </w:p>
    <w:p w:rsidR="00BB7E11" w:rsidP="00BB7E11" w:rsidRDefault="00E739BB" w14:paraId="5EF342A4" w14:textId="02A00402">
      <w:r>
        <w:t>Centerpartiet var krit</w:t>
      </w:r>
      <w:r w:rsidR="00852AC5">
        <w:t>isk</w:t>
      </w:r>
      <w:r w:rsidR="00EB0751">
        <w:t>t</w:t>
      </w:r>
      <w:r>
        <w:t xml:space="preserve"> mot</w:t>
      </w:r>
      <w:r w:rsidRPr="008F7614" w:rsidR="005F3487">
        <w:t xml:space="preserve"> kommissionen</w:t>
      </w:r>
      <w:r>
        <w:t>s förslag till</w:t>
      </w:r>
      <w:r w:rsidR="00852AC5">
        <w:t xml:space="preserve"> </w:t>
      </w:r>
      <w:r w:rsidRPr="008F7614" w:rsidR="005F3487">
        <w:t>återhämtningsfond</w:t>
      </w:r>
      <w:r w:rsidR="00852AC5">
        <w:t xml:space="preserve"> </w:t>
      </w:r>
      <w:r w:rsidRPr="008F7614" w:rsidR="005F3487">
        <w:t>på 750 miljarder euro</w:t>
      </w:r>
      <w:r w:rsidR="00852AC5">
        <w:t xml:space="preserve">. </w:t>
      </w:r>
      <w:r w:rsidRPr="008F7614" w:rsidR="005F3487">
        <w:t>Att kommissionen</w:t>
      </w:r>
      <w:r w:rsidR="00852AC5">
        <w:t xml:space="preserve"> val</w:t>
      </w:r>
      <w:r w:rsidR="00265454">
        <w:t>de</w:t>
      </w:r>
      <w:r w:rsidR="00852AC5">
        <w:t xml:space="preserve"> </w:t>
      </w:r>
      <w:r w:rsidRPr="008F7614" w:rsidR="005F3487">
        <w:t>bidrag i</w:t>
      </w:r>
      <w:r w:rsidR="00EB0751">
        <w:t xml:space="preserve"> </w:t>
      </w:r>
      <w:r w:rsidRPr="008F7614" w:rsidR="005F3487">
        <w:t>stället för lån och att det sakna</w:t>
      </w:r>
      <w:r w:rsidR="00852AC5">
        <w:t>de</w:t>
      </w:r>
      <w:r w:rsidRPr="008F7614" w:rsidR="005F3487">
        <w:t>s kri</w:t>
      </w:r>
      <w:r w:rsidR="00BB7E11">
        <w:softHyphen/>
      </w:r>
      <w:r w:rsidRPr="008F7614" w:rsidR="005F3487">
        <w:t>terier och krav på hur pengarna sk</w:t>
      </w:r>
      <w:r w:rsidR="00265454">
        <w:t>ulle</w:t>
      </w:r>
      <w:r w:rsidRPr="008F7614" w:rsidR="005F3487">
        <w:t xml:space="preserve"> användas </w:t>
      </w:r>
      <w:r w:rsidR="00265454">
        <w:t xml:space="preserve">var </w:t>
      </w:r>
      <w:r w:rsidRPr="008F7614" w:rsidR="005F3487">
        <w:t>en olycklig utveckling både i det korta och</w:t>
      </w:r>
      <w:r w:rsidR="00EB0751">
        <w:t xml:space="preserve"> i det</w:t>
      </w:r>
      <w:r w:rsidRPr="008F7614" w:rsidR="005F3487">
        <w:t xml:space="preserve"> långa perspektivet. Coronakrisen kräver solidaritet, men att EU-kommis</w:t>
      </w:r>
      <w:r w:rsidR="00BB7E11">
        <w:softHyphen/>
      </w:r>
      <w:r w:rsidRPr="008F7614" w:rsidR="005F3487">
        <w:t>sionen vill dela ut enorma summor som bidrag i</w:t>
      </w:r>
      <w:r w:rsidR="00EB0751">
        <w:t xml:space="preserve"> </w:t>
      </w:r>
      <w:r w:rsidRPr="008F7614" w:rsidR="005F3487">
        <w:t xml:space="preserve">stället för lån riskerar att leda till en oansvarig ekonomisk politik. </w:t>
      </w:r>
    </w:p>
    <w:p w:rsidRPr="00BB7E11" w:rsidR="00BB7E11" w:rsidP="00BB7E11" w:rsidRDefault="006C1237" w14:paraId="6C50DADD" w14:textId="6D8026AB">
      <w:pPr>
        <w:rPr>
          <w:spacing w:val="-1"/>
        </w:rPr>
      </w:pPr>
      <w:r w:rsidRPr="00BB7E11">
        <w:rPr>
          <w:spacing w:val="-1"/>
        </w:rPr>
        <w:t xml:space="preserve">Facilitetsmekanismen </w:t>
      </w:r>
      <w:r w:rsidRPr="00BB7E11" w:rsidR="005F3487">
        <w:rPr>
          <w:spacing w:val="-1"/>
        </w:rPr>
        <w:t>innebär att EU som kollektiv tar på sig en finanspolitisk roll. Finansieringssystemet innebär att en ny intäktskomponent för egna medel införs relaterat till plastförpackningsavfall som genereras i varje medlemsstat och som inte materialåter</w:t>
      </w:r>
      <w:r w:rsidR="00BB7E11">
        <w:rPr>
          <w:spacing w:val="-1"/>
        </w:rPr>
        <w:softHyphen/>
      </w:r>
      <w:r w:rsidRPr="00BB7E11" w:rsidR="005F3487">
        <w:rPr>
          <w:spacing w:val="-1"/>
        </w:rPr>
        <w:t>vinns. För Centerpartiet är det en central fråga i EU-samarbetet att medlemsstaterna har beskattningsrätt. När möjligheten till egna medel utvidgas ser vi ris</w:t>
      </w:r>
      <w:r w:rsidRPr="00BB7E11" w:rsidR="00852AC5">
        <w:rPr>
          <w:spacing w:val="-1"/>
        </w:rPr>
        <w:t>k</w:t>
      </w:r>
      <w:r w:rsidRPr="00BB7E11" w:rsidR="00265454">
        <w:rPr>
          <w:spacing w:val="-1"/>
        </w:rPr>
        <w:t xml:space="preserve"> för en glidning i</w:t>
      </w:r>
      <w:r w:rsidRPr="00BB7E11" w:rsidR="005F3487">
        <w:rPr>
          <w:spacing w:val="-1"/>
        </w:rPr>
        <w:t xml:space="preserve"> den nationella suveräniteten </w:t>
      </w:r>
      <w:r w:rsidRPr="00BB7E11" w:rsidR="00852AC5">
        <w:rPr>
          <w:spacing w:val="-1"/>
        </w:rPr>
        <w:t xml:space="preserve">för </w:t>
      </w:r>
      <w:r w:rsidRPr="00BB7E11" w:rsidR="005F3487">
        <w:rPr>
          <w:spacing w:val="-1"/>
        </w:rPr>
        <w:t xml:space="preserve">beskattning. </w:t>
      </w:r>
      <w:r w:rsidRPr="00BB7E11">
        <w:rPr>
          <w:spacing w:val="-1"/>
        </w:rPr>
        <w:t xml:space="preserve">Centerpartiet kommer att motsätta sig </w:t>
      </w:r>
      <w:r w:rsidRPr="00BB7E11" w:rsidR="005665DA">
        <w:rPr>
          <w:spacing w:val="-1"/>
        </w:rPr>
        <w:t xml:space="preserve">eventuella ytterligare åtgärder på skatteområdet. </w:t>
      </w:r>
      <w:r w:rsidRPr="00BB7E11" w:rsidR="00265454">
        <w:rPr>
          <w:spacing w:val="-1"/>
        </w:rPr>
        <w:t>Här måste regeringen agera tydligt för att förhindra ytterligare steg i denna riktning</w:t>
      </w:r>
      <w:r w:rsidRPr="00BB7E11" w:rsidR="00DF0B75">
        <w:rPr>
          <w:spacing w:val="-1"/>
        </w:rPr>
        <w:t>.</w:t>
      </w:r>
      <w:bookmarkEnd w:id="1"/>
    </w:p>
    <w:p w:rsidR="003A7D0A" w:rsidP="00BB7E11" w:rsidRDefault="003A7D0A" w14:paraId="4D1D20BD" w14:textId="35508025">
      <w:pPr>
        <w:pStyle w:val="Rubrik1"/>
      </w:pPr>
      <w:r w:rsidRPr="00BB7E11">
        <w:t xml:space="preserve">Sociala pelaren </w:t>
      </w:r>
    </w:p>
    <w:p w:rsidR="00BB7E11" w:rsidP="00BB7E11" w:rsidRDefault="003A7D0A" w14:paraId="331B3BAE" w14:textId="3CE9A5BB">
      <w:pPr>
        <w:pStyle w:val="Normalutanindragellerluft"/>
        <w:rPr>
          <w:b/>
        </w:rPr>
      </w:pPr>
      <w:r>
        <w:t>Men allt har inte varit pandemihantering inom EU 2020. Tyvärr har arbetet med den sociala pelaren som Stefan Lö</w:t>
      </w:r>
      <w:r w:rsidR="00EB0751">
        <w:t>f</w:t>
      </w:r>
      <w:r>
        <w:t xml:space="preserve">ven sjösatte i Göteborg 2017 fortsatt. </w:t>
      </w:r>
      <w:r w:rsidRPr="00F11E96">
        <w:t>Sverige har i dags</w:t>
      </w:r>
      <w:r w:rsidR="00BB7E11">
        <w:softHyphen/>
      </w:r>
      <w:r w:rsidRPr="00F11E96">
        <w:t xml:space="preserve">läget ett välfungerande system på arbetsmarknaden </w:t>
      </w:r>
      <w:r>
        <w:t>där arbetsmarknadens parter gemen</w:t>
      </w:r>
      <w:r w:rsidR="00590CE7">
        <w:softHyphen/>
      </w:r>
      <w:r>
        <w:t xml:space="preserve">samt förhandlar sig fram till en lösning. Vissa av förslagen som presenteras inom ramen för den </w:t>
      </w:r>
      <w:r w:rsidRPr="00F11E96">
        <w:t>sociala pelaren</w:t>
      </w:r>
      <w:r>
        <w:t xml:space="preserve"> hotar denna ordning</w:t>
      </w:r>
      <w:r w:rsidRPr="00F11E96">
        <w:t xml:space="preserve">. </w:t>
      </w:r>
      <w:r>
        <w:t>Centerpartiet anser att b</w:t>
      </w:r>
      <w:r w:rsidRPr="00F11E96">
        <w:t>eslut kring arbets</w:t>
      </w:r>
      <w:r w:rsidR="00590CE7">
        <w:softHyphen/>
      </w:r>
      <w:r w:rsidRPr="00F11E96">
        <w:t>marknad och sociala skyddsnät fattas bäst av varje medlemsland.</w:t>
      </w:r>
      <w:r>
        <w:t xml:space="preserve"> </w:t>
      </w:r>
    </w:p>
    <w:p w:rsidRPr="00BB7E11" w:rsidR="003A7D0A" w:rsidP="00BB7E11" w:rsidRDefault="003A7D0A" w14:paraId="06055413" w14:textId="74E93ECD">
      <w:pPr>
        <w:pStyle w:val="Rubrik2"/>
      </w:pPr>
      <w:r w:rsidRPr="00BB7E11">
        <w:t>Mi</w:t>
      </w:r>
      <w:r w:rsidRPr="00BB7E11" w:rsidR="002A6EEA">
        <w:t>n</w:t>
      </w:r>
      <w:r w:rsidRPr="00BB7E11">
        <w:t>i</w:t>
      </w:r>
      <w:r w:rsidRPr="00BB7E11" w:rsidR="002A6EEA">
        <w:t>m</w:t>
      </w:r>
      <w:r w:rsidRPr="00BB7E11">
        <w:t>ilöner</w:t>
      </w:r>
    </w:p>
    <w:p w:rsidR="00BB7E11" w:rsidP="00BB7E11" w:rsidRDefault="003A7D0A" w14:paraId="7C93CFF2" w14:textId="2AB5B435">
      <w:pPr>
        <w:pStyle w:val="Normalutanindragellerluft"/>
        <w:rPr>
          <w:i/>
        </w:rPr>
      </w:pPr>
      <w:r>
        <w:t>Centerpartiet anser att ambitionerna i förslaget är bra, men vi ser inte att EU:s förslag om minimilöner kommer</w:t>
      </w:r>
      <w:r w:rsidR="00D9208D">
        <w:t xml:space="preserve"> att</w:t>
      </w:r>
      <w:r>
        <w:t xml:space="preserve"> råda bot på fattigdom</w:t>
      </w:r>
      <w:r w:rsidR="00D9208D">
        <w:t>en</w:t>
      </w:r>
      <w:r>
        <w:t>. Vi anser att förhandling</w:t>
      </w:r>
      <w:r w:rsidR="00D9208D">
        <w:t>ar</w:t>
      </w:r>
      <w:r>
        <w:t xml:space="preserve"> om människors lön ska </w:t>
      </w:r>
      <w:r w:rsidR="00D9208D">
        <w:t>göras</w:t>
      </w:r>
      <w:r>
        <w:t xml:space="preserve"> så nära de berörda som möjligt. Att värna den svenska mo</w:t>
      </w:r>
      <w:bookmarkStart w:name="_GoBack" w:id="2"/>
      <w:bookmarkEnd w:id="2"/>
      <w:r>
        <w:t>dellen är oerhört viktig</w:t>
      </w:r>
      <w:r w:rsidR="00D9208D">
        <w:t>t</w:t>
      </w:r>
      <w:r>
        <w:t>, och medlemsstaternas kompetens ska respekteras.</w:t>
      </w:r>
      <w:r w:rsidR="008D5A21">
        <w:t xml:space="preserve"> </w:t>
      </w:r>
    </w:p>
    <w:p w:rsidRPr="00BB7E11" w:rsidR="003A7D0A" w:rsidP="00BB7E11" w:rsidRDefault="003A7D0A" w14:paraId="7DF199DA" w14:textId="36CD49C5">
      <w:pPr>
        <w:pStyle w:val="Rubrik2"/>
      </w:pPr>
      <w:r w:rsidRPr="00BB7E11">
        <w:t>Lönetransparens</w:t>
      </w:r>
    </w:p>
    <w:p w:rsidR="00BB7E11" w:rsidP="00BB7E11" w:rsidRDefault="003A7D0A" w14:paraId="2E14BE75" w14:textId="77777777">
      <w:pPr>
        <w:pStyle w:val="Normalutanindragellerluft"/>
      </w:pPr>
      <w:r>
        <w:t>Centerpartiet motsätter sig förslaget på samma grund som förslaget om minimilöner, nämligen att förslaget riskera</w:t>
      </w:r>
      <w:r w:rsidR="00D9208D">
        <w:t>r</w:t>
      </w:r>
      <w:r>
        <w:t xml:space="preserve"> att hota den svenska modellen. Dessutom riskerar det </w:t>
      </w:r>
      <w:r w:rsidR="00D9208D">
        <w:t xml:space="preserve">att </w:t>
      </w:r>
      <w:r>
        <w:t xml:space="preserve">skapa ytterligare betungande regelverk </w:t>
      </w:r>
      <w:r w:rsidR="00B4687B">
        <w:t>för</w:t>
      </w:r>
      <w:r>
        <w:t xml:space="preserve"> små och medelstora företag som redan i</w:t>
      </w:r>
      <w:r w:rsidR="00D9208D">
        <w:t xml:space="preserve"> </w:t>
      </w:r>
      <w:r>
        <w:t>dag har svårt att klara av regelbördan.</w:t>
      </w:r>
      <w:r w:rsidR="008D5A21">
        <w:t xml:space="preserve"> </w:t>
      </w:r>
    </w:p>
    <w:p w:rsidRPr="00BB7E11" w:rsidR="00B362F9" w:rsidP="00BB7E11" w:rsidRDefault="00B362F9" w14:paraId="5671A0ED" w14:textId="4D9D7EC2">
      <w:pPr>
        <w:pStyle w:val="Rubrik1"/>
      </w:pPr>
      <w:r w:rsidRPr="00BB7E11">
        <w:t>Klimat</w:t>
      </w:r>
    </w:p>
    <w:p w:rsidR="00BB7E11" w:rsidP="00BB7E11" w:rsidRDefault="00B362F9" w14:paraId="5FDBEF85" w14:textId="74A68D06">
      <w:pPr>
        <w:pStyle w:val="Normalutanindragellerluft"/>
      </w:pPr>
      <w:r>
        <w:t>Centerpartiet välkomnar de skärpta klimatmålen till 2030. Det är ett viktigt steg för att se till att EU:s politik är i linje med Parisavtalet. För oss är det viktigt att efterlevnaden av målen ska gälla varje enskild medlemsstat, och inte EU som helhet. Vi anser inte att vissa medlemsstaters ambitiösa klimatarbete ska kunna kompensera för bristande hand</w:t>
      </w:r>
      <w:r w:rsidR="00590CE7">
        <w:softHyphen/>
      </w:r>
      <w:r>
        <w:t xml:space="preserve">ling i en annan medlemsstat. Centerpartiet står bakom ett utsläppsminskningsmål om </w:t>
      </w:r>
      <w:r w:rsidR="0087173D">
        <w:t xml:space="preserve">minst </w:t>
      </w:r>
      <w:r>
        <w:t>60 procent till 2030. Vi anser att EU ska vara föregångare på det globala planet och att det därmed är viktigt att ha ett ambitiöst mål.</w:t>
      </w:r>
    </w:p>
    <w:sdt>
      <w:sdtPr>
        <w:alias w:val="CC_Underskrifter"/>
        <w:tag w:val="CC_Underskrifter"/>
        <w:id w:val="583496634"/>
        <w:lock w:val="sdtContentLocked"/>
        <w:placeholder>
          <w:docPart w:val="B98963FE89664F1AB4F744377FD3301C"/>
        </w:placeholder>
      </w:sdtPr>
      <w:sdtEndPr/>
      <w:sdtContent>
        <w:p w:rsidR="002A6EEA" w:rsidP="008D5A21" w:rsidRDefault="002A6EEA" w14:paraId="538B24CB" w14:textId="2CB611F7"/>
        <w:p w:rsidRPr="008E0FE2" w:rsidR="004801AC" w:rsidP="008D5A21" w:rsidRDefault="00155D0E" w14:paraId="6C4BE93A" w14:textId="6BF4C45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r>
        <w:trPr>
          <w:cantSplit/>
        </w:trPr>
        <w:tc>
          <w:tcPr>
            <w:tcW w:w="50" w:type="pct"/>
            <w:vAlign w:val="bottom"/>
          </w:tcPr>
          <w:p>
            <w:pPr>
              <w:pStyle w:val="Underskrifter"/>
              <w:spacing w:after="0"/>
            </w:pPr>
            <w:r>
              <w:t>Magnus Ek (C)</w:t>
            </w:r>
          </w:p>
        </w:tc>
        <w:tc>
          <w:tcPr>
            <w:tcW w:w="50" w:type="pct"/>
            <w:vAlign w:val="bottom"/>
          </w:tcPr>
          <w:p>
            <w:pPr>
              <w:pStyle w:val="Underskrifter"/>
              <w:spacing w:after="0"/>
            </w:pPr>
            <w:r>
              <w:t>Linda Modig (C)</w:t>
            </w:r>
          </w:p>
        </w:tc>
      </w:tr>
    </w:tbl>
    <w:p w:rsidR="007144DD" w:rsidRDefault="007144DD" w14:paraId="35E40478" w14:textId="77777777"/>
    <w:sectPr w:rsidR="007144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AE394" w14:textId="77777777" w:rsidR="002F1BAC" w:rsidRDefault="002F1BAC" w:rsidP="000C1CAD">
      <w:pPr>
        <w:spacing w:line="240" w:lineRule="auto"/>
      </w:pPr>
      <w:r>
        <w:separator/>
      </w:r>
    </w:p>
  </w:endnote>
  <w:endnote w:type="continuationSeparator" w:id="0">
    <w:p w14:paraId="38D1BA64" w14:textId="77777777" w:rsidR="002F1BAC" w:rsidRDefault="002F1B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D3A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BA4A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B7529" w14:textId="37C81BB1" w:rsidR="00262EA3" w:rsidRPr="008D5A21" w:rsidRDefault="00262EA3" w:rsidP="008D5A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C6BFB" w14:textId="77777777" w:rsidR="002F1BAC" w:rsidRDefault="002F1BAC" w:rsidP="000C1CAD">
      <w:pPr>
        <w:spacing w:line="240" w:lineRule="auto"/>
      </w:pPr>
      <w:r>
        <w:separator/>
      </w:r>
    </w:p>
  </w:footnote>
  <w:footnote w:type="continuationSeparator" w:id="0">
    <w:p w14:paraId="6B62D9DC" w14:textId="77777777" w:rsidR="002F1BAC" w:rsidRDefault="002F1BA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F3EA7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741A29" wp14:anchorId="536493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55D0E" w14:paraId="01027865" w14:textId="77777777">
                          <w:pPr>
                            <w:jc w:val="right"/>
                          </w:pPr>
                          <w:sdt>
                            <w:sdtPr>
                              <w:alias w:val="CC_Noformat_Partikod"/>
                              <w:tag w:val="CC_Noformat_Partikod"/>
                              <w:id w:val="-53464382"/>
                              <w:placeholder>
                                <w:docPart w:val="D3FFD2371C004895A7C9E6FBCE734D99"/>
                              </w:placeholder>
                              <w:text/>
                            </w:sdtPr>
                            <w:sdtEndPr/>
                            <w:sdtContent>
                              <w:r w:rsidR="002F1BAC">
                                <w:t>C</w:t>
                              </w:r>
                            </w:sdtContent>
                          </w:sdt>
                          <w:sdt>
                            <w:sdtPr>
                              <w:alias w:val="CC_Noformat_Partinummer"/>
                              <w:tag w:val="CC_Noformat_Partinummer"/>
                              <w:id w:val="-1709555926"/>
                              <w:placeholder>
                                <w:docPart w:val="68C172BE3F014986B3F38372D66E3F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6493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55D0E" w14:paraId="01027865" w14:textId="77777777">
                    <w:pPr>
                      <w:jc w:val="right"/>
                    </w:pPr>
                    <w:sdt>
                      <w:sdtPr>
                        <w:alias w:val="CC_Noformat_Partikod"/>
                        <w:tag w:val="CC_Noformat_Partikod"/>
                        <w:id w:val="-53464382"/>
                        <w:placeholder>
                          <w:docPart w:val="D3FFD2371C004895A7C9E6FBCE734D99"/>
                        </w:placeholder>
                        <w:text/>
                      </w:sdtPr>
                      <w:sdtEndPr/>
                      <w:sdtContent>
                        <w:r w:rsidR="002F1BAC">
                          <w:t>C</w:t>
                        </w:r>
                      </w:sdtContent>
                    </w:sdt>
                    <w:sdt>
                      <w:sdtPr>
                        <w:alias w:val="CC_Noformat_Partinummer"/>
                        <w:tag w:val="CC_Noformat_Partinummer"/>
                        <w:id w:val="-1709555926"/>
                        <w:placeholder>
                          <w:docPart w:val="68C172BE3F014986B3F38372D66E3FF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1B840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D15DC5" w14:textId="77777777">
    <w:pPr>
      <w:jc w:val="right"/>
    </w:pPr>
  </w:p>
  <w:p w:rsidR="00262EA3" w:rsidP="00776B74" w:rsidRDefault="00262EA3" w14:paraId="1C07074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68614454" w:id="3"/>
  <w:bookmarkStart w:name="_Hlk68614455" w:id="4"/>
  <w:p w:rsidR="00262EA3" w:rsidP="008563AC" w:rsidRDefault="00155D0E" w14:paraId="1591961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F26466" wp14:anchorId="051C76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55D0E" w14:paraId="0D374FC4" w14:textId="610849A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2F1BAC">
          <w:t>C</w:t>
        </w:r>
      </w:sdtContent>
    </w:sdt>
    <w:sdt>
      <w:sdtPr>
        <w:alias w:val="CC_Noformat_Partinummer"/>
        <w:tag w:val="CC_Noformat_Partinummer"/>
        <w:id w:val="-2014525982"/>
        <w:lock w:val="contentLocked"/>
        <w:placeholder>
          <w:docPart w:val="C49587DE95EC48419DD7E9F19FBB2363"/>
        </w:placeholder>
        <w:showingPlcHdr/>
        <w:text/>
      </w:sdtPr>
      <w:sdtEndPr/>
      <w:sdtContent>
        <w:r w:rsidR="00821B36">
          <w:t xml:space="preserve"> </w:t>
        </w:r>
      </w:sdtContent>
    </w:sdt>
  </w:p>
  <w:p w:rsidRPr="008227B3" w:rsidR="00262EA3" w:rsidP="008227B3" w:rsidRDefault="00155D0E" w14:paraId="1DFBC5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55D0E" w14:paraId="5EC756C9" w14:textId="77777777">
    <w:pPr>
      <w:pStyle w:val="MotionTIllRiksdagen"/>
    </w:pPr>
    <w:sdt>
      <w:sdtPr>
        <w:rPr>
          <w:rStyle w:val="BeteckningChar"/>
        </w:rPr>
        <w:alias w:val="CC_Noformat_Riksmote"/>
        <w:tag w:val="CC_Noformat_Riksmote"/>
        <w:id w:val="1201050710"/>
        <w:lock w:val="sdtContentLocked"/>
        <w:placeholder>
          <w:docPart w:val="414274F4FE1744809C9EC3F720874A35"/>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0B880E0FB7864740AAA014BC1DCA09EC"/>
        </w:placeholder>
        <w:showingPlcHdr/>
        <w15:appearance w15:val="hidden"/>
        <w:text/>
      </w:sdtPr>
      <w:sdtEndPr>
        <w:rPr>
          <w:rStyle w:val="Rubrik1Char"/>
          <w:rFonts w:asciiTheme="majorHAnsi" w:hAnsiTheme="majorHAnsi"/>
          <w:sz w:val="38"/>
        </w:rPr>
      </w:sdtEndPr>
      <w:sdtContent>
        <w:r>
          <w:t>:3925</w:t>
        </w:r>
      </w:sdtContent>
    </w:sdt>
  </w:p>
  <w:p w:rsidR="00262EA3" w:rsidP="00E03A3D" w:rsidRDefault="00155D0E" w14:paraId="2059534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Kerstin Lundgren m.fl. (C)</w:t>
        </w:r>
      </w:sdtContent>
    </w:sdt>
  </w:p>
  <w:sdt>
    <w:sdtPr>
      <w:alias w:val="CC_Noformat_Rubtext"/>
      <w:tag w:val="CC_Noformat_Rubtext"/>
      <w:id w:val="-218060500"/>
      <w:lock w:val="sdtLocked"/>
      <w:placeholder>
        <w:docPart w:val="2960206B5D504707B7F9A15F51833245"/>
      </w:placeholder>
      <w:text/>
    </w:sdtPr>
    <w:sdtEndPr/>
    <w:sdtContent>
      <w:p w:rsidR="00262EA3" w:rsidP="00283E0F" w:rsidRDefault="005E1CB8" w14:paraId="1DDBD695" w14:textId="4B87E4C4">
        <w:pPr>
          <w:pStyle w:val="FSHRub2"/>
        </w:pPr>
        <w:r>
          <w:t>med anledning av skr. 2020/21:115 Verksamheten i Europeiska unionen under 2020</w:t>
        </w:r>
      </w:p>
    </w:sdtContent>
  </w:sdt>
  <w:sdt>
    <w:sdtPr>
      <w:alias w:val="CC_Boilerplate_3"/>
      <w:tag w:val="CC_Boilerplate_3"/>
      <w:id w:val="1606463544"/>
      <w:lock w:val="sdtContentLocked"/>
      <w15:appearance w15:val="hidden"/>
      <w:text w:multiLine="1"/>
    </w:sdtPr>
    <w:sdtEndPr/>
    <w:sdtContent>
      <w:p w:rsidR="00262EA3" w:rsidP="00283E0F" w:rsidRDefault="00262EA3" w14:paraId="15C3D02C" w14:textId="77777777">
        <w:pPr>
          <w:pStyle w:val="FSHNormL"/>
        </w:pPr>
        <w:r>
          <w:br/>
        </w:r>
      </w:p>
    </w:sdtContent>
  </w:sdt>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F1BA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2C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5D0E"/>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64C"/>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305"/>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AEB"/>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454"/>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EEA"/>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EF4"/>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BA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5D63"/>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3AC"/>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A7D0A"/>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64A"/>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5DA"/>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CE7"/>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CB8"/>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487"/>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06A"/>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37"/>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4DD"/>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BED"/>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7DA"/>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AC5"/>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173D"/>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A21"/>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3F4F"/>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2F9"/>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87B"/>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11"/>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58B"/>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6EF"/>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A9F"/>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557"/>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08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75"/>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F47"/>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79E"/>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9BB"/>
    <w:rsid w:val="00E748E2"/>
    <w:rsid w:val="00E74C99"/>
    <w:rsid w:val="00E74E31"/>
    <w:rsid w:val="00E75108"/>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751"/>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394A"/>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E962240"/>
  <w15:chartTrackingRefBased/>
  <w15:docId w15:val="{B20FC72E-C025-4551-92CD-164B55B2C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CE0E6BC20E45F09B61124EC85DB83E"/>
        <w:category>
          <w:name w:val="Allmänt"/>
          <w:gallery w:val="placeholder"/>
        </w:category>
        <w:types>
          <w:type w:val="bbPlcHdr"/>
        </w:types>
        <w:behaviors>
          <w:behavior w:val="content"/>
        </w:behaviors>
        <w:guid w:val="{78867B49-ED54-485D-AA80-E36BAE1F03C4}"/>
      </w:docPartPr>
      <w:docPartBody>
        <w:p w:rsidR="00A97ACE" w:rsidRDefault="0006494F">
          <w:pPr>
            <w:pStyle w:val="6DCE0E6BC20E45F09B61124EC85DB83E"/>
          </w:pPr>
          <w:r w:rsidRPr="005A0A93">
            <w:rPr>
              <w:rStyle w:val="Platshllartext"/>
            </w:rPr>
            <w:t>Förslag till riksdagsbeslut</w:t>
          </w:r>
        </w:p>
      </w:docPartBody>
    </w:docPart>
    <w:docPart>
      <w:docPartPr>
        <w:name w:val="8841E55DD40C4BC18B144686DE7DA306"/>
        <w:category>
          <w:name w:val="Allmänt"/>
          <w:gallery w:val="placeholder"/>
        </w:category>
        <w:types>
          <w:type w:val="bbPlcHdr"/>
        </w:types>
        <w:behaviors>
          <w:behavior w:val="content"/>
        </w:behaviors>
        <w:guid w:val="{1333429E-17EA-4050-BB20-0F2EC47DDAEE}"/>
      </w:docPartPr>
      <w:docPartBody>
        <w:p w:rsidR="00A97ACE" w:rsidRDefault="0006494F">
          <w:pPr>
            <w:pStyle w:val="8841E55DD40C4BC18B144686DE7DA306"/>
          </w:pPr>
          <w:r w:rsidRPr="005A0A93">
            <w:rPr>
              <w:rStyle w:val="Platshllartext"/>
            </w:rPr>
            <w:t>Motivering</w:t>
          </w:r>
        </w:p>
      </w:docPartBody>
    </w:docPart>
    <w:docPart>
      <w:docPartPr>
        <w:name w:val="D3FFD2371C004895A7C9E6FBCE734D99"/>
        <w:category>
          <w:name w:val="Allmänt"/>
          <w:gallery w:val="placeholder"/>
        </w:category>
        <w:types>
          <w:type w:val="bbPlcHdr"/>
        </w:types>
        <w:behaviors>
          <w:behavior w:val="content"/>
        </w:behaviors>
        <w:guid w:val="{BAA4AC7A-B55C-4DBE-B214-E5AB573F0E4B}"/>
      </w:docPartPr>
      <w:docPartBody>
        <w:p w:rsidR="00A97ACE" w:rsidRDefault="0006494F">
          <w:pPr>
            <w:pStyle w:val="D3FFD2371C004895A7C9E6FBCE734D99"/>
          </w:pPr>
          <w:r>
            <w:rPr>
              <w:rStyle w:val="Platshllartext"/>
            </w:rPr>
            <w:t xml:space="preserve"> </w:t>
          </w:r>
        </w:p>
      </w:docPartBody>
    </w:docPart>
    <w:docPart>
      <w:docPartPr>
        <w:name w:val="68C172BE3F014986B3F38372D66E3FF6"/>
        <w:category>
          <w:name w:val="Allmänt"/>
          <w:gallery w:val="placeholder"/>
        </w:category>
        <w:types>
          <w:type w:val="bbPlcHdr"/>
        </w:types>
        <w:behaviors>
          <w:behavior w:val="content"/>
        </w:behaviors>
        <w:guid w:val="{58AC3860-053D-4BCE-A1F1-BBE1BAAE6DF3}"/>
      </w:docPartPr>
      <w:docPartBody>
        <w:p w:rsidR="00A97ACE" w:rsidRDefault="00885564">
          <w:pPr>
            <w:pStyle w:val="68C172BE3F014986B3F38372D66E3FF6"/>
          </w:pPr>
          <w:r>
            <w:t xml:space="preserve"> </w:t>
          </w:r>
        </w:p>
      </w:docPartBody>
    </w:docPart>
    <w:docPart>
      <w:docPartPr>
        <w:name w:val="DefaultPlaceholder_-1854013440"/>
        <w:category>
          <w:name w:val="Allmänt"/>
          <w:gallery w:val="placeholder"/>
        </w:category>
        <w:types>
          <w:type w:val="bbPlcHdr"/>
        </w:types>
        <w:behaviors>
          <w:behavior w:val="content"/>
        </w:behaviors>
        <w:guid w:val="{1FACC53B-BB73-4848-8A60-DB5EEC0F6452}"/>
      </w:docPartPr>
      <w:docPartBody>
        <w:p w:rsidR="00A97ACE" w:rsidRDefault="0006494F">
          <w:r w:rsidRPr="005A0383">
            <w:rPr>
              <w:rStyle w:val="Platshllartext"/>
            </w:rPr>
            <w:t>Klicka eller tryck här för att ange text.</w:t>
          </w:r>
        </w:p>
      </w:docPartBody>
    </w:docPart>
    <w:docPart>
      <w:docPartPr>
        <w:name w:val="2960206B5D504707B7F9A15F51833245"/>
        <w:category>
          <w:name w:val="Allmänt"/>
          <w:gallery w:val="placeholder"/>
        </w:category>
        <w:types>
          <w:type w:val="bbPlcHdr"/>
        </w:types>
        <w:behaviors>
          <w:behavior w:val="content"/>
        </w:behaviors>
        <w:guid w:val="{1FEB1770-A084-4D64-AE5C-BDCD5F087964}"/>
      </w:docPartPr>
      <w:docPartBody>
        <w:p w:rsidR="00A97ACE" w:rsidRDefault="0006494F">
          <w:r w:rsidRPr="005A0383">
            <w:rPr>
              <w:rStyle w:val="Platshllartext"/>
            </w:rPr>
            <w:t>[ange din text här]</w:t>
          </w:r>
        </w:p>
      </w:docPartBody>
    </w:docPart>
    <w:docPart>
      <w:docPartPr>
        <w:name w:val="414274F4FE1744809C9EC3F720874A35"/>
        <w:category>
          <w:name w:val="Allmänt"/>
          <w:gallery w:val="placeholder"/>
        </w:category>
        <w:types>
          <w:type w:val="bbPlcHdr"/>
        </w:types>
        <w:behaviors>
          <w:behavior w:val="content"/>
        </w:behaviors>
        <w:guid w:val="{8DCDF552-E2D4-4240-B88E-BA16AEFFDCD3}"/>
      </w:docPartPr>
      <w:docPartBody>
        <w:p w:rsidR="00A97ACE" w:rsidRDefault="0006494F">
          <w:r w:rsidRPr="005A0383">
            <w:rPr>
              <w:rStyle w:val="Platshllartext"/>
            </w:rPr>
            <w:t>[ange din text här]</w:t>
          </w:r>
        </w:p>
      </w:docPartBody>
    </w:docPart>
    <w:docPart>
      <w:docPartPr>
        <w:name w:val="B98963FE89664F1AB4F744377FD3301C"/>
        <w:category>
          <w:name w:val="Allmänt"/>
          <w:gallery w:val="placeholder"/>
        </w:category>
        <w:types>
          <w:type w:val="bbPlcHdr"/>
        </w:types>
        <w:behaviors>
          <w:behavior w:val="content"/>
        </w:behaviors>
        <w:guid w:val="{0CBEC430-01BC-43EE-8999-7C3C2DB88813}"/>
      </w:docPartPr>
      <w:docPartBody>
        <w:p w:rsidR="00291B33" w:rsidRDefault="00291B33"/>
      </w:docPartBody>
    </w:docPart>
    <w:docPart>
      <w:docPartPr>
        <w:name w:val="C49587DE95EC48419DD7E9F19FBB2363"/>
        <w:category>
          <w:name w:val="Allmänt"/>
          <w:gallery w:val="placeholder"/>
        </w:category>
        <w:types>
          <w:type w:val="bbPlcHdr"/>
        </w:types>
        <w:behaviors>
          <w:behavior w:val="content"/>
        </w:behaviors>
        <w:guid w:val="{F04CE974-6449-41C1-BA3C-51E0D367A042}"/>
      </w:docPartPr>
      <w:docPartBody>
        <w:p w:rsidR="00000000" w:rsidRDefault="00885564">
          <w:r>
            <w:t xml:space="preserve"> </w:t>
          </w:r>
        </w:p>
      </w:docPartBody>
    </w:docPart>
    <w:docPart>
      <w:docPartPr>
        <w:name w:val="0B880E0FB7864740AAA014BC1DCA09EC"/>
        <w:category>
          <w:name w:val="Allmänt"/>
          <w:gallery w:val="placeholder"/>
        </w:category>
        <w:types>
          <w:type w:val="bbPlcHdr"/>
        </w:types>
        <w:behaviors>
          <w:behavior w:val="content"/>
        </w:behaviors>
        <w:guid w:val="{6B551FA2-7E3D-4F9A-97EE-97E55ED6F809}"/>
      </w:docPartPr>
      <w:docPartBody>
        <w:p w:rsidR="00000000" w:rsidRDefault="00885564">
          <w:r>
            <w:t>:3925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94F"/>
    <w:rsid w:val="0006494F"/>
    <w:rsid w:val="00291B33"/>
    <w:rsid w:val="00885564"/>
    <w:rsid w:val="00A97A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494F"/>
    <w:rPr>
      <w:color w:val="F4B083" w:themeColor="accent2" w:themeTint="99"/>
    </w:rPr>
  </w:style>
  <w:style w:type="paragraph" w:customStyle="1" w:styleId="6DCE0E6BC20E45F09B61124EC85DB83E">
    <w:name w:val="6DCE0E6BC20E45F09B61124EC85DB83E"/>
  </w:style>
  <w:style w:type="paragraph" w:customStyle="1" w:styleId="3218AC771EF340BF966CEED5171517EE">
    <w:name w:val="3218AC771EF340BF966CEED5171517E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63A3EB77BE443FF94F1A8AB81B5E9AC">
    <w:name w:val="D63A3EB77BE443FF94F1A8AB81B5E9AC"/>
  </w:style>
  <w:style w:type="paragraph" w:customStyle="1" w:styleId="8841E55DD40C4BC18B144686DE7DA306">
    <w:name w:val="8841E55DD40C4BC18B144686DE7DA306"/>
  </w:style>
  <w:style w:type="paragraph" w:customStyle="1" w:styleId="E1BB0FE291D648D6BFA9E29DA0C71A13">
    <w:name w:val="E1BB0FE291D648D6BFA9E29DA0C71A13"/>
  </w:style>
  <w:style w:type="paragraph" w:customStyle="1" w:styleId="3190F3B2C3114E479A24B8BE61236364">
    <w:name w:val="3190F3B2C3114E479A24B8BE61236364"/>
  </w:style>
  <w:style w:type="paragraph" w:customStyle="1" w:styleId="D3FFD2371C004895A7C9E6FBCE734D99">
    <w:name w:val="D3FFD2371C004895A7C9E6FBCE734D99"/>
  </w:style>
  <w:style w:type="paragraph" w:customStyle="1" w:styleId="68C172BE3F014986B3F38372D66E3FF6">
    <w:name w:val="68C172BE3F014986B3F38372D66E3F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E1F3F9-1F9F-426A-90A9-228DC453D285}"/>
</file>

<file path=customXml/itemProps2.xml><?xml version="1.0" encoding="utf-8"?>
<ds:datastoreItem xmlns:ds="http://schemas.openxmlformats.org/officeDocument/2006/customXml" ds:itemID="{5FD951E0-C536-44F1-A4FE-A41E5CD78CDD}"/>
</file>

<file path=customXml/itemProps3.xml><?xml version="1.0" encoding="utf-8"?>
<ds:datastoreItem xmlns:ds="http://schemas.openxmlformats.org/officeDocument/2006/customXml" ds:itemID="{BA1F37E5-0E0B-4C7E-B05B-C1BE79768B91}"/>
</file>

<file path=docProps/app.xml><?xml version="1.0" encoding="utf-8"?>
<Properties xmlns="http://schemas.openxmlformats.org/officeDocument/2006/extended-properties" xmlns:vt="http://schemas.openxmlformats.org/officeDocument/2006/docPropsVTypes">
  <Template>Normal</Template>
  <TotalTime>24</TotalTime>
  <Pages>5</Pages>
  <Words>1674</Words>
  <Characters>9830</Characters>
  <Application>Microsoft Office Word</Application>
  <DocSecurity>0</DocSecurity>
  <Lines>178</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2020 21 115 Verksamheten i Europeiska unionen under 2020</vt:lpstr>
      <vt:lpstr>
      </vt:lpstr>
    </vt:vector>
  </TitlesOfParts>
  <Company>Sveriges riksdag</Company>
  <LinksUpToDate>false</LinksUpToDate>
  <CharactersWithSpaces>11465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