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3E89A" w14:textId="77777777" w:rsidR="00FB32B9" w:rsidRDefault="00785166" w:rsidP="00FB32B9">
      <w:pPr>
        <w:pStyle w:val="UDrubrik"/>
        <w:tabs>
          <w:tab w:val="left" w:pos="1701"/>
          <w:tab w:val="left" w:pos="1985"/>
        </w:tabs>
        <w:rPr>
          <w:rFonts w:cs="Arial"/>
          <w:sz w:val="28"/>
        </w:rPr>
      </w:pPr>
    </w:p>
    <w:p w14:paraId="1D23E89B" w14:textId="77777777" w:rsidR="00FB32B9" w:rsidRDefault="00785166" w:rsidP="00FB32B9">
      <w:pPr>
        <w:pStyle w:val="UDrubrik"/>
        <w:tabs>
          <w:tab w:val="left" w:pos="1701"/>
          <w:tab w:val="left" w:pos="1985"/>
        </w:tabs>
        <w:rPr>
          <w:rFonts w:cs="Arial"/>
          <w:sz w:val="28"/>
        </w:rPr>
      </w:pPr>
    </w:p>
    <w:p w14:paraId="1D23E89C" w14:textId="77777777" w:rsidR="00FB32B9" w:rsidRDefault="00785166" w:rsidP="00FB32B9">
      <w:pPr>
        <w:pStyle w:val="UDrubrik"/>
        <w:tabs>
          <w:tab w:val="left" w:pos="1701"/>
          <w:tab w:val="left" w:pos="1985"/>
        </w:tabs>
        <w:rPr>
          <w:rFonts w:cs="Arial"/>
          <w:sz w:val="28"/>
        </w:rPr>
      </w:pPr>
    </w:p>
    <w:p w14:paraId="1D23E89D" w14:textId="77777777" w:rsidR="00FB32B9" w:rsidRDefault="00785166" w:rsidP="00FB32B9">
      <w:pPr>
        <w:pStyle w:val="UDrubrik"/>
        <w:tabs>
          <w:tab w:val="left" w:pos="1701"/>
          <w:tab w:val="left" w:pos="1985"/>
        </w:tabs>
        <w:rPr>
          <w:rFonts w:cs="Arial"/>
          <w:sz w:val="28"/>
        </w:rPr>
      </w:pPr>
    </w:p>
    <w:p w14:paraId="1D23E89E" w14:textId="322EAB9D" w:rsidR="00FB32B9" w:rsidRDefault="00785166" w:rsidP="00FB32B9">
      <w:pPr>
        <w:pStyle w:val="UDrubrik"/>
        <w:tabs>
          <w:tab w:val="left" w:pos="1701"/>
          <w:tab w:val="left" w:pos="1985"/>
        </w:tabs>
        <w:rPr>
          <w:rFonts w:cs="Arial"/>
          <w:sz w:val="28"/>
        </w:rPr>
      </w:pPr>
      <w:r>
        <w:rPr>
          <w:rFonts w:cs="Arial"/>
          <w:sz w:val="28"/>
        </w:rPr>
        <w:t xml:space="preserve">Troliga A-punkter inför kommande rådsmöten som </w:t>
      </w:r>
      <w:r w:rsidR="00D800C2">
        <w:rPr>
          <w:rFonts w:cs="Arial"/>
          <w:sz w:val="28"/>
        </w:rPr>
        <w:t>förväntas godkännas</w:t>
      </w:r>
      <w:r>
        <w:rPr>
          <w:rFonts w:cs="Arial"/>
          <w:sz w:val="28"/>
        </w:rPr>
        <w:t xml:space="preserve"> vid </w:t>
      </w:r>
      <w:r>
        <w:rPr>
          <w:rFonts w:cs="Arial"/>
          <w:sz w:val="28"/>
        </w:rPr>
        <w:t>Coreper I</w:t>
      </w:r>
      <w:r>
        <w:rPr>
          <w:rFonts w:cs="Arial"/>
          <w:sz w:val="28"/>
        </w:rPr>
        <w:t xml:space="preserve"> den</w:t>
      </w:r>
      <w:r w:rsidR="00D800C2">
        <w:rPr>
          <w:rFonts w:cs="Arial"/>
          <w:sz w:val="28"/>
        </w:rPr>
        <w:t xml:space="preserve"> 20 januari 2017</w:t>
      </w:r>
      <w:r>
        <w:rPr>
          <w:rFonts w:cs="Arial"/>
          <w:sz w:val="28"/>
        </w:rPr>
        <w:t>.</w:t>
      </w:r>
    </w:p>
    <w:p w14:paraId="1D23E89F" w14:textId="77777777" w:rsidR="00FB32B9" w:rsidRDefault="00785166" w:rsidP="00FB32B9">
      <w:pPr>
        <w:pStyle w:val="Brdtext"/>
      </w:pPr>
    </w:p>
    <w:p w14:paraId="1D23E8A1" w14:textId="77777777" w:rsidR="00FB32B9" w:rsidRDefault="00785166">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D23E8A2" w14:textId="77777777" w:rsidR="00D957FB" w:rsidRPr="00283DF3" w:rsidRDefault="00785166">
          <w:pPr>
            <w:pStyle w:val="Innehllsfrteckningsrubrik"/>
            <w:rPr>
              <w:color w:val="auto"/>
              <w:lang w:val="sv-SE"/>
            </w:rPr>
          </w:pPr>
          <w:r w:rsidRPr="00283DF3">
            <w:rPr>
              <w:color w:val="auto"/>
              <w:lang w:val="sv-SE"/>
            </w:rPr>
            <w:t>Innehållsförteckning</w:t>
          </w:r>
        </w:p>
        <w:p w14:paraId="1D23E8A3" w14:textId="77777777" w:rsidR="00DA7250" w:rsidRPr="00283DF3" w:rsidRDefault="00785166" w:rsidP="00DA7250">
          <w:pPr>
            <w:rPr>
              <w:lang w:eastAsia="ja-JP"/>
            </w:rPr>
          </w:pPr>
        </w:p>
        <w:p w14:paraId="636572AE" w14:textId="77777777" w:rsidR="00D800C2" w:rsidRDefault="00785166">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72519648" w:history="1">
            <w:r w:rsidR="00D800C2" w:rsidRPr="006542F3">
              <w:rPr>
                <w:rStyle w:val="Hyperlnk"/>
                <w:noProof/>
              </w:rPr>
              <w:t>1.</w:t>
            </w:r>
            <w:r w:rsidR="00D800C2">
              <w:rPr>
                <w:rFonts w:asciiTheme="minorHAnsi" w:eastAsiaTheme="minorEastAsia" w:hAnsiTheme="minorHAnsi" w:cstheme="minorBidi"/>
                <w:noProof/>
                <w:lang w:eastAsia="sv-SE"/>
              </w:rPr>
              <w:tab/>
            </w:r>
            <w:r w:rsidR="00D800C2" w:rsidRPr="006542F3">
              <w:rPr>
                <w:rStyle w:val="Hyperlnk"/>
                <w:noProof/>
              </w:rPr>
              <w:t>Replies to written questions put to the Council by Members of the European Parliament =Adoption by silence procedure (+)</w:t>
            </w:r>
            <w:r w:rsidR="00D800C2">
              <w:rPr>
                <w:noProof/>
                <w:webHidden/>
              </w:rPr>
              <w:tab/>
            </w:r>
            <w:r w:rsidR="00D800C2">
              <w:rPr>
                <w:noProof/>
                <w:webHidden/>
              </w:rPr>
              <w:fldChar w:fldCharType="begin"/>
            </w:r>
            <w:r w:rsidR="00D800C2">
              <w:rPr>
                <w:noProof/>
                <w:webHidden/>
              </w:rPr>
              <w:instrText xml:space="preserve"> PAGEREF _Toc472519648 \h </w:instrText>
            </w:r>
            <w:r w:rsidR="00D800C2">
              <w:rPr>
                <w:noProof/>
                <w:webHidden/>
              </w:rPr>
            </w:r>
            <w:r w:rsidR="00D800C2">
              <w:rPr>
                <w:noProof/>
                <w:webHidden/>
              </w:rPr>
              <w:fldChar w:fldCharType="separate"/>
            </w:r>
            <w:r w:rsidR="00D800C2">
              <w:rPr>
                <w:noProof/>
                <w:webHidden/>
              </w:rPr>
              <w:t>4</w:t>
            </w:r>
            <w:r w:rsidR="00D800C2">
              <w:rPr>
                <w:noProof/>
                <w:webHidden/>
              </w:rPr>
              <w:fldChar w:fldCharType="end"/>
            </w:r>
          </w:hyperlink>
        </w:p>
        <w:p w14:paraId="45ED6AC2" w14:textId="77777777" w:rsidR="00D800C2" w:rsidRDefault="00D800C2">
          <w:pPr>
            <w:pStyle w:val="Innehll1"/>
            <w:tabs>
              <w:tab w:val="left" w:pos="440"/>
              <w:tab w:val="right" w:leader="dot" w:pos="9062"/>
            </w:tabs>
            <w:rPr>
              <w:rFonts w:asciiTheme="minorHAnsi" w:eastAsiaTheme="minorEastAsia" w:hAnsiTheme="minorHAnsi" w:cstheme="minorBidi"/>
              <w:noProof/>
              <w:lang w:eastAsia="sv-SE"/>
            </w:rPr>
          </w:pPr>
          <w:hyperlink w:anchor="_Toc472519649" w:history="1">
            <w:r w:rsidRPr="006542F3">
              <w:rPr>
                <w:rStyle w:val="Hyperlnk"/>
                <w:noProof/>
              </w:rPr>
              <w:t>2.</w:t>
            </w:r>
            <w:r>
              <w:rPr>
                <w:rFonts w:asciiTheme="minorHAnsi" w:eastAsiaTheme="minorEastAsia" w:hAnsiTheme="minorHAnsi" w:cstheme="minorBidi"/>
                <w:noProof/>
                <w:lang w:eastAsia="sv-SE"/>
              </w:rPr>
              <w:tab/>
            </w:r>
            <w:r w:rsidRPr="006542F3">
              <w:rPr>
                <w:rStyle w:val="Hyperlnk"/>
                <w:noProof/>
              </w:rPr>
              <w:t>List of working parties which will be officially organised in Malta under the Maltese Presidency (First half of 2017)</w:t>
            </w:r>
            <w:r>
              <w:rPr>
                <w:noProof/>
                <w:webHidden/>
              </w:rPr>
              <w:tab/>
            </w:r>
            <w:r>
              <w:rPr>
                <w:noProof/>
                <w:webHidden/>
              </w:rPr>
              <w:fldChar w:fldCharType="begin"/>
            </w:r>
            <w:r>
              <w:rPr>
                <w:noProof/>
                <w:webHidden/>
              </w:rPr>
              <w:instrText xml:space="preserve"> PAGEREF _Toc472519649 \h </w:instrText>
            </w:r>
            <w:r>
              <w:rPr>
                <w:noProof/>
                <w:webHidden/>
              </w:rPr>
            </w:r>
            <w:r>
              <w:rPr>
                <w:noProof/>
                <w:webHidden/>
              </w:rPr>
              <w:fldChar w:fldCharType="separate"/>
            </w:r>
            <w:r>
              <w:rPr>
                <w:noProof/>
                <w:webHidden/>
              </w:rPr>
              <w:t>4</w:t>
            </w:r>
            <w:r>
              <w:rPr>
                <w:noProof/>
                <w:webHidden/>
              </w:rPr>
              <w:fldChar w:fldCharType="end"/>
            </w:r>
          </w:hyperlink>
        </w:p>
        <w:p w14:paraId="40255D62" w14:textId="77777777" w:rsidR="00D800C2" w:rsidRDefault="00D800C2">
          <w:pPr>
            <w:pStyle w:val="Innehll1"/>
            <w:tabs>
              <w:tab w:val="left" w:pos="440"/>
              <w:tab w:val="right" w:leader="dot" w:pos="9062"/>
            </w:tabs>
            <w:rPr>
              <w:rFonts w:asciiTheme="minorHAnsi" w:eastAsiaTheme="minorEastAsia" w:hAnsiTheme="minorHAnsi" w:cstheme="minorBidi"/>
              <w:noProof/>
              <w:lang w:eastAsia="sv-SE"/>
            </w:rPr>
          </w:pPr>
          <w:hyperlink w:anchor="_Toc472519650" w:history="1">
            <w:r w:rsidRPr="006542F3">
              <w:rPr>
                <w:rStyle w:val="Hyperlnk"/>
                <w:noProof/>
              </w:rPr>
              <w:t>3.</w:t>
            </w:r>
            <w:r>
              <w:rPr>
                <w:rFonts w:asciiTheme="minorHAnsi" w:eastAsiaTheme="minorEastAsia" w:hAnsiTheme="minorHAnsi" w:cstheme="minorBidi"/>
                <w:noProof/>
                <w:lang w:eastAsia="sv-SE"/>
              </w:rPr>
              <w:tab/>
            </w:r>
            <w:r w:rsidRPr="006542F3">
              <w:rPr>
                <w:rStyle w:val="Hyperlnk"/>
                <w:noProof/>
              </w:rPr>
              <w:t>Case C-528/16 - Request for preliminary ruling Confédération paysanne e.a. (Juridiction de renvoi: Conseil d'Etat - France)</w:t>
            </w:r>
            <w:r>
              <w:rPr>
                <w:noProof/>
                <w:webHidden/>
              </w:rPr>
              <w:tab/>
            </w:r>
            <w:r>
              <w:rPr>
                <w:noProof/>
                <w:webHidden/>
              </w:rPr>
              <w:fldChar w:fldCharType="begin"/>
            </w:r>
            <w:r>
              <w:rPr>
                <w:noProof/>
                <w:webHidden/>
              </w:rPr>
              <w:instrText xml:space="preserve"> PAGEREF _Toc472519650 \h </w:instrText>
            </w:r>
            <w:r>
              <w:rPr>
                <w:noProof/>
                <w:webHidden/>
              </w:rPr>
            </w:r>
            <w:r>
              <w:rPr>
                <w:noProof/>
                <w:webHidden/>
              </w:rPr>
              <w:fldChar w:fldCharType="separate"/>
            </w:r>
            <w:r>
              <w:rPr>
                <w:noProof/>
                <w:webHidden/>
              </w:rPr>
              <w:t>4</w:t>
            </w:r>
            <w:r>
              <w:rPr>
                <w:noProof/>
                <w:webHidden/>
              </w:rPr>
              <w:fldChar w:fldCharType="end"/>
            </w:r>
          </w:hyperlink>
        </w:p>
        <w:p w14:paraId="747C4853" w14:textId="77777777" w:rsidR="00D800C2" w:rsidRDefault="00D800C2">
          <w:pPr>
            <w:pStyle w:val="Innehll1"/>
            <w:tabs>
              <w:tab w:val="left" w:pos="440"/>
              <w:tab w:val="right" w:leader="dot" w:pos="9062"/>
            </w:tabs>
            <w:rPr>
              <w:rFonts w:asciiTheme="minorHAnsi" w:eastAsiaTheme="minorEastAsia" w:hAnsiTheme="minorHAnsi" w:cstheme="minorBidi"/>
              <w:noProof/>
              <w:lang w:eastAsia="sv-SE"/>
            </w:rPr>
          </w:pPr>
          <w:hyperlink w:anchor="_Toc472519651" w:history="1">
            <w:r w:rsidRPr="006542F3">
              <w:rPr>
                <w:rStyle w:val="Hyperlnk"/>
                <w:noProof/>
              </w:rPr>
              <w:t>4.</w:t>
            </w:r>
            <w:r>
              <w:rPr>
                <w:rFonts w:asciiTheme="minorHAnsi" w:eastAsiaTheme="minorEastAsia" w:hAnsiTheme="minorHAnsi" w:cstheme="minorBidi"/>
                <w:noProof/>
                <w:lang w:eastAsia="sv-SE"/>
              </w:rPr>
              <w:tab/>
            </w:r>
            <w:r w:rsidRPr="006542F3">
              <w:rPr>
                <w:rStyle w:val="Hyperlnk"/>
                <w:noProof/>
              </w:rPr>
              <w:t>Case C-272/15 -Judgment of the Court of Justice of 21 December 2016 Preliminary reference, Swiss International Air Lines (Referring court: Court of Appeal (England &amp;amp; Wales) (Civil Division) - United Kingdom)</w:t>
            </w:r>
            <w:r>
              <w:rPr>
                <w:noProof/>
                <w:webHidden/>
              </w:rPr>
              <w:tab/>
            </w:r>
            <w:r>
              <w:rPr>
                <w:noProof/>
                <w:webHidden/>
              </w:rPr>
              <w:fldChar w:fldCharType="begin"/>
            </w:r>
            <w:r>
              <w:rPr>
                <w:noProof/>
                <w:webHidden/>
              </w:rPr>
              <w:instrText xml:space="preserve"> PAGEREF _Toc472519651 \h </w:instrText>
            </w:r>
            <w:r>
              <w:rPr>
                <w:noProof/>
                <w:webHidden/>
              </w:rPr>
            </w:r>
            <w:r>
              <w:rPr>
                <w:noProof/>
                <w:webHidden/>
              </w:rPr>
              <w:fldChar w:fldCharType="separate"/>
            </w:r>
            <w:r>
              <w:rPr>
                <w:noProof/>
                <w:webHidden/>
              </w:rPr>
              <w:t>5</w:t>
            </w:r>
            <w:r>
              <w:rPr>
                <w:noProof/>
                <w:webHidden/>
              </w:rPr>
              <w:fldChar w:fldCharType="end"/>
            </w:r>
          </w:hyperlink>
        </w:p>
        <w:p w14:paraId="5EEF7C2E" w14:textId="77777777" w:rsidR="00D800C2" w:rsidRDefault="00D800C2">
          <w:pPr>
            <w:pStyle w:val="Innehll1"/>
            <w:tabs>
              <w:tab w:val="left" w:pos="440"/>
              <w:tab w:val="right" w:leader="dot" w:pos="9062"/>
            </w:tabs>
            <w:rPr>
              <w:rFonts w:asciiTheme="minorHAnsi" w:eastAsiaTheme="minorEastAsia" w:hAnsiTheme="minorHAnsi" w:cstheme="minorBidi"/>
              <w:noProof/>
              <w:lang w:eastAsia="sv-SE"/>
            </w:rPr>
          </w:pPr>
          <w:hyperlink w:anchor="_Toc472519652" w:history="1">
            <w:r w:rsidRPr="006542F3">
              <w:rPr>
                <w:rStyle w:val="Hyperlnk"/>
                <w:noProof/>
              </w:rPr>
              <w:t>5.</w:t>
            </w:r>
            <w:r>
              <w:rPr>
                <w:rFonts w:asciiTheme="minorHAnsi" w:eastAsiaTheme="minorEastAsia" w:hAnsiTheme="minorHAnsi" w:cstheme="minorBidi"/>
                <w:noProof/>
                <w:lang w:eastAsia="sv-SE"/>
              </w:rPr>
              <w:tab/>
            </w:r>
            <w:r w:rsidRPr="006542F3">
              <w:rPr>
                <w:rStyle w:val="Hyperlnk"/>
                <w:noProof/>
              </w:rPr>
              <w:t>European Scientific and Technical Committee Draft Council Decision appointing a member</w:t>
            </w:r>
            <w:r>
              <w:rPr>
                <w:noProof/>
                <w:webHidden/>
              </w:rPr>
              <w:tab/>
            </w:r>
            <w:r>
              <w:rPr>
                <w:noProof/>
                <w:webHidden/>
              </w:rPr>
              <w:fldChar w:fldCharType="begin"/>
            </w:r>
            <w:r>
              <w:rPr>
                <w:noProof/>
                <w:webHidden/>
              </w:rPr>
              <w:instrText xml:space="preserve"> PAGEREF _Toc472519652 \h </w:instrText>
            </w:r>
            <w:r>
              <w:rPr>
                <w:noProof/>
                <w:webHidden/>
              </w:rPr>
            </w:r>
            <w:r>
              <w:rPr>
                <w:noProof/>
                <w:webHidden/>
              </w:rPr>
              <w:fldChar w:fldCharType="separate"/>
            </w:r>
            <w:r>
              <w:rPr>
                <w:noProof/>
                <w:webHidden/>
              </w:rPr>
              <w:t>5</w:t>
            </w:r>
            <w:r>
              <w:rPr>
                <w:noProof/>
                <w:webHidden/>
              </w:rPr>
              <w:fldChar w:fldCharType="end"/>
            </w:r>
          </w:hyperlink>
        </w:p>
        <w:p w14:paraId="247BDD6F" w14:textId="77777777" w:rsidR="00D800C2" w:rsidRDefault="00D800C2">
          <w:pPr>
            <w:pStyle w:val="Innehll1"/>
            <w:tabs>
              <w:tab w:val="left" w:pos="440"/>
              <w:tab w:val="right" w:leader="dot" w:pos="9062"/>
            </w:tabs>
            <w:rPr>
              <w:rFonts w:asciiTheme="minorHAnsi" w:eastAsiaTheme="minorEastAsia" w:hAnsiTheme="minorHAnsi" w:cstheme="minorBidi"/>
              <w:noProof/>
              <w:lang w:eastAsia="sv-SE"/>
            </w:rPr>
          </w:pPr>
          <w:hyperlink w:anchor="_Toc472519653" w:history="1">
            <w:r w:rsidRPr="006542F3">
              <w:rPr>
                <w:rStyle w:val="Hyperlnk"/>
                <w:noProof/>
              </w:rPr>
              <w:t>6.</w:t>
            </w:r>
            <w:r>
              <w:rPr>
                <w:rFonts w:asciiTheme="minorHAnsi" w:eastAsiaTheme="minorEastAsia" w:hAnsiTheme="minorHAnsi" w:cstheme="minorBidi"/>
                <w:noProof/>
                <w:lang w:eastAsia="sv-SE"/>
              </w:rPr>
              <w:tab/>
            </w:r>
            <w:r w:rsidRPr="006542F3">
              <w:rPr>
                <w:rStyle w:val="Hyperlnk"/>
                <w:noProof/>
              </w:rPr>
              <w:t>Governing Board of the European Agency for Safety and Health at Work Draft Council Decision appointing a member and an alternate member for Slovakia and United Kingdom</w:t>
            </w:r>
            <w:r>
              <w:rPr>
                <w:noProof/>
                <w:webHidden/>
              </w:rPr>
              <w:tab/>
            </w:r>
            <w:r>
              <w:rPr>
                <w:noProof/>
                <w:webHidden/>
              </w:rPr>
              <w:fldChar w:fldCharType="begin"/>
            </w:r>
            <w:r>
              <w:rPr>
                <w:noProof/>
                <w:webHidden/>
              </w:rPr>
              <w:instrText xml:space="preserve"> PAGEREF _Toc472519653 \h </w:instrText>
            </w:r>
            <w:r>
              <w:rPr>
                <w:noProof/>
                <w:webHidden/>
              </w:rPr>
            </w:r>
            <w:r>
              <w:rPr>
                <w:noProof/>
                <w:webHidden/>
              </w:rPr>
              <w:fldChar w:fldCharType="separate"/>
            </w:r>
            <w:r>
              <w:rPr>
                <w:noProof/>
                <w:webHidden/>
              </w:rPr>
              <w:t>6</w:t>
            </w:r>
            <w:r>
              <w:rPr>
                <w:noProof/>
                <w:webHidden/>
              </w:rPr>
              <w:fldChar w:fldCharType="end"/>
            </w:r>
          </w:hyperlink>
        </w:p>
        <w:p w14:paraId="3EEAB44E" w14:textId="77777777" w:rsidR="00D800C2" w:rsidRDefault="00D800C2">
          <w:pPr>
            <w:pStyle w:val="Innehll1"/>
            <w:tabs>
              <w:tab w:val="left" w:pos="440"/>
              <w:tab w:val="right" w:leader="dot" w:pos="9062"/>
            </w:tabs>
            <w:rPr>
              <w:rFonts w:asciiTheme="minorHAnsi" w:eastAsiaTheme="minorEastAsia" w:hAnsiTheme="minorHAnsi" w:cstheme="minorBidi"/>
              <w:noProof/>
              <w:lang w:eastAsia="sv-SE"/>
            </w:rPr>
          </w:pPr>
          <w:hyperlink w:anchor="_Toc472519654" w:history="1">
            <w:r w:rsidRPr="006542F3">
              <w:rPr>
                <w:rStyle w:val="Hyperlnk"/>
                <w:noProof/>
              </w:rPr>
              <w:t>7.</w:t>
            </w:r>
            <w:r>
              <w:rPr>
                <w:rFonts w:asciiTheme="minorHAnsi" w:eastAsiaTheme="minorEastAsia" w:hAnsiTheme="minorHAnsi" w:cstheme="minorBidi"/>
                <w:noProof/>
                <w:lang w:eastAsia="sv-SE"/>
              </w:rPr>
              <w:tab/>
            </w:r>
            <w:r w:rsidRPr="006542F3">
              <w:rPr>
                <w:rStyle w:val="Hyperlnk"/>
                <w:noProof/>
              </w:rPr>
              <w:t>Advisory Committee on Freedom of Movement for Workers Draft Council Decision appointing members and alternate members for Portugal</w:t>
            </w:r>
            <w:r>
              <w:rPr>
                <w:noProof/>
                <w:webHidden/>
              </w:rPr>
              <w:tab/>
            </w:r>
            <w:r>
              <w:rPr>
                <w:noProof/>
                <w:webHidden/>
              </w:rPr>
              <w:fldChar w:fldCharType="begin"/>
            </w:r>
            <w:r>
              <w:rPr>
                <w:noProof/>
                <w:webHidden/>
              </w:rPr>
              <w:instrText xml:space="preserve"> PAGEREF _Toc472519654 \h </w:instrText>
            </w:r>
            <w:r>
              <w:rPr>
                <w:noProof/>
                <w:webHidden/>
              </w:rPr>
            </w:r>
            <w:r>
              <w:rPr>
                <w:noProof/>
                <w:webHidden/>
              </w:rPr>
              <w:fldChar w:fldCharType="separate"/>
            </w:r>
            <w:r>
              <w:rPr>
                <w:noProof/>
                <w:webHidden/>
              </w:rPr>
              <w:t>6</w:t>
            </w:r>
            <w:r>
              <w:rPr>
                <w:noProof/>
                <w:webHidden/>
              </w:rPr>
              <w:fldChar w:fldCharType="end"/>
            </w:r>
          </w:hyperlink>
        </w:p>
        <w:p w14:paraId="4D13EB07" w14:textId="77777777" w:rsidR="00D800C2" w:rsidRDefault="00D800C2">
          <w:pPr>
            <w:pStyle w:val="Innehll1"/>
            <w:tabs>
              <w:tab w:val="left" w:pos="440"/>
              <w:tab w:val="right" w:leader="dot" w:pos="9062"/>
            </w:tabs>
            <w:rPr>
              <w:rFonts w:asciiTheme="minorHAnsi" w:eastAsiaTheme="minorEastAsia" w:hAnsiTheme="minorHAnsi" w:cstheme="minorBidi"/>
              <w:noProof/>
              <w:lang w:eastAsia="sv-SE"/>
            </w:rPr>
          </w:pPr>
          <w:hyperlink w:anchor="_Toc472519655" w:history="1">
            <w:r w:rsidRPr="006542F3">
              <w:rPr>
                <w:rStyle w:val="Hyperlnk"/>
                <w:noProof/>
              </w:rPr>
              <w:t>8.</w:t>
            </w:r>
            <w:r>
              <w:rPr>
                <w:rFonts w:asciiTheme="minorHAnsi" w:eastAsiaTheme="minorEastAsia" w:hAnsiTheme="minorHAnsi" w:cstheme="minorBidi"/>
                <w:noProof/>
                <w:lang w:eastAsia="sv-SE"/>
              </w:rPr>
              <w:tab/>
            </w:r>
            <w:r w:rsidRPr="006542F3">
              <w:rPr>
                <w:rStyle w:val="Hyperlnk"/>
                <w:noProof/>
              </w:rPr>
              <w:t>Governing Board of the European Foundation for the Improvement of Living and Working Conditions Draft Council Decision appointing members and alternate members for Bulgaria, Italy, Lithuania, Luxembourg, Malta, Austria and Slovakia</w:t>
            </w:r>
            <w:r>
              <w:rPr>
                <w:noProof/>
                <w:webHidden/>
              </w:rPr>
              <w:tab/>
            </w:r>
            <w:r>
              <w:rPr>
                <w:noProof/>
                <w:webHidden/>
              </w:rPr>
              <w:fldChar w:fldCharType="begin"/>
            </w:r>
            <w:r>
              <w:rPr>
                <w:noProof/>
                <w:webHidden/>
              </w:rPr>
              <w:instrText xml:space="preserve"> PAGEREF _Toc472519655 \h </w:instrText>
            </w:r>
            <w:r>
              <w:rPr>
                <w:noProof/>
                <w:webHidden/>
              </w:rPr>
            </w:r>
            <w:r>
              <w:rPr>
                <w:noProof/>
                <w:webHidden/>
              </w:rPr>
              <w:fldChar w:fldCharType="separate"/>
            </w:r>
            <w:r>
              <w:rPr>
                <w:noProof/>
                <w:webHidden/>
              </w:rPr>
              <w:t>6</w:t>
            </w:r>
            <w:r>
              <w:rPr>
                <w:noProof/>
                <w:webHidden/>
              </w:rPr>
              <w:fldChar w:fldCharType="end"/>
            </w:r>
          </w:hyperlink>
        </w:p>
        <w:p w14:paraId="102C4B74" w14:textId="77777777" w:rsidR="00D800C2" w:rsidRDefault="00D800C2">
          <w:pPr>
            <w:pStyle w:val="Innehll1"/>
            <w:tabs>
              <w:tab w:val="left" w:pos="440"/>
              <w:tab w:val="right" w:leader="dot" w:pos="9062"/>
            </w:tabs>
            <w:rPr>
              <w:rFonts w:asciiTheme="minorHAnsi" w:eastAsiaTheme="minorEastAsia" w:hAnsiTheme="minorHAnsi" w:cstheme="minorBidi"/>
              <w:noProof/>
              <w:lang w:eastAsia="sv-SE"/>
            </w:rPr>
          </w:pPr>
          <w:hyperlink w:anchor="_Toc472519656" w:history="1">
            <w:r w:rsidRPr="006542F3">
              <w:rPr>
                <w:rStyle w:val="Hyperlnk"/>
                <w:noProof/>
              </w:rPr>
              <w:t>9.</w:t>
            </w:r>
            <w:r>
              <w:rPr>
                <w:rFonts w:asciiTheme="minorHAnsi" w:eastAsiaTheme="minorEastAsia" w:hAnsiTheme="minorHAnsi" w:cstheme="minorBidi"/>
                <w:noProof/>
                <w:lang w:eastAsia="sv-SE"/>
              </w:rPr>
              <w:tab/>
            </w:r>
            <w:r w:rsidRPr="006542F3">
              <w:rPr>
                <w:rStyle w:val="Hyperlnk"/>
                <w:noProof/>
              </w:rPr>
              <w:t>Commission delegated Regulation (EU) …/... of 30.11.2016 amending Regulation (EU) No 98/2013 of the European Parliament and of the Council, as regards adding aluminium powder to the list of explosives precursors in Annex II</w:t>
            </w:r>
            <w:r>
              <w:rPr>
                <w:noProof/>
                <w:webHidden/>
              </w:rPr>
              <w:tab/>
            </w:r>
            <w:r>
              <w:rPr>
                <w:noProof/>
                <w:webHidden/>
              </w:rPr>
              <w:fldChar w:fldCharType="begin"/>
            </w:r>
            <w:r>
              <w:rPr>
                <w:noProof/>
                <w:webHidden/>
              </w:rPr>
              <w:instrText xml:space="preserve"> PAGEREF _Toc472519656 \h </w:instrText>
            </w:r>
            <w:r>
              <w:rPr>
                <w:noProof/>
                <w:webHidden/>
              </w:rPr>
            </w:r>
            <w:r>
              <w:rPr>
                <w:noProof/>
                <w:webHidden/>
              </w:rPr>
              <w:fldChar w:fldCharType="separate"/>
            </w:r>
            <w:r>
              <w:rPr>
                <w:noProof/>
                <w:webHidden/>
              </w:rPr>
              <w:t>6</w:t>
            </w:r>
            <w:r>
              <w:rPr>
                <w:noProof/>
                <w:webHidden/>
              </w:rPr>
              <w:fldChar w:fldCharType="end"/>
            </w:r>
          </w:hyperlink>
        </w:p>
        <w:p w14:paraId="0E5767CD" w14:textId="77777777" w:rsidR="00D800C2" w:rsidRDefault="00D800C2">
          <w:pPr>
            <w:pStyle w:val="Innehll1"/>
            <w:tabs>
              <w:tab w:val="left" w:pos="660"/>
              <w:tab w:val="right" w:leader="dot" w:pos="9062"/>
            </w:tabs>
            <w:rPr>
              <w:rFonts w:asciiTheme="minorHAnsi" w:eastAsiaTheme="minorEastAsia" w:hAnsiTheme="minorHAnsi" w:cstheme="minorBidi"/>
              <w:noProof/>
              <w:lang w:eastAsia="sv-SE"/>
            </w:rPr>
          </w:pPr>
          <w:hyperlink w:anchor="_Toc472519657" w:history="1">
            <w:r w:rsidRPr="006542F3">
              <w:rPr>
                <w:rStyle w:val="Hyperlnk"/>
                <w:noProof/>
              </w:rPr>
              <w:t>10.</w:t>
            </w:r>
            <w:r>
              <w:rPr>
                <w:rFonts w:asciiTheme="minorHAnsi" w:eastAsiaTheme="minorEastAsia" w:hAnsiTheme="minorHAnsi" w:cstheme="minorBidi"/>
                <w:noProof/>
                <w:lang w:eastAsia="sv-SE"/>
              </w:rPr>
              <w:tab/>
            </w:r>
            <w:r w:rsidRPr="006542F3">
              <w:rPr>
                <w:rStyle w:val="Hyperlnk"/>
                <w:noProof/>
              </w:rPr>
              <w:t>Commission delegated Regulation (EU) …/... of 30.11.2016 amending Regulation (EU) No 98/2013 of the European Parliament and of the Council as regards adding magnesium nitrate hexahydrate to the list of explosives precursors in Annex II</w:t>
            </w:r>
            <w:r>
              <w:rPr>
                <w:noProof/>
                <w:webHidden/>
              </w:rPr>
              <w:tab/>
            </w:r>
            <w:r>
              <w:rPr>
                <w:noProof/>
                <w:webHidden/>
              </w:rPr>
              <w:fldChar w:fldCharType="begin"/>
            </w:r>
            <w:r>
              <w:rPr>
                <w:noProof/>
                <w:webHidden/>
              </w:rPr>
              <w:instrText xml:space="preserve"> PAGEREF _Toc472519657 \h </w:instrText>
            </w:r>
            <w:r>
              <w:rPr>
                <w:noProof/>
                <w:webHidden/>
              </w:rPr>
            </w:r>
            <w:r>
              <w:rPr>
                <w:noProof/>
                <w:webHidden/>
              </w:rPr>
              <w:fldChar w:fldCharType="separate"/>
            </w:r>
            <w:r>
              <w:rPr>
                <w:noProof/>
                <w:webHidden/>
              </w:rPr>
              <w:t>7</w:t>
            </w:r>
            <w:r>
              <w:rPr>
                <w:noProof/>
                <w:webHidden/>
              </w:rPr>
              <w:fldChar w:fldCharType="end"/>
            </w:r>
          </w:hyperlink>
        </w:p>
        <w:p w14:paraId="4A35E1F6" w14:textId="77777777" w:rsidR="00D800C2" w:rsidRDefault="00D800C2">
          <w:pPr>
            <w:pStyle w:val="Innehll1"/>
            <w:tabs>
              <w:tab w:val="left" w:pos="660"/>
              <w:tab w:val="right" w:leader="dot" w:pos="9062"/>
            </w:tabs>
            <w:rPr>
              <w:rFonts w:asciiTheme="minorHAnsi" w:eastAsiaTheme="minorEastAsia" w:hAnsiTheme="minorHAnsi" w:cstheme="minorBidi"/>
              <w:noProof/>
              <w:lang w:eastAsia="sv-SE"/>
            </w:rPr>
          </w:pPr>
          <w:hyperlink w:anchor="_Toc472519658" w:history="1">
            <w:r w:rsidRPr="006542F3">
              <w:rPr>
                <w:rStyle w:val="Hyperlnk"/>
                <w:noProof/>
              </w:rPr>
              <w:t>11.</w:t>
            </w:r>
            <w:r>
              <w:rPr>
                <w:rFonts w:asciiTheme="minorHAnsi" w:eastAsiaTheme="minorEastAsia" w:hAnsiTheme="minorHAnsi" w:cstheme="minorBidi"/>
                <w:noProof/>
                <w:lang w:eastAsia="sv-SE"/>
              </w:rPr>
              <w:tab/>
            </w:r>
            <w:r w:rsidRPr="006542F3">
              <w:rPr>
                <w:rStyle w:val="Hyperlnk"/>
                <w:noProof/>
              </w:rPr>
              <w:t>Commission delegated Regulation (EU) …/... of 30.11.2016 amending Regulation (EU) No 98/2013 of the European Parliament and of the Council, as regards adding magnesium powder to the list of explosives precursors in Annex II</w:t>
            </w:r>
            <w:r>
              <w:rPr>
                <w:noProof/>
                <w:webHidden/>
              </w:rPr>
              <w:tab/>
            </w:r>
            <w:r>
              <w:rPr>
                <w:noProof/>
                <w:webHidden/>
              </w:rPr>
              <w:fldChar w:fldCharType="begin"/>
            </w:r>
            <w:r>
              <w:rPr>
                <w:noProof/>
                <w:webHidden/>
              </w:rPr>
              <w:instrText xml:space="preserve"> PAGEREF _Toc472519658 \h </w:instrText>
            </w:r>
            <w:r>
              <w:rPr>
                <w:noProof/>
                <w:webHidden/>
              </w:rPr>
            </w:r>
            <w:r>
              <w:rPr>
                <w:noProof/>
                <w:webHidden/>
              </w:rPr>
              <w:fldChar w:fldCharType="separate"/>
            </w:r>
            <w:r>
              <w:rPr>
                <w:noProof/>
                <w:webHidden/>
              </w:rPr>
              <w:t>8</w:t>
            </w:r>
            <w:r>
              <w:rPr>
                <w:noProof/>
                <w:webHidden/>
              </w:rPr>
              <w:fldChar w:fldCharType="end"/>
            </w:r>
          </w:hyperlink>
        </w:p>
        <w:p w14:paraId="102A86F1" w14:textId="77777777" w:rsidR="00D800C2" w:rsidRDefault="00D800C2">
          <w:pPr>
            <w:pStyle w:val="Innehll1"/>
            <w:tabs>
              <w:tab w:val="left" w:pos="660"/>
              <w:tab w:val="right" w:leader="dot" w:pos="9062"/>
            </w:tabs>
            <w:rPr>
              <w:rFonts w:asciiTheme="minorHAnsi" w:eastAsiaTheme="minorEastAsia" w:hAnsiTheme="minorHAnsi" w:cstheme="minorBidi"/>
              <w:noProof/>
              <w:lang w:eastAsia="sv-SE"/>
            </w:rPr>
          </w:pPr>
          <w:hyperlink w:anchor="_Toc472519659" w:history="1">
            <w:r w:rsidRPr="006542F3">
              <w:rPr>
                <w:rStyle w:val="Hyperlnk"/>
                <w:noProof/>
              </w:rPr>
              <w:t>12.</w:t>
            </w:r>
            <w:r>
              <w:rPr>
                <w:rFonts w:asciiTheme="minorHAnsi" w:eastAsiaTheme="minorEastAsia" w:hAnsiTheme="minorHAnsi" w:cstheme="minorBidi"/>
                <w:noProof/>
                <w:lang w:eastAsia="sv-SE"/>
              </w:rPr>
              <w:tab/>
            </w:r>
            <w:r w:rsidRPr="006542F3">
              <w:rPr>
                <w:rStyle w:val="Hyperlnk"/>
                <w:noProof/>
              </w:rPr>
              <w:t>Commission delegated Regulation (EU) …/... of 30.11.2016 amending delegated Regulations (EU) No 1059/2010, (EU) No 1060/2010, (EU) No 1061/2010, (EU) No 1062/2010, (EU) No 626/2011, (EU) No 392/2012, (EU) No 874/2012, (EU) No 665/2013, (EU) No 811/2013, (EU) No 812/2013, (EU) No 65/2014, (EU) No 1254/2014, (EU) 2015/1094, (EU) 2015/1186 and (EU) 2015/1187 with regard to the use of tolerances in verification procedures</w:t>
            </w:r>
            <w:r>
              <w:rPr>
                <w:noProof/>
                <w:webHidden/>
              </w:rPr>
              <w:tab/>
            </w:r>
            <w:r>
              <w:rPr>
                <w:noProof/>
                <w:webHidden/>
              </w:rPr>
              <w:fldChar w:fldCharType="begin"/>
            </w:r>
            <w:r>
              <w:rPr>
                <w:noProof/>
                <w:webHidden/>
              </w:rPr>
              <w:instrText xml:space="preserve"> PAGEREF _Toc472519659 \h </w:instrText>
            </w:r>
            <w:r>
              <w:rPr>
                <w:noProof/>
                <w:webHidden/>
              </w:rPr>
            </w:r>
            <w:r>
              <w:rPr>
                <w:noProof/>
                <w:webHidden/>
              </w:rPr>
              <w:fldChar w:fldCharType="separate"/>
            </w:r>
            <w:r>
              <w:rPr>
                <w:noProof/>
                <w:webHidden/>
              </w:rPr>
              <w:t>9</w:t>
            </w:r>
            <w:r>
              <w:rPr>
                <w:noProof/>
                <w:webHidden/>
              </w:rPr>
              <w:fldChar w:fldCharType="end"/>
            </w:r>
          </w:hyperlink>
        </w:p>
        <w:p w14:paraId="4A878698" w14:textId="77777777" w:rsidR="00D800C2" w:rsidRDefault="00D800C2">
          <w:pPr>
            <w:pStyle w:val="Innehll1"/>
            <w:tabs>
              <w:tab w:val="left" w:pos="660"/>
              <w:tab w:val="right" w:leader="dot" w:pos="9062"/>
            </w:tabs>
            <w:rPr>
              <w:rFonts w:asciiTheme="minorHAnsi" w:eastAsiaTheme="minorEastAsia" w:hAnsiTheme="minorHAnsi" w:cstheme="minorBidi"/>
              <w:noProof/>
              <w:lang w:eastAsia="sv-SE"/>
            </w:rPr>
          </w:pPr>
          <w:hyperlink w:anchor="_Toc472519660" w:history="1">
            <w:r w:rsidRPr="006542F3">
              <w:rPr>
                <w:rStyle w:val="Hyperlnk"/>
                <w:noProof/>
              </w:rPr>
              <w:t>13.</w:t>
            </w:r>
            <w:r>
              <w:rPr>
                <w:rFonts w:asciiTheme="minorHAnsi" w:eastAsiaTheme="minorEastAsia" w:hAnsiTheme="minorHAnsi" w:cstheme="minorBidi"/>
                <w:noProof/>
                <w:lang w:eastAsia="sv-SE"/>
              </w:rPr>
              <w:tab/>
            </w:r>
            <w:r w:rsidRPr="006542F3">
              <w:rPr>
                <w:rStyle w:val="Hyperlnk"/>
                <w:noProof/>
              </w:rPr>
              <w:t>Commission Directive (EU) .../… of XXX amending, for the purpose of adopting specific limit values for chemicals used in toys, Appendix C to Annex II to Directive 2009/48/EC of the European Parliament and of the Council on the safety of toys, as regards bisphenol A</w:t>
            </w:r>
            <w:r>
              <w:rPr>
                <w:noProof/>
                <w:webHidden/>
              </w:rPr>
              <w:tab/>
            </w:r>
            <w:r>
              <w:rPr>
                <w:noProof/>
                <w:webHidden/>
              </w:rPr>
              <w:fldChar w:fldCharType="begin"/>
            </w:r>
            <w:r>
              <w:rPr>
                <w:noProof/>
                <w:webHidden/>
              </w:rPr>
              <w:instrText xml:space="preserve"> PAGEREF _Toc472519660 \h </w:instrText>
            </w:r>
            <w:r>
              <w:rPr>
                <w:noProof/>
                <w:webHidden/>
              </w:rPr>
            </w:r>
            <w:r>
              <w:rPr>
                <w:noProof/>
                <w:webHidden/>
              </w:rPr>
              <w:fldChar w:fldCharType="separate"/>
            </w:r>
            <w:r>
              <w:rPr>
                <w:noProof/>
                <w:webHidden/>
              </w:rPr>
              <w:t>9</w:t>
            </w:r>
            <w:r>
              <w:rPr>
                <w:noProof/>
                <w:webHidden/>
              </w:rPr>
              <w:fldChar w:fldCharType="end"/>
            </w:r>
          </w:hyperlink>
        </w:p>
        <w:p w14:paraId="4C435427" w14:textId="77777777" w:rsidR="00D800C2" w:rsidRDefault="00D800C2">
          <w:pPr>
            <w:pStyle w:val="Innehll1"/>
            <w:tabs>
              <w:tab w:val="left" w:pos="660"/>
              <w:tab w:val="right" w:leader="dot" w:pos="9062"/>
            </w:tabs>
            <w:rPr>
              <w:rFonts w:asciiTheme="minorHAnsi" w:eastAsiaTheme="minorEastAsia" w:hAnsiTheme="minorHAnsi" w:cstheme="minorBidi"/>
              <w:noProof/>
              <w:lang w:eastAsia="sv-SE"/>
            </w:rPr>
          </w:pPr>
          <w:hyperlink w:anchor="_Toc472519661" w:history="1">
            <w:r w:rsidRPr="006542F3">
              <w:rPr>
                <w:rStyle w:val="Hyperlnk"/>
                <w:noProof/>
              </w:rPr>
              <w:t>14.</w:t>
            </w:r>
            <w:r>
              <w:rPr>
                <w:rFonts w:asciiTheme="minorHAnsi" w:eastAsiaTheme="minorEastAsia" w:hAnsiTheme="minorHAnsi" w:cstheme="minorBidi"/>
                <w:noProof/>
                <w:lang w:eastAsia="sv-SE"/>
              </w:rPr>
              <w:tab/>
            </w:r>
            <w:r w:rsidRPr="006542F3">
              <w:rPr>
                <w:rStyle w:val="Hyperlnk"/>
                <w:noProof/>
              </w:rPr>
              <w:t>Commission Directive (EU) .../… of XXX amending, for the purpose of adopting specific limit values for chemicals used in toys, Appendix C to Annex II to Directive 2009/48/EC of the European Parliament and of the Council on the safety of toys, as regards phenol</w:t>
            </w:r>
            <w:r>
              <w:rPr>
                <w:noProof/>
                <w:webHidden/>
              </w:rPr>
              <w:tab/>
            </w:r>
            <w:r>
              <w:rPr>
                <w:noProof/>
                <w:webHidden/>
              </w:rPr>
              <w:fldChar w:fldCharType="begin"/>
            </w:r>
            <w:r>
              <w:rPr>
                <w:noProof/>
                <w:webHidden/>
              </w:rPr>
              <w:instrText xml:space="preserve"> PAGEREF _Toc472519661 \h </w:instrText>
            </w:r>
            <w:r>
              <w:rPr>
                <w:noProof/>
                <w:webHidden/>
              </w:rPr>
            </w:r>
            <w:r>
              <w:rPr>
                <w:noProof/>
                <w:webHidden/>
              </w:rPr>
              <w:fldChar w:fldCharType="separate"/>
            </w:r>
            <w:r>
              <w:rPr>
                <w:noProof/>
                <w:webHidden/>
              </w:rPr>
              <w:t>10</w:t>
            </w:r>
            <w:r>
              <w:rPr>
                <w:noProof/>
                <w:webHidden/>
              </w:rPr>
              <w:fldChar w:fldCharType="end"/>
            </w:r>
          </w:hyperlink>
        </w:p>
        <w:p w14:paraId="4E003B54" w14:textId="77777777" w:rsidR="00D800C2" w:rsidRDefault="00D800C2">
          <w:pPr>
            <w:pStyle w:val="Innehll1"/>
            <w:tabs>
              <w:tab w:val="left" w:pos="660"/>
              <w:tab w:val="right" w:leader="dot" w:pos="9062"/>
            </w:tabs>
            <w:rPr>
              <w:rFonts w:asciiTheme="minorHAnsi" w:eastAsiaTheme="minorEastAsia" w:hAnsiTheme="minorHAnsi" w:cstheme="minorBidi"/>
              <w:noProof/>
              <w:lang w:eastAsia="sv-SE"/>
            </w:rPr>
          </w:pPr>
          <w:hyperlink w:anchor="_Toc472519662" w:history="1">
            <w:r w:rsidRPr="006542F3">
              <w:rPr>
                <w:rStyle w:val="Hyperlnk"/>
                <w:noProof/>
              </w:rPr>
              <w:t>15.</w:t>
            </w:r>
            <w:r>
              <w:rPr>
                <w:rFonts w:asciiTheme="minorHAnsi" w:eastAsiaTheme="minorEastAsia" w:hAnsiTheme="minorHAnsi" w:cstheme="minorBidi"/>
                <w:noProof/>
                <w:lang w:eastAsia="sv-SE"/>
              </w:rPr>
              <w:tab/>
            </w:r>
            <w:r w:rsidRPr="006542F3">
              <w:rPr>
                <w:rStyle w:val="Hyperlnk"/>
                <w:noProof/>
              </w:rPr>
              <w:t xml:space="preserve">Commission Regulation (EU) …/… of XXX amending Annex to Regulation (EU) No 231/2012 laying down specifications for food additives listed in Annexes II and III to Regulation (EC) </w:t>
            </w:r>
            <w:r w:rsidRPr="006542F3">
              <w:rPr>
                <w:rStyle w:val="Hyperlnk"/>
                <w:noProof/>
              </w:rPr>
              <w:lastRenderedPageBreak/>
              <w:t>No 1333/2008 of the European Parliament and of the Council as regards specifications for basic methacrylate copolymer (E 1205)</w:t>
            </w:r>
            <w:r>
              <w:rPr>
                <w:noProof/>
                <w:webHidden/>
              </w:rPr>
              <w:tab/>
            </w:r>
            <w:r>
              <w:rPr>
                <w:noProof/>
                <w:webHidden/>
              </w:rPr>
              <w:fldChar w:fldCharType="begin"/>
            </w:r>
            <w:r>
              <w:rPr>
                <w:noProof/>
                <w:webHidden/>
              </w:rPr>
              <w:instrText xml:space="preserve"> PAGEREF _Toc472519662 \h </w:instrText>
            </w:r>
            <w:r>
              <w:rPr>
                <w:noProof/>
                <w:webHidden/>
              </w:rPr>
            </w:r>
            <w:r>
              <w:rPr>
                <w:noProof/>
                <w:webHidden/>
              </w:rPr>
              <w:fldChar w:fldCharType="separate"/>
            </w:r>
            <w:r>
              <w:rPr>
                <w:noProof/>
                <w:webHidden/>
              </w:rPr>
              <w:t>10</w:t>
            </w:r>
            <w:r>
              <w:rPr>
                <w:noProof/>
                <w:webHidden/>
              </w:rPr>
              <w:fldChar w:fldCharType="end"/>
            </w:r>
          </w:hyperlink>
        </w:p>
        <w:p w14:paraId="79F0D337" w14:textId="77777777" w:rsidR="00D800C2" w:rsidRDefault="00D800C2">
          <w:pPr>
            <w:pStyle w:val="Innehll1"/>
            <w:tabs>
              <w:tab w:val="left" w:pos="660"/>
              <w:tab w:val="right" w:leader="dot" w:pos="9062"/>
            </w:tabs>
            <w:rPr>
              <w:rFonts w:asciiTheme="minorHAnsi" w:eastAsiaTheme="minorEastAsia" w:hAnsiTheme="minorHAnsi" w:cstheme="minorBidi"/>
              <w:noProof/>
              <w:lang w:eastAsia="sv-SE"/>
            </w:rPr>
          </w:pPr>
          <w:hyperlink w:anchor="_Toc472519663" w:history="1">
            <w:r w:rsidRPr="006542F3">
              <w:rPr>
                <w:rStyle w:val="Hyperlnk"/>
                <w:noProof/>
              </w:rPr>
              <w:t>16.</w:t>
            </w:r>
            <w:r>
              <w:rPr>
                <w:rFonts w:asciiTheme="minorHAnsi" w:eastAsiaTheme="minorEastAsia" w:hAnsiTheme="minorHAnsi" w:cstheme="minorBidi"/>
                <w:noProof/>
                <w:lang w:eastAsia="sv-SE"/>
              </w:rPr>
              <w:tab/>
            </w:r>
            <w:r w:rsidRPr="006542F3">
              <w:rPr>
                <w:rStyle w:val="Hyperlnk"/>
                <w:noProof/>
              </w:rPr>
              <w:t>Commission Regulation (EU) …/… of XXX amending Annex II to Regulation (EC) No 1333/2008 of the European Parliament and of the Council as regards the use of Steviol glycosides (E 960) as a sweetener in certain energy-reduced confectionery products</w:t>
            </w:r>
            <w:r>
              <w:rPr>
                <w:noProof/>
                <w:webHidden/>
              </w:rPr>
              <w:tab/>
            </w:r>
            <w:r>
              <w:rPr>
                <w:noProof/>
                <w:webHidden/>
              </w:rPr>
              <w:fldChar w:fldCharType="begin"/>
            </w:r>
            <w:r>
              <w:rPr>
                <w:noProof/>
                <w:webHidden/>
              </w:rPr>
              <w:instrText xml:space="preserve"> PAGEREF _Toc472519663 \h </w:instrText>
            </w:r>
            <w:r>
              <w:rPr>
                <w:noProof/>
                <w:webHidden/>
              </w:rPr>
            </w:r>
            <w:r>
              <w:rPr>
                <w:noProof/>
                <w:webHidden/>
              </w:rPr>
              <w:fldChar w:fldCharType="separate"/>
            </w:r>
            <w:r>
              <w:rPr>
                <w:noProof/>
                <w:webHidden/>
              </w:rPr>
              <w:t>11</w:t>
            </w:r>
            <w:r>
              <w:rPr>
                <w:noProof/>
                <w:webHidden/>
              </w:rPr>
              <w:fldChar w:fldCharType="end"/>
            </w:r>
          </w:hyperlink>
        </w:p>
        <w:p w14:paraId="26E3CCAF" w14:textId="77777777" w:rsidR="00D800C2" w:rsidRDefault="00D800C2">
          <w:pPr>
            <w:pStyle w:val="Innehll1"/>
            <w:tabs>
              <w:tab w:val="left" w:pos="660"/>
              <w:tab w:val="right" w:leader="dot" w:pos="9062"/>
            </w:tabs>
            <w:rPr>
              <w:rFonts w:asciiTheme="minorHAnsi" w:eastAsiaTheme="minorEastAsia" w:hAnsiTheme="minorHAnsi" w:cstheme="minorBidi"/>
              <w:noProof/>
              <w:lang w:eastAsia="sv-SE"/>
            </w:rPr>
          </w:pPr>
          <w:hyperlink w:anchor="_Toc472519664" w:history="1">
            <w:r w:rsidRPr="006542F3">
              <w:rPr>
                <w:rStyle w:val="Hyperlnk"/>
                <w:noProof/>
              </w:rPr>
              <w:t>17.</w:t>
            </w:r>
            <w:r>
              <w:rPr>
                <w:rFonts w:asciiTheme="minorHAnsi" w:eastAsiaTheme="minorEastAsia" w:hAnsiTheme="minorHAnsi" w:cstheme="minorBidi"/>
                <w:noProof/>
                <w:lang w:eastAsia="sv-SE"/>
              </w:rPr>
              <w:tab/>
            </w:r>
            <w:r w:rsidRPr="006542F3">
              <w:rPr>
                <w:rStyle w:val="Hyperlnk"/>
                <w:noProof/>
              </w:rPr>
              <w:t>Commission Regulation (EU) No …/.. of XXX supplementing Regulation (EC) No 715/2007 of the European Parliament and of the Council on type-approval of motor vehicles with respect to emissions from light passenger and commercial vehicles (Euro 5 and Euro 6) and on access to vehicle repair and maintenance information, amending Directive 2007/46/EC of the European Parliament and of the Council, Commission Regulation (EC) No 692/2008 and Commission Regulation (EU) No 1230/2012 and repealing Regulation (EC) No 692/2008</w:t>
            </w:r>
            <w:r>
              <w:rPr>
                <w:noProof/>
                <w:webHidden/>
              </w:rPr>
              <w:tab/>
            </w:r>
            <w:r>
              <w:rPr>
                <w:noProof/>
                <w:webHidden/>
              </w:rPr>
              <w:fldChar w:fldCharType="begin"/>
            </w:r>
            <w:r>
              <w:rPr>
                <w:noProof/>
                <w:webHidden/>
              </w:rPr>
              <w:instrText xml:space="preserve"> PAGEREF _Toc472519664 \h </w:instrText>
            </w:r>
            <w:r>
              <w:rPr>
                <w:noProof/>
                <w:webHidden/>
              </w:rPr>
            </w:r>
            <w:r>
              <w:rPr>
                <w:noProof/>
                <w:webHidden/>
              </w:rPr>
              <w:fldChar w:fldCharType="separate"/>
            </w:r>
            <w:r>
              <w:rPr>
                <w:noProof/>
                <w:webHidden/>
              </w:rPr>
              <w:t>11</w:t>
            </w:r>
            <w:r>
              <w:rPr>
                <w:noProof/>
                <w:webHidden/>
              </w:rPr>
              <w:fldChar w:fldCharType="end"/>
            </w:r>
          </w:hyperlink>
        </w:p>
        <w:p w14:paraId="0C30180A" w14:textId="77777777" w:rsidR="00D800C2" w:rsidRDefault="00D800C2">
          <w:pPr>
            <w:pStyle w:val="Innehll1"/>
            <w:tabs>
              <w:tab w:val="left" w:pos="660"/>
              <w:tab w:val="right" w:leader="dot" w:pos="9062"/>
            </w:tabs>
            <w:rPr>
              <w:rFonts w:asciiTheme="minorHAnsi" w:eastAsiaTheme="minorEastAsia" w:hAnsiTheme="minorHAnsi" w:cstheme="minorBidi"/>
              <w:noProof/>
              <w:lang w:eastAsia="sv-SE"/>
            </w:rPr>
          </w:pPr>
          <w:hyperlink w:anchor="_Toc472519665" w:history="1">
            <w:r w:rsidRPr="006542F3">
              <w:rPr>
                <w:rStyle w:val="Hyperlnk"/>
                <w:noProof/>
              </w:rPr>
              <w:t>18.</w:t>
            </w:r>
            <w:r>
              <w:rPr>
                <w:rFonts w:asciiTheme="minorHAnsi" w:eastAsiaTheme="minorEastAsia" w:hAnsiTheme="minorHAnsi" w:cstheme="minorBidi"/>
                <w:noProof/>
                <w:lang w:eastAsia="sv-SE"/>
              </w:rPr>
              <w:tab/>
            </w:r>
            <w:r w:rsidRPr="006542F3">
              <w:rPr>
                <w:rStyle w:val="Hyperlnk"/>
                <w:noProof/>
              </w:rPr>
              <w:t>Commission Regulation (EU) …/… of XXX amending Annex I to Regulation (EC) No 1334/2008 of the European Parliament and of the Council as regards certain flavouring substances</w:t>
            </w:r>
            <w:r>
              <w:rPr>
                <w:noProof/>
                <w:webHidden/>
              </w:rPr>
              <w:tab/>
            </w:r>
            <w:r>
              <w:rPr>
                <w:noProof/>
                <w:webHidden/>
              </w:rPr>
              <w:fldChar w:fldCharType="begin"/>
            </w:r>
            <w:r>
              <w:rPr>
                <w:noProof/>
                <w:webHidden/>
              </w:rPr>
              <w:instrText xml:space="preserve"> PAGEREF _Toc472519665 \h </w:instrText>
            </w:r>
            <w:r>
              <w:rPr>
                <w:noProof/>
                <w:webHidden/>
              </w:rPr>
            </w:r>
            <w:r>
              <w:rPr>
                <w:noProof/>
                <w:webHidden/>
              </w:rPr>
              <w:fldChar w:fldCharType="separate"/>
            </w:r>
            <w:r>
              <w:rPr>
                <w:noProof/>
                <w:webHidden/>
              </w:rPr>
              <w:t>12</w:t>
            </w:r>
            <w:r>
              <w:rPr>
                <w:noProof/>
                <w:webHidden/>
              </w:rPr>
              <w:fldChar w:fldCharType="end"/>
            </w:r>
          </w:hyperlink>
        </w:p>
        <w:p w14:paraId="2C16EF88" w14:textId="77777777" w:rsidR="00D800C2" w:rsidRDefault="00D800C2">
          <w:pPr>
            <w:pStyle w:val="Innehll1"/>
            <w:tabs>
              <w:tab w:val="left" w:pos="660"/>
              <w:tab w:val="right" w:leader="dot" w:pos="9062"/>
            </w:tabs>
            <w:rPr>
              <w:rFonts w:asciiTheme="minorHAnsi" w:eastAsiaTheme="minorEastAsia" w:hAnsiTheme="minorHAnsi" w:cstheme="minorBidi"/>
              <w:noProof/>
              <w:lang w:eastAsia="sv-SE"/>
            </w:rPr>
          </w:pPr>
          <w:hyperlink w:anchor="_Toc472519666" w:history="1">
            <w:r w:rsidRPr="006542F3">
              <w:rPr>
                <w:rStyle w:val="Hyperlnk"/>
                <w:noProof/>
              </w:rPr>
              <w:t>19.</w:t>
            </w:r>
            <w:r>
              <w:rPr>
                <w:rFonts w:asciiTheme="minorHAnsi" w:eastAsiaTheme="minorEastAsia" w:hAnsiTheme="minorHAnsi" w:cstheme="minorBidi"/>
                <w:noProof/>
                <w:lang w:eastAsia="sv-SE"/>
              </w:rPr>
              <w:tab/>
            </w:r>
            <w:r w:rsidRPr="006542F3">
              <w:rPr>
                <w:rStyle w:val="Hyperlnk"/>
                <w:noProof/>
              </w:rPr>
              <w:t>Commission Regulation (EU) …/.. establishing a network code on harmonised transmission tariff structures for gas</w:t>
            </w:r>
            <w:r>
              <w:rPr>
                <w:noProof/>
                <w:webHidden/>
              </w:rPr>
              <w:tab/>
            </w:r>
            <w:r>
              <w:rPr>
                <w:noProof/>
                <w:webHidden/>
              </w:rPr>
              <w:fldChar w:fldCharType="begin"/>
            </w:r>
            <w:r>
              <w:rPr>
                <w:noProof/>
                <w:webHidden/>
              </w:rPr>
              <w:instrText xml:space="preserve"> PAGEREF _Toc472519666 \h </w:instrText>
            </w:r>
            <w:r>
              <w:rPr>
                <w:noProof/>
                <w:webHidden/>
              </w:rPr>
            </w:r>
            <w:r>
              <w:rPr>
                <w:noProof/>
                <w:webHidden/>
              </w:rPr>
              <w:fldChar w:fldCharType="separate"/>
            </w:r>
            <w:r>
              <w:rPr>
                <w:noProof/>
                <w:webHidden/>
              </w:rPr>
              <w:t>12</w:t>
            </w:r>
            <w:r>
              <w:rPr>
                <w:noProof/>
                <w:webHidden/>
              </w:rPr>
              <w:fldChar w:fldCharType="end"/>
            </w:r>
          </w:hyperlink>
        </w:p>
        <w:p w14:paraId="06EFFB38" w14:textId="77777777" w:rsidR="00D800C2" w:rsidRDefault="00D800C2">
          <w:pPr>
            <w:pStyle w:val="Innehll1"/>
            <w:tabs>
              <w:tab w:val="left" w:pos="660"/>
              <w:tab w:val="right" w:leader="dot" w:pos="9062"/>
            </w:tabs>
            <w:rPr>
              <w:rFonts w:asciiTheme="minorHAnsi" w:eastAsiaTheme="minorEastAsia" w:hAnsiTheme="minorHAnsi" w:cstheme="minorBidi"/>
              <w:noProof/>
              <w:lang w:eastAsia="sv-SE"/>
            </w:rPr>
          </w:pPr>
          <w:hyperlink w:anchor="_Toc472519667" w:history="1">
            <w:r w:rsidRPr="006542F3">
              <w:rPr>
                <w:rStyle w:val="Hyperlnk"/>
                <w:noProof/>
              </w:rPr>
              <w:t>20.</w:t>
            </w:r>
            <w:r>
              <w:rPr>
                <w:rFonts w:asciiTheme="minorHAnsi" w:eastAsiaTheme="minorEastAsia" w:hAnsiTheme="minorHAnsi" w:cstheme="minorBidi"/>
                <w:noProof/>
                <w:lang w:eastAsia="sv-SE"/>
              </w:rPr>
              <w:tab/>
            </w:r>
            <w:r w:rsidRPr="006542F3">
              <w:rPr>
                <w:rStyle w:val="Hyperlnk"/>
                <w:noProof/>
              </w:rPr>
              <w:t>Commission Regulation (EU) …/.. establishing a Network Code on Capacity Allocation Mechanisms in Gas Transmission Systems and repealing Commission Regulation (EU) No 984/2013</w:t>
            </w:r>
            <w:r>
              <w:rPr>
                <w:noProof/>
                <w:webHidden/>
              </w:rPr>
              <w:tab/>
            </w:r>
            <w:r>
              <w:rPr>
                <w:noProof/>
                <w:webHidden/>
              </w:rPr>
              <w:fldChar w:fldCharType="begin"/>
            </w:r>
            <w:r>
              <w:rPr>
                <w:noProof/>
                <w:webHidden/>
              </w:rPr>
              <w:instrText xml:space="preserve"> PAGEREF _Toc472519667 \h </w:instrText>
            </w:r>
            <w:r>
              <w:rPr>
                <w:noProof/>
                <w:webHidden/>
              </w:rPr>
            </w:r>
            <w:r>
              <w:rPr>
                <w:noProof/>
                <w:webHidden/>
              </w:rPr>
              <w:fldChar w:fldCharType="separate"/>
            </w:r>
            <w:r>
              <w:rPr>
                <w:noProof/>
                <w:webHidden/>
              </w:rPr>
              <w:t>13</w:t>
            </w:r>
            <w:r>
              <w:rPr>
                <w:noProof/>
                <w:webHidden/>
              </w:rPr>
              <w:fldChar w:fldCharType="end"/>
            </w:r>
          </w:hyperlink>
        </w:p>
        <w:p w14:paraId="3F853968" w14:textId="77777777" w:rsidR="00D800C2" w:rsidRDefault="00D800C2">
          <w:pPr>
            <w:pStyle w:val="Innehll1"/>
            <w:tabs>
              <w:tab w:val="left" w:pos="660"/>
              <w:tab w:val="right" w:leader="dot" w:pos="9062"/>
            </w:tabs>
            <w:rPr>
              <w:rFonts w:asciiTheme="minorHAnsi" w:eastAsiaTheme="minorEastAsia" w:hAnsiTheme="minorHAnsi" w:cstheme="minorBidi"/>
              <w:noProof/>
              <w:lang w:eastAsia="sv-SE"/>
            </w:rPr>
          </w:pPr>
          <w:hyperlink w:anchor="_Toc472519668" w:history="1">
            <w:r w:rsidRPr="006542F3">
              <w:rPr>
                <w:rStyle w:val="Hyperlnk"/>
                <w:noProof/>
              </w:rPr>
              <w:t>21.</w:t>
            </w:r>
            <w:r>
              <w:rPr>
                <w:rFonts w:asciiTheme="minorHAnsi" w:eastAsiaTheme="minorEastAsia" w:hAnsiTheme="minorHAnsi" w:cstheme="minorBidi"/>
                <w:noProof/>
                <w:lang w:eastAsia="sv-SE"/>
              </w:rPr>
              <w:tab/>
            </w:r>
            <w:r w:rsidRPr="006542F3">
              <w:rPr>
                <w:rStyle w:val="Hyperlnk"/>
                <w:noProof/>
              </w:rPr>
              <w:t>Commission Regulation (EU) …/… amending Annex VI to Regulation (EC) No 1005/2009 of the European Parliament and of the Council on substances that deplete the ozone layer</w:t>
            </w:r>
            <w:r>
              <w:rPr>
                <w:noProof/>
                <w:webHidden/>
              </w:rPr>
              <w:tab/>
            </w:r>
            <w:r>
              <w:rPr>
                <w:noProof/>
                <w:webHidden/>
              </w:rPr>
              <w:fldChar w:fldCharType="begin"/>
            </w:r>
            <w:r>
              <w:rPr>
                <w:noProof/>
                <w:webHidden/>
              </w:rPr>
              <w:instrText xml:space="preserve"> PAGEREF _Toc472519668 \h </w:instrText>
            </w:r>
            <w:r>
              <w:rPr>
                <w:noProof/>
                <w:webHidden/>
              </w:rPr>
            </w:r>
            <w:r>
              <w:rPr>
                <w:noProof/>
                <w:webHidden/>
              </w:rPr>
              <w:fldChar w:fldCharType="separate"/>
            </w:r>
            <w:r>
              <w:rPr>
                <w:noProof/>
                <w:webHidden/>
              </w:rPr>
              <w:t>13</w:t>
            </w:r>
            <w:r>
              <w:rPr>
                <w:noProof/>
                <w:webHidden/>
              </w:rPr>
              <w:fldChar w:fldCharType="end"/>
            </w:r>
          </w:hyperlink>
        </w:p>
        <w:p w14:paraId="74F82F1B" w14:textId="77777777" w:rsidR="00D800C2" w:rsidRDefault="00D800C2">
          <w:pPr>
            <w:pStyle w:val="Innehll1"/>
            <w:tabs>
              <w:tab w:val="left" w:pos="660"/>
              <w:tab w:val="right" w:leader="dot" w:pos="9062"/>
            </w:tabs>
            <w:rPr>
              <w:rFonts w:asciiTheme="minorHAnsi" w:eastAsiaTheme="minorEastAsia" w:hAnsiTheme="minorHAnsi" w:cstheme="minorBidi"/>
              <w:noProof/>
              <w:lang w:eastAsia="sv-SE"/>
            </w:rPr>
          </w:pPr>
          <w:hyperlink w:anchor="_Toc472519669" w:history="1">
            <w:r w:rsidRPr="006542F3">
              <w:rPr>
                <w:rStyle w:val="Hyperlnk"/>
                <w:noProof/>
              </w:rPr>
              <w:t>22.</w:t>
            </w:r>
            <w:r>
              <w:rPr>
                <w:rFonts w:asciiTheme="minorHAnsi" w:eastAsiaTheme="minorEastAsia" w:hAnsiTheme="minorHAnsi" w:cstheme="minorBidi"/>
                <w:noProof/>
                <w:lang w:eastAsia="sv-SE"/>
              </w:rPr>
              <w:tab/>
            </w:r>
            <w:r w:rsidRPr="006542F3">
              <w:rPr>
                <w:rStyle w:val="Hyperlnk"/>
                <w:noProof/>
              </w:rPr>
              <w:t>Commission Regulation (EU) …/… of XXX amending Council Regulation (EC) No 338/97 on the protection of species of wild fauna and flora by regulating trade therein</w:t>
            </w:r>
            <w:r>
              <w:rPr>
                <w:noProof/>
                <w:webHidden/>
              </w:rPr>
              <w:tab/>
            </w:r>
            <w:r>
              <w:rPr>
                <w:noProof/>
                <w:webHidden/>
              </w:rPr>
              <w:fldChar w:fldCharType="begin"/>
            </w:r>
            <w:r>
              <w:rPr>
                <w:noProof/>
                <w:webHidden/>
              </w:rPr>
              <w:instrText xml:space="preserve"> PAGEREF _Toc472519669 \h </w:instrText>
            </w:r>
            <w:r>
              <w:rPr>
                <w:noProof/>
                <w:webHidden/>
              </w:rPr>
            </w:r>
            <w:r>
              <w:rPr>
                <w:noProof/>
                <w:webHidden/>
              </w:rPr>
              <w:fldChar w:fldCharType="separate"/>
            </w:r>
            <w:r>
              <w:rPr>
                <w:noProof/>
                <w:webHidden/>
              </w:rPr>
              <w:t>14</w:t>
            </w:r>
            <w:r>
              <w:rPr>
                <w:noProof/>
                <w:webHidden/>
              </w:rPr>
              <w:fldChar w:fldCharType="end"/>
            </w:r>
          </w:hyperlink>
        </w:p>
        <w:p w14:paraId="70342753" w14:textId="77777777" w:rsidR="00D800C2" w:rsidRDefault="00D800C2">
          <w:pPr>
            <w:pStyle w:val="Innehll1"/>
            <w:tabs>
              <w:tab w:val="left" w:pos="660"/>
              <w:tab w:val="right" w:leader="dot" w:pos="9062"/>
            </w:tabs>
            <w:rPr>
              <w:rFonts w:asciiTheme="minorHAnsi" w:eastAsiaTheme="minorEastAsia" w:hAnsiTheme="minorHAnsi" w:cstheme="minorBidi"/>
              <w:noProof/>
              <w:lang w:eastAsia="sv-SE"/>
            </w:rPr>
          </w:pPr>
          <w:hyperlink w:anchor="_Toc472519670" w:history="1">
            <w:r w:rsidRPr="006542F3">
              <w:rPr>
                <w:rStyle w:val="Hyperlnk"/>
                <w:noProof/>
              </w:rPr>
              <w:t>23.</w:t>
            </w:r>
            <w:r>
              <w:rPr>
                <w:rFonts w:asciiTheme="minorHAnsi" w:eastAsiaTheme="minorEastAsia" w:hAnsiTheme="minorHAnsi" w:cstheme="minorBidi"/>
                <w:noProof/>
                <w:lang w:eastAsia="sv-SE"/>
              </w:rPr>
              <w:tab/>
            </w:r>
            <w:r w:rsidRPr="006542F3">
              <w:rPr>
                <w:rStyle w:val="Hyperlnk"/>
                <w:noProof/>
              </w:rPr>
              <w:t>Draft Council Regulation amending Regulation (EU) 2016/1903 fixing for 2017 fishing opportunities for certain fish stocks and groups of fish stocks applicable in the Baltic Sea</w:t>
            </w:r>
            <w:r>
              <w:rPr>
                <w:noProof/>
                <w:webHidden/>
              </w:rPr>
              <w:tab/>
            </w:r>
            <w:r>
              <w:rPr>
                <w:noProof/>
                <w:webHidden/>
              </w:rPr>
              <w:fldChar w:fldCharType="begin"/>
            </w:r>
            <w:r>
              <w:rPr>
                <w:noProof/>
                <w:webHidden/>
              </w:rPr>
              <w:instrText xml:space="preserve"> PAGEREF _Toc472519670 \h </w:instrText>
            </w:r>
            <w:r>
              <w:rPr>
                <w:noProof/>
                <w:webHidden/>
              </w:rPr>
            </w:r>
            <w:r>
              <w:rPr>
                <w:noProof/>
                <w:webHidden/>
              </w:rPr>
              <w:fldChar w:fldCharType="separate"/>
            </w:r>
            <w:r>
              <w:rPr>
                <w:noProof/>
                <w:webHidden/>
              </w:rPr>
              <w:t>14</w:t>
            </w:r>
            <w:r>
              <w:rPr>
                <w:noProof/>
                <w:webHidden/>
              </w:rPr>
              <w:fldChar w:fldCharType="end"/>
            </w:r>
          </w:hyperlink>
        </w:p>
        <w:p w14:paraId="1BD59969" w14:textId="77777777" w:rsidR="00D800C2" w:rsidRDefault="00D800C2">
          <w:pPr>
            <w:pStyle w:val="Innehll1"/>
            <w:tabs>
              <w:tab w:val="left" w:pos="660"/>
              <w:tab w:val="right" w:leader="dot" w:pos="9062"/>
            </w:tabs>
            <w:rPr>
              <w:rFonts w:asciiTheme="minorHAnsi" w:eastAsiaTheme="minorEastAsia" w:hAnsiTheme="minorHAnsi" w:cstheme="minorBidi"/>
              <w:noProof/>
              <w:lang w:eastAsia="sv-SE"/>
            </w:rPr>
          </w:pPr>
          <w:hyperlink w:anchor="_Toc472519671" w:history="1">
            <w:r w:rsidRPr="006542F3">
              <w:rPr>
                <w:rStyle w:val="Hyperlnk"/>
                <w:noProof/>
              </w:rPr>
              <w:t>24.</w:t>
            </w:r>
            <w:r>
              <w:rPr>
                <w:rFonts w:asciiTheme="minorHAnsi" w:eastAsiaTheme="minorEastAsia" w:hAnsiTheme="minorHAnsi" w:cstheme="minorBidi"/>
                <w:noProof/>
                <w:lang w:eastAsia="sv-SE"/>
              </w:rPr>
              <w:tab/>
            </w:r>
            <w:r w:rsidRPr="006542F3">
              <w:rPr>
                <w:rStyle w:val="Hyperlnk"/>
                <w:noProof/>
              </w:rPr>
              <w:t>Draft Regulation of the European Parliament and of the Council establishing a framework on market access to port services and financial transparency of ports (First reading) (Legislative deliberation)</w:t>
            </w:r>
            <w:r>
              <w:rPr>
                <w:noProof/>
                <w:webHidden/>
              </w:rPr>
              <w:tab/>
            </w:r>
            <w:r>
              <w:rPr>
                <w:noProof/>
                <w:webHidden/>
              </w:rPr>
              <w:fldChar w:fldCharType="begin"/>
            </w:r>
            <w:r>
              <w:rPr>
                <w:noProof/>
                <w:webHidden/>
              </w:rPr>
              <w:instrText xml:space="preserve"> PAGEREF _Toc472519671 \h </w:instrText>
            </w:r>
            <w:r>
              <w:rPr>
                <w:noProof/>
                <w:webHidden/>
              </w:rPr>
            </w:r>
            <w:r>
              <w:rPr>
                <w:noProof/>
                <w:webHidden/>
              </w:rPr>
              <w:fldChar w:fldCharType="separate"/>
            </w:r>
            <w:r>
              <w:rPr>
                <w:noProof/>
                <w:webHidden/>
              </w:rPr>
              <w:t>15</w:t>
            </w:r>
            <w:r>
              <w:rPr>
                <w:noProof/>
                <w:webHidden/>
              </w:rPr>
              <w:fldChar w:fldCharType="end"/>
            </w:r>
          </w:hyperlink>
        </w:p>
        <w:p w14:paraId="1D23E8BC" w14:textId="77777777" w:rsidR="00D957FB" w:rsidRDefault="00785166">
          <w:r>
            <w:rPr>
              <w:b/>
              <w:bCs/>
              <w:noProof/>
            </w:rPr>
            <w:fldChar w:fldCharType="end"/>
          </w:r>
        </w:p>
      </w:sdtContent>
    </w:sdt>
    <w:p w14:paraId="1D23E8BD" w14:textId="77777777" w:rsidR="00D957FB" w:rsidRDefault="00785166">
      <w:pPr>
        <w:ind w:left="0"/>
      </w:pPr>
      <w:r>
        <w:br w:type="page"/>
      </w:r>
    </w:p>
    <w:p w14:paraId="1D23E8BF" w14:textId="77777777" w:rsidR="00643D86" w:rsidRDefault="00785166" w:rsidP="00643D86">
      <w:pPr>
        <w:pStyle w:val="Rubrik1"/>
      </w:pPr>
      <w:bookmarkStart w:id="0" w:name="_Toc364854645"/>
      <w:bookmarkStart w:id="1" w:name="_Toc472519648"/>
      <w:r>
        <w:rPr>
          <w:noProof/>
        </w:rPr>
        <w:lastRenderedPageBreak/>
        <w:t>Replies</w:t>
      </w:r>
      <w:r>
        <w:rPr>
          <w:noProof/>
        </w:rPr>
        <w:t xml:space="preserve"> to written questions put to the Council by Members of the European Parliament</w:t>
      </w:r>
      <w:r>
        <w:rPr>
          <w:noProof/>
        </w:rPr>
        <w:br/>
        <w:t xml:space="preserve">=Adoption by </w:t>
      </w:r>
      <w:r>
        <w:rPr>
          <w:noProof/>
        </w:rPr>
        <w:t>silence procedure (+)</w:t>
      </w:r>
      <w:bookmarkEnd w:id="1"/>
    </w:p>
    <w:p w14:paraId="6071DFBE" w14:textId="77777777" w:rsidR="00D800C2" w:rsidRDefault="00785166" w:rsidP="00643D86">
      <w:pPr>
        <w:rPr>
          <w:lang w:val="en-US"/>
        </w:rPr>
      </w:pPr>
      <w:r>
        <w:rPr>
          <w:noProof/>
          <w:lang w:val="en-US"/>
        </w:rPr>
        <w:t>a</w:t>
      </w:r>
      <w:r>
        <w:rPr>
          <w:lang w:val="en-US"/>
        </w:rPr>
        <w:t>)E-008016/2016 and E-008017/2016 - William (The Earl of) Dartmouth (EFDD)Access to the EU Single MarketAccess to the EU Single Market15631/16 PE-QE 387</w:t>
      </w:r>
    </w:p>
    <w:p w14:paraId="4FB93A3A" w14:textId="77777777" w:rsidR="00D800C2" w:rsidRDefault="00785166" w:rsidP="00643D86">
      <w:pPr>
        <w:rPr>
          <w:lang w:val="en-US"/>
        </w:rPr>
      </w:pPr>
      <w:r>
        <w:rPr>
          <w:lang w:val="en-US"/>
        </w:rPr>
        <w:t xml:space="preserve">b)E-008276/2016 - Sorin Moisă (S&amp;amp;D)Average response time to written questions </w:t>
      </w:r>
      <w:r>
        <w:rPr>
          <w:lang w:val="en-US"/>
        </w:rPr>
        <w:t>tabled by Parliament15627/16 PE-QE 385</w:t>
      </w:r>
    </w:p>
    <w:p w14:paraId="1D23E8C0" w14:textId="57CF9D15" w:rsidR="00643D86" w:rsidRDefault="00785166" w:rsidP="00643D86">
      <w:pPr>
        <w:rPr>
          <w:lang w:val="en-US"/>
        </w:rPr>
      </w:pPr>
      <w:r>
        <w:rPr>
          <w:lang w:val="en-US"/>
        </w:rPr>
        <w:t>c)E-008604/2016 - Raymond Finch (EFDD)Article 50 of the Treaty on European Union15628/16 PE-QE 386</w:t>
      </w:r>
    </w:p>
    <w:p w14:paraId="1D23E8C1" w14:textId="77777777" w:rsidR="00643D86" w:rsidRDefault="00785166" w:rsidP="00643D86">
      <w:r>
        <w:rPr>
          <w:b/>
        </w:rPr>
        <w:t>Ansvarigt statsråd</w:t>
      </w:r>
      <w:r>
        <w:rPr>
          <w:b/>
        </w:rPr>
        <w:br/>
      </w:r>
      <w:r>
        <w:rPr>
          <w:noProof/>
        </w:rPr>
        <w:t>Stefan</w:t>
      </w:r>
      <w:r>
        <w:t xml:space="preserve"> Löfven</w:t>
      </w:r>
    </w:p>
    <w:p w14:paraId="1D23E8C2"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8C3"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8C4"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8C5"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8C6"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8C7"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8C8"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D23E8C9" w14:textId="77777777" w:rsidR="00E0653A" w:rsidRDefault="0078516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D23E8CA"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8CB" w14:textId="77777777" w:rsidR="00643D86" w:rsidRDefault="00785166" w:rsidP="00643D86">
      <w:r>
        <w:instrText>"</w:instrText>
      </w:r>
      <w:r>
        <w:rPr>
          <w:b/>
        </w:rPr>
        <w:instrText xml:space="preserve"> </w:instrText>
      </w:r>
      <w:r>
        <w:rPr>
          <w:b/>
        </w:rPr>
        <w:fldChar w:fldCharType="end"/>
      </w:r>
      <w:r w:rsidRPr="00B44CE2">
        <w:rPr>
          <w:b/>
        </w:rPr>
        <w:t>Annotering</w:t>
      </w:r>
      <w:r>
        <w:rPr>
          <w:b/>
        </w:rPr>
        <w:br/>
      </w:r>
      <w:r>
        <w:t>Föranleder ingen annotering.</w:t>
      </w:r>
    </w:p>
    <w:p w14:paraId="1D23E8CC" w14:textId="77777777" w:rsidR="00643D86" w:rsidRDefault="00785166" w:rsidP="00643D86">
      <w:pPr>
        <w:pStyle w:val="Rubrik1"/>
      </w:pPr>
      <w:bookmarkStart w:id="2" w:name="_Toc472519649"/>
      <w:r>
        <w:rPr>
          <w:noProof/>
        </w:rPr>
        <w:t>List</w:t>
      </w:r>
      <w:r>
        <w:rPr>
          <w:noProof/>
        </w:rPr>
        <w:t xml:space="preserve"> of working </w:t>
      </w:r>
      <w:r>
        <w:rPr>
          <w:noProof/>
        </w:rPr>
        <w:t>parties which will be officially organised in Malta under the Maltese Presidency (First half of 2017)</w:t>
      </w:r>
      <w:bookmarkEnd w:id="2"/>
    </w:p>
    <w:p w14:paraId="1D23E8CD" w14:textId="77777777" w:rsidR="00643D86" w:rsidRDefault="00785166" w:rsidP="00643D86">
      <w:pPr>
        <w:rPr>
          <w:lang w:val="en-US"/>
        </w:rPr>
      </w:pPr>
      <w:r>
        <w:rPr>
          <w:noProof/>
          <w:lang w:val="en-US"/>
        </w:rPr>
        <w:t>=</w:t>
      </w:r>
      <w:r>
        <w:rPr>
          <w:lang w:val="en-US"/>
        </w:rPr>
        <w:t>Information note for the Permanent Representatives Committee (Part 1)</w:t>
      </w:r>
      <w:r>
        <w:rPr>
          <w:lang w:val="en-US"/>
        </w:rPr>
        <w:br/>
      </w:r>
      <w:r>
        <w:rPr>
          <w:noProof/>
          <w:lang w:val="en-US"/>
        </w:rPr>
        <w:t>5190</w:t>
      </w:r>
      <w:r>
        <w:rPr>
          <w:lang w:val="en-US"/>
        </w:rPr>
        <w:t>/17 POLGEN 4</w:t>
      </w:r>
    </w:p>
    <w:p w14:paraId="1D23E8CE" w14:textId="77777777" w:rsidR="00643D86" w:rsidRDefault="00785166" w:rsidP="00643D86">
      <w:r>
        <w:rPr>
          <w:b/>
        </w:rPr>
        <w:t>Ansvarigt statsråd</w:t>
      </w:r>
      <w:r>
        <w:rPr>
          <w:b/>
        </w:rPr>
        <w:br/>
      </w:r>
      <w:r>
        <w:rPr>
          <w:noProof/>
        </w:rPr>
        <w:t>Stefan</w:t>
      </w:r>
      <w:r>
        <w:t xml:space="preserve"> Löfven</w:t>
      </w:r>
    </w:p>
    <w:p w14:paraId="1D23E8CF"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8D0"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8D1"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8D2"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8D3"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8D4"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8D5"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D23E8D6" w14:textId="77777777" w:rsidR="00E0653A" w:rsidRDefault="0078516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D23E8D7"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8D8" w14:textId="77777777" w:rsidR="00643D86" w:rsidRDefault="00785166" w:rsidP="00643D86">
      <w:r>
        <w:instrText>"</w:instrText>
      </w:r>
      <w:r>
        <w:rPr>
          <w:b/>
        </w:rPr>
        <w:instrText xml:space="preserve"> </w:instrText>
      </w:r>
      <w:r>
        <w:rPr>
          <w:b/>
        </w:rPr>
        <w:fldChar w:fldCharType="end"/>
      </w:r>
      <w:r w:rsidRPr="00B44CE2">
        <w:rPr>
          <w:b/>
        </w:rPr>
        <w:t>Annotering</w:t>
      </w:r>
      <w:r>
        <w:rPr>
          <w:b/>
        </w:rPr>
        <w:br/>
      </w:r>
      <w:r>
        <w:t>Föranleder ingen annotering.</w:t>
      </w:r>
    </w:p>
    <w:p w14:paraId="1D23E8D9" w14:textId="77777777" w:rsidR="00643D86" w:rsidRDefault="00785166" w:rsidP="00643D86">
      <w:pPr>
        <w:pStyle w:val="Rubrik1"/>
      </w:pPr>
      <w:bookmarkStart w:id="3" w:name="_Toc472519650"/>
      <w:r>
        <w:rPr>
          <w:noProof/>
        </w:rPr>
        <w:t>Case</w:t>
      </w:r>
      <w:r>
        <w:rPr>
          <w:noProof/>
        </w:rPr>
        <w:t xml:space="preserve"> C-528/16 - </w:t>
      </w:r>
      <w:r>
        <w:rPr>
          <w:noProof/>
        </w:rPr>
        <w:t>Request for preliminary ruling</w:t>
      </w:r>
      <w:r>
        <w:rPr>
          <w:noProof/>
        </w:rPr>
        <w:br/>
        <w:t>Confédération paysanne e.a. (Juridiction de renvoi: Conseil d'Etat - France)</w:t>
      </w:r>
      <w:bookmarkEnd w:id="3"/>
    </w:p>
    <w:p w14:paraId="1D23E8DA" w14:textId="77777777" w:rsidR="00643D86" w:rsidRDefault="00785166" w:rsidP="00643D86">
      <w:pPr>
        <w:rPr>
          <w:lang w:val="en-US"/>
        </w:rPr>
      </w:pPr>
      <w:r>
        <w:rPr>
          <w:noProof/>
          <w:lang w:val="en-US"/>
        </w:rPr>
        <w:t>=</w:t>
      </w:r>
      <w:r>
        <w:rPr>
          <w:lang w:val="en-US"/>
        </w:rPr>
        <w:t>Information note for the Permanent Representatives Committee (Part 1)</w:t>
      </w:r>
      <w:r>
        <w:rPr>
          <w:lang w:val="en-US"/>
        </w:rPr>
        <w:br/>
      </w:r>
      <w:r>
        <w:rPr>
          <w:noProof/>
          <w:lang w:val="en-US"/>
        </w:rPr>
        <w:t>5008</w:t>
      </w:r>
      <w:r>
        <w:rPr>
          <w:lang w:val="en-US"/>
        </w:rPr>
        <w:t>/17 JUR 1 ENV 1 MI 1</w:t>
      </w:r>
    </w:p>
    <w:p w14:paraId="1D23E8DB" w14:textId="77777777" w:rsidR="00643D86" w:rsidRDefault="00785166" w:rsidP="00643D86">
      <w:r>
        <w:rPr>
          <w:b/>
        </w:rPr>
        <w:t>Ansvarigt statsråd</w:t>
      </w:r>
      <w:r>
        <w:rPr>
          <w:b/>
        </w:rPr>
        <w:br/>
      </w:r>
      <w:r>
        <w:rPr>
          <w:noProof/>
        </w:rPr>
        <w:t>Ann</w:t>
      </w:r>
      <w:r>
        <w:t xml:space="preserve"> Linde</w:t>
      </w:r>
    </w:p>
    <w:p w14:paraId="1D23E8DC"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w:instrText>
      </w:r>
      <w:r>
        <w:rPr>
          <w:b/>
        </w:rPr>
        <w:instrText xml:space="preserve">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8DD"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8DE"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8DF"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8E0"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8E1"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8E2"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D23E8E3" w14:textId="77777777" w:rsidR="00E0653A" w:rsidRDefault="0078516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D23E8E4"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8E6" w14:textId="7C6CAB56" w:rsidR="00576B17" w:rsidRDefault="00785166" w:rsidP="00D800C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vid EU-domstolen där rådet har utsett ombud. </w:t>
      </w:r>
    </w:p>
    <w:p w14:paraId="1D23E8E7" w14:textId="6FF60823" w:rsidR="00576B17" w:rsidRDefault="00785166">
      <w:pPr>
        <w:spacing w:after="280" w:afterAutospacing="1"/>
      </w:pPr>
      <w:r>
        <w:rPr>
          <w:b/>
          <w:bCs/>
        </w:rPr>
        <w:t>Hur regeringen ställer sig till den blivande A-punkten:</w:t>
      </w:r>
      <w:r>
        <w:t xml:space="preserve"> Regeringen har ingen erinran mot denna informationspunkt. </w:t>
      </w:r>
    </w:p>
    <w:p w14:paraId="1D23E8E9" w14:textId="1679741D" w:rsidR="00FB32B9" w:rsidRDefault="00785166">
      <w:pPr>
        <w:spacing w:after="280" w:afterAutospacing="1"/>
        <w:rPr>
          <w:noProof/>
        </w:rPr>
      </w:pPr>
      <w:r>
        <w:rPr>
          <w:b/>
          <w:bCs/>
        </w:rPr>
        <w:t>Bakgrund:</w:t>
      </w:r>
      <w:r>
        <w:t xml:space="preserve"> Målet, som är en begäran om förhandavgörande från en fransk</w:t>
      </w:r>
      <w:r>
        <w:t xml:space="preserve"> domstol, rör bl.a. giltigheten av artiklarna 2 och 3 samt bilagorna I A och I B till Europaparlamentets och rådets direktiv 2001/18/EG av den 12 mars 2001 om avsiktlig utsättning av genetiskt modifierade organismer i miljön. Eftersom målet rör giltigheten</w:t>
      </w:r>
      <w:r>
        <w:t xml:space="preserve"> av en lagstiftningsakt kommer rådet att ge in ett skriftligt yttrande.</w:t>
      </w:r>
    </w:p>
    <w:p w14:paraId="1D23E8EA" w14:textId="77777777" w:rsidR="00643D86" w:rsidRDefault="00785166" w:rsidP="00643D86">
      <w:pPr>
        <w:pStyle w:val="Rubrik1"/>
      </w:pPr>
      <w:bookmarkStart w:id="4" w:name="_Toc472519651"/>
      <w:r>
        <w:rPr>
          <w:noProof/>
        </w:rPr>
        <w:lastRenderedPageBreak/>
        <w:t>Case</w:t>
      </w:r>
      <w:r>
        <w:rPr>
          <w:noProof/>
        </w:rPr>
        <w:t xml:space="preserve"> C-272/15 -Judgment of the Court of Justice of 21 December 2016</w:t>
      </w:r>
      <w:r>
        <w:rPr>
          <w:noProof/>
        </w:rPr>
        <w:br/>
        <w:t xml:space="preserve">Preliminary reference, Swiss International Air Lines (Referring court: Court of Appeal (England &amp;amp; Wales) </w:t>
      </w:r>
      <w:r>
        <w:rPr>
          <w:noProof/>
        </w:rPr>
        <w:t>(Civil Division) - United Kingdom)</w:t>
      </w:r>
      <w:bookmarkEnd w:id="4"/>
    </w:p>
    <w:p w14:paraId="1D23E8EB" w14:textId="77777777" w:rsidR="00643D86" w:rsidRDefault="00785166" w:rsidP="00643D86">
      <w:pPr>
        <w:rPr>
          <w:lang w:val="en-US"/>
        </w:rPr>
      </w:pPr>
      <w:r>
        <w:rPr>
          <w:noProof/>
          <w:lang w:val="en-US"/>
        </w:rPr>
        <w:t>=</w:t>
      </w:r>
      <w:r>
        <w:rPr>
          <w:lang w:val="en-US"/>
        </w:rPr>
        <w:t>Information note for the Permanent Representatives Committee (Part 1)</w:t>
      </w:r>
      <w:r>
        <w:rPr>
          <w:lang w:val="en-US"/>
        </w:rPr>
        <w:br/>
      </w:r>
      <w:r>
        <w:rPr>
          <w:noProof/>
          <w:lang w:val="en-US"/>
        </w:rPr>
        <w:t>5158</w:t>
      </w:r>
      <w:r>
        <w:rPr>
          <w:lang w:val="en-US"/>
        </w:rPr>
        <w:t>/17 JUR 11 ENV 16 CLIMA 2 TRANS 6 AVIATION 7</w:t>
      </w:r>
    </w:p>
    <w:p w14:paraId="1D23E8EC" w14:textId="77777777" w:rsidR="00643D86" w:rsidRDefault="00785166" w:rsidP="00643D86">
      <w:r>
        <w:rPr>
          <w:b/>
        </w:rPr>
        <w:t>Ansvarigt statsråd</w:t>
      </w:r>
      <w:r>
        <w:rPr>
          <w:b/>
        </w:rPr>
        <w:br/>
      </w:r>
      <w:r>
        <w:rPr>
          <w:noProof/>
        </w:rPr>
        <w:t>Ann</w:t>
      </w:r>
      <w:r>
        <w:t xml:space="preserve"> Linde</w:t>
      </w:r>
    </w:p>
    <w:p w14:paraId="1D23E8ED"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w:instrText>
      </w:r>
      <w:r w:rsidRPr="0001065A">
        <w:rPr>
          <w:b/>
        </w:rPr>
        <w:instrText>m</w:instrText>
      </w:r>
      <w:r w:rsidRPr="00562140">
        <w:rPr>
          <w:b/>
        </w:rPr>
        <w:instrText>nden</w:instrText>
      </w:r>
      <w:r>
        <w:rPr>
          <w:b/>
        </w:rPr>
        <w:instrText xml:space="preserve"> </w:instrText>
      </w:r>
      <w:r>
        <w:rPr>
          <w:b/>
        </w:rPr>
        <w:br/>
      </w:r>
      <w:r w:rsidRPr="002F0461">
        <w:instrText>-</w:instrText>
      </w:r>
    </w:p>
    <w:p w14:paraId="1D23E8EE"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8EF"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8F0"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8F1"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8F2"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8F3"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w:instrText>
      </w:r>
      <w:r>
        <w:rPr>
          <w:b/>
        </w:rPr>
        <w:instrText xml:space="preserve">"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D23E8F4" w14:textId="77777777" w:rsidR="00E0653A" w:rsidRDefault="0078516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D23E8F5"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8F7" w14:textId="3DA658EB" w:rsidR="00576B17" w:rsidRDefault="00785166" w:rsidP="00D800C2">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Information om ett mål vid EU-domstolen där domstolen </w:t>
      </w:r>
      <w:r>
        <w:t xml:space="preserve">har meddelat dom. </w:t>
      </w:r>
    </w:p>
    <w:p w14:paraId="1D23E8F8" w14:textId="77777777" w:rsidR="00576B17" w:rsidRDefault="00785166">
      <w:pPr>
        <w:spacing w:after="280" w:afterAutospacing="1"/>
      </w:pPr>
      <w:r>
        <w:rPr>
          <w:b/>
          <w:bCs/>
        </w:rPr>
        <w:t xml:space="preserve">Hur regeringen ställer sig till den blivande A-punkten: </w:t>
      </w:r>
      <w:r>
        <w:t xml:space="preserve">Regeringen har ingen erinran mot denna informationspunkt. </w:t>
      </w:r>
    </w:p>
    <w:p w14:paraId="1D23E8FB" w14:textId="7024DFD6" w:rsidR="00576B17" w:rsidRDefault="00785166">
      <w:pPr>
        <w:spacing w:after="280" w:afterAutospacing="1"/>
      </w:pPr>
      <w:r>
        <w:rPr>
          <w:b/>
          <w:bCs/>
        </w:rPr>
        <w:t xml:space="preserve">Bakgrund: </w:t>
      </w:r>
      <w:r>
        <w:t>Målet, som är en begäran om förhandavgörande från en brittisk domstol, rör bl.a. giltigheten av Europaparlamente</w:t>
      </w:r>
      <w:r>
        <w:t>ts och rådets beslut nr 377/2013/EU av den 24 april 2013 om tillfälligt undantag från direktiv 2003/87/EG om ett system för handel med utsläppsrätter för växthusgaser inom gemenskapen mot bakgrund av den allmänna principen om likabehandling. EU-domstolen f</w:t>
      </w:r>
      <w:r>
        <w:t>ann att det i målet inte framkommit någon omständighet som kan påverka giltigheten av detta beslut, i den del det i beslutet föreskrivna tillfälliga undantaget från kraven enligt direktiv 2003/87/EG – i fråga om överlämnandet av utsläppsrätter för växthusg</w:t>
      </w:r>
      <w:r>
        <w:t>aser avseende flygningar under år 2012 mellan Europeiska unionens medlemsstater och flertalet tredjeländer – inte ska tillämpas på bland annat flygningar till och från flygplatser i Schweiz.</w:t>
      </w:r>
    </w:p>
    <w:p w14:paraId="1D23E8FC" w14:textId="77777777" w:rsidR="00643D86" w:rsidRDefault="00785166" w:rsidP="00643D86">
      <w:pPr>
        <w:pStyle w:val="Rubrik1"/>
      </w:pPr>
      <w:bookmarkStart w:id="5" w:name="_Toc472519652"/>
      <w:r>
        <w:rPr>
          <w:noProof/>
        </w:rPr>
        <w:t>European</w:t>
      </w:r>
      <w:r>
        <w:rPr>
          <w:noProof/>
        </w:rPr>
        <w:t xml:space="preserve"> Scientific and Technical Committee</w:t>
      </w:r>
      <w:r>
        <w:rPr>
          <w:noProof/>
        </w:rPr>
        <w:br/>
        <w:t>Draft Council Decis</w:t>
      </w:r>
      <w:r>
        <w:rPr>
          <w:noProof/>
        </w:rPr>
        <w:t>ion appointing a member</w:t>
      </w:r>
      <w:bookmarkEnd w:id="5"/>
    </w:p>
    <w:p w14:paraId="1D23E8FD" w14:textId="431CF6F2" w:rsidR="00643D86" w:rsidRDefault="00785166" w:rsidP="00643D86">
      <w:pPr>
        <w:rPr>
          <w:lang w:val="en-US"/>
        </w:rPr>
      </w:pPr>
      <w:r>
        <w:rPr>
          <w:noProof/>
          <w:lang w:val="en-US"/>
        </w:rPr>
        <w:t>=</w:t>
      </w:r>
      <w:r>
        <w:rPr>
          <w:lang w:val="en-US"/>
        </w:rPr>
        <w:t>Adoption</w:t>
      </w:r>
      <w:r>
        <w:rPr>
          <w:lang w:val="en-US"/>
        </w:rPr>
        <w:br/>
      </w:r>
      <w:r>
        <w:rPr>
          <w:noProof/>
          <w:lang w:val="en-US"/>
        </w:rPr>
        <w:t>5115</w:t>
      </w:r>
      <w:r>
        <w:rPr>
          <w:lang w:val="en-US"/>
        </w:rPr>
        <w:t>/17 RECH 5 ATO 1</w:t>
      </w:r>
      <w:r w:rsidR="00D800C2">
        <w:rPr>
          <w:lang w:val="en-US"/>
        </w:rPr>
        <w:br/>
      </w:r>
      <w:r>
        <w:rPr>
          <w:lang w:val="en-US"/>
        </w:rPr>
        <w:t>15779/16 RECH 354 ATO 70</w:t>
      </w:r>
    </w:p>
    <w:p w14:paraId="1D23E8FE" w14:textId="77777777" w:rsidR="00643D86" w:rsidRDefault="00785166" w:rsidP="00643D86">
      <w:r>
        <w:rPr>
          <w:b/>
        </w:rPr>
        <w:t>Ansvarigt statsråd</w:t>
      </w:r>
      <w:r>
        <w:rPr>
          <w:b/>
        </w:rPr>
        <w:br/>
      </w:r>
      <w:r>
        <w:rPr>
          <w:noProof/>
        </w:rPr>
        <w:t>Helene</w:t>
      </w:r>
      <w:r>
        <w:t xml:space="preserve"> Hellmark Knutsson</w:t>
      </w:r>
    </w:p>
    <w:p w14:paraId="1D23E8FF"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900"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901"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902"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903"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904"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905"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w:instrText>
      </w:r>
      <w:r>
        <w:rPr>
          <w:b/>
        </w:rPr>
        <w:instrText xml:space="preserve">" = "-" "" "Tidigare behandlat i utskottet </w:instrText>
      </w:r>
      <w:r>
        <w:rPr>
          <w:b/>
        </w:rPr>
        <w:br/>
      </w:r>
      <w:r w:rsidRPr="002F0461">
        <w:instrText>-</w:instrText>
      </w:r>
    </w:p>
    <w:p w14:paraId="1D23E906" w14:textId="77777777" w:rsidR="00E0653A" w:rsidRDefault="0078516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D23E907"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90A" w14:textId="701178B1" w:rsidR="00FB32B9" w:rsidRDefault="00785166" w:rsidP="00D800C2">
      <w:pPr>
        <w:rPr>
          <w:noProof/>
        </w:rPr>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förslaget om en ny ledamot i Scientific and Technical Committee.</w:t>
      </w:r>
      <w:r>
        <w:br/>
      </w:r>
      <w:r>
        <w:rPr>
          <w:b/>
          <w:bCs/>
        </w:rPr>
        <w:br/>
        <w:t>Hur regerin</w:t>
      </w:r>
      <w:r>
        <w:rPr>
          <w:b/>
          <w:bCs/>
        </w:rPr>
        <w:t>gen ställer sig till den blivande A-punkten:</w:t>
      </w:r>
      <w:r>
        <w:t xml:space="preserve"> Sverige kan stödja förslaget.</w:t>
      </w:r>
      <w:r>
        <w:br/>
      </w:r>
      <w:r>
        <w:br/>
      </w:r>
      <w:r>
        <w:rPr>
          <w:b/>
          <w:bCs/>
        </w:rPr>
        <w:t>Bakgrund:</w:t>
      </w:r>
      <w:r>
        <w:t xml:space="preserve"> De nuvarande ledamöterna i den vetenskapliga och tekniska kommittén (Scientific and Technical Committee) utsågs genom ett rådsbeslut för perioden 25 juli 2013 till 24 jul</w:t>
      </w:r>
      <w:r>
        <w:t>i 2018. En plats har blivit ledig då en av ledamöterna avgått. En ny ledamot föreslogs och rådsarbetsgruppen för forskningsfrågor godkände förslaget den 12 december 2016.</w:t>
      </w:r>
    </w:p>
    <w:p w14:paraId="1D23E90B" w14:textId="77777777" w:rsidR="00643D86" w:rsidRDefault="00785166" w:rsidP="00643D86">
      <w:pPr>
        <w:pStyle w:val="Rubrik1"/>
      </w:pPr>
      <w:bookmarkStart w:id="6" w:name="_Toc472519653"/>
      <w:r>
        <w:rPr>
          <w:noProof/>
        </w:rPr>
        <w:lastRenderedPageBreak/>
        <w:t>Governing</w:t>
      </w:r>
      <w:r>
        <w:rPr>
          <w:noProof/>
        </w:rPr>
        <w:t xml:space="preserve"> Board of the European Agency for Safety and Health at Work</w:t>
      </w:r>
      <w:r>
        <w:rPr>
          <w:noProof/>
        </w:rPr>
        <w:br/>
        <w:t>Draft Council</w:t>
      </w:r>
      <w:r>
        <w:rPr>
          <w:noProof/>
        </w:rPr>
        <w:t xml:space="preserve"> Decision appointing a member and an alternate member for Slovakia and United Kingdom</w:t>
      </w:r>
      <w:bookmarkEnd w:id="6"/>
    </w:p>
    <w:p w14:paraId="1D23E90C" w14:textId="0DB28F25" w:rsidR="00643D86" w:rsidRDefault="00785166" w:rsidP="00643D86">
      <w:pPr>
        <w:rPr>
          <w:lang w:val="en-US"/>
        </w:rPr>
      </w:pPr>
      <w:r>
        <w:rPr>
          <w:noProof/>
          <w:lang w:val="en-US"/>
        </w:rPr>
        <w:t>=</w:t>
      </w:r>
      <w:r>
        <w:rPr>
          <w:lang w:val="en-US"/>
        </w:rPr>
        <w:t>Adoption</w:t>
      </w:r>
      <w:r>
        <w:rPr>
          <w:lang w:val="en-US"/>
        </w:rPr>
        <w:br/>
      </w:r>
      <w:r>
        <w:rPr>
          <w:noProof/>
          <w:lang w:val="en-US"/>
        </w:rPr>
        <w:t>15086</w:t>
      </w:r>
      <w:r>
        <w:rPr>
          <w:lang w:val="en-US"/>
        </w:rPr>
        <w:t>/16 SOC 765 EMPL 514</w:t>
      </w:r>
      <w:r w:rsidR="00D800C2">
        <w:rPr>
          <w:lang w:val="en-US"/>
        </w:rPr>
        <w:br/>
      </w:r>
      <w:r>
        <w:rPr>
          <w:lang w:val="en-US"/>
        </w:rPr>
        <w:t>15244/16 SOC 711 EMPL 519</w:t>
      </w:r>
    </w:p>
    <w:p w14:paraId="1D23E90D" w14:textId="77777777" w:rsidR="00643D86" w:rsidRDefault="00785166" w:rsidP="00643D86">
      <w:r>
        <w:rPr>
          <w:b/>
        </w:rPr>
        <w:t>Ansvarigt statsråd</w:t>
      </w:r>
      <w:r>
        <w:rPr>
          <w:b/>
        </w:rPr>
        <w:br/>
      </w:r>
      <w:r>
        <w:rPr>
          <w:noProof/>
        </w:rPr>
        <w:t>Ylva</w:t>
      </w:r>
      <w:r>
        <w:t xml:space="preserve"> Johansson</w:t>
      </w:r>
    </w:p>
    <w:p w14:paraId="1D23E90E"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90F"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910"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911"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912"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913"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914"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w:instrText>
      </w:r>
      <w:r>
        <w:rPr>
          <w:b/>
        </w:rPr>
        <w:instrText xml:space="preserve">"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D23E915" w14:textId="77777777" w:rsidR="00E0653A" w:rsidRDefault="0078516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D23E916"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917" w14:textId="77777777" w:rsidR="00643D86" w:rsidRDefault="00785166" w:rsidP="00643D86">
      <w:r>
        <w:instrText>"</w:instrText>
      </w:r>
      <w:r>
        <w:rPr>
          <w:b/>
        </w:rPr>
        <w:instrText xml:space="preserve"> </w:instrText>
      </w:r>
      <w:r>
        <w:rPr>
          <w:b/>
        </w:rPr>
        <w:fldChar w:fldCharType="end"/>
      </w:r>
      <w:r w:rsidRPr="00B44CE2">
        <w:rPr>
          <w:b/>
        </w:rPr>
        <w:t>Annotering</w:t>
      </w:r>
      <w:r>
        <w:rPr>
          <w:b/>
        </w:rPr>
        <w:br/>
      </w:r>
      <w:r>
        <w:t>Föranleder ingen annotering.</w:t>
      </w:r>
    </w:p>
    <w:p w14:paraId="1D23E918" w14:textId="77777777" w:rsidR="00643D86" w:rsidRDefault="00785166" w:rsidP="00643D86">
      <w:pPr>
        <w:pStyle w:val="Rubrik1"/>
      </w:pPr>
      <w:bookmarkStart w:id="7" w:name="_Toc472519654"/>
      <w:r>
        <w:rPr>
          <w:noProof/>
        </w:rPr>
        <w:t>Advisory</w:t>
      </w:r>
      <w:r>
        <w:rPr>
          <w:noProof/>
        </w:rPr>
        <w:t xml:space="preserve"> Committee on Freedom of Movement for Workers</w:t>
      </w:r>
      <w:r>
        <w:rPr>
          <w:noProof/>
        </w:rPr>
        <w:br/>
        <w:t>Draft</w:t>
      </w:r>
      <w:r>
        <w:rPr>
          <w:noProof/>
        </w:rPr>
        <w:t xml:space="preserve"> Council Decision appointing members and alternate members for Portugal</w:t>
      </w:r>
      <w:bookmarkEnd w:id="7"/>
    </w:p>
    <w:p w14:paraId="1D23E919" w14:textId="799C3AFD" w:rsidR="00643D86" w:rsidRDefault="00785166" w:rsidP="00643D86">
      <w:pPr>
        <w:rPr>
          <w:lang w:val="en-US"/>
        </w:rPr>
      </w:pPr>
      <w:r>
        <w:rPr>
          <w:noProof/>
          <w:lang w:val="en-US"/>
        </w:rPr>
        <w:t>=</w:t>
      </w:r>
      <w:r>
        <w:rPr>
          <w:lang w:val="en-US"/>
        </w:rPr>
        <w:t>Adoption</w:t>
      </w:r>
      <w:r>
        <w:rPr>
          <w:lang w:val="en-US"/>
        </w:rPr>
        <w:br/>
      </w:r>
      <w:r>
        <w:rPr>
          <w:noProof/>
          <w:lang w:val="en-US"/>
        </w:rPr>
        <w:t>15247</w:t>
      </w:r>
      <w:r>
        <w:rPr>
          <w:lang w:val="en-US"/>
        </w:rPr>
        <w:t>/16 SOC 774 EMPL 521</w:t>
      </w:r>
      <w:r w:rsidR="00D800C2">
        <w:rPr>
          <w:lang w:val="en-US"/>
        </w:rPr>
        <w:br/>
      </w:r>
      <w:r>
        <w:rPr>
          <w:lang w:val="en-US"/>
        </w:rPr>
        <w:t>15246/16 SOC 773 EMPL 520</w:t>
      </w:r>
    </w:p>
    <w:p w14:paraId="1D23E91A" w14:textId="77777777" w:rsidR="00643D86" w:rsidRDefault="00785166" w:rsidP="00643D86">
      <w:r>
        <w:rPr>
          <w:b/>
        </w:rPr>
        <w:t>Ansvarigt statsråd</w:t>
      </w:r>
      <w:r>
        <w:rPr>
          <w:b/>
        </w:rPr>
        <w:br/>
      </w:r>
      <w:r>
        <w:rPr>
          <w:noProof/>
        </w:rPr>
        <w:t>Ylva</w:t>
      </w:r>
      <w:r>
        <w:t xml:space="preserve"> Johansson</w:t>
      </w:r>
    </w:p>
    <w:p w14:paraId="1D23E91B"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91C"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91D"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91E"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91F"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920"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921"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w:instrText>
      </w:r>
      <w:r>
        <w:rPr>
          <w:b/>
        </w:rPr>
        <w:instrText xml:space="preserve">" = "-" </w:instrText>
      </w:r>
      <w:r>
        <w:rPr>
          <w:b/>
        </w:rPr>
        <w:fldChar w:fldCharType="begin"/>
      </w:r>
      <w:r>
        <w:rPr>
          <w:b/>
        </w:rPr>
        <w:instrText xml:space="preserve"> IF "-" = "-" "" "Tidigare behandlat i utskottet </w:instrText>
      </w:r>
      <w:r>
        <w:rPr>
          <w:b/>
        </w:rPr>
        <w:br/>
      </w:r>
      <w:r w:rsidRPr="002F0461">
        <w:instrText>-</w:instrText>
      </w:r>
    </w:p>
    <w:p w14:paraId="1D23E922" w14:textId="77777777" w:rsidR="00E0653A" w:rsidRDefault="0078516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D23E923"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924" w14:textId="77777777" w:rsidR="00643D86" w:rsidRDefault="00785166" w:rsidP="00643D86">
      <w:r>
        <w:instrText>"</w:instrText>
      </w:r>
      <w:r>
        <w:rPr>
          <w:b/>
        </w:rPr>
        <w:instrText xml:space="preserve"> </w:instrText>
      </w:r>
      <w:r>
        <w:rPr>
          <w:b/>
        </w:rPr>
        <w:fldChar w:fldCharType="end"/>
      </w:r>
      <w:r w:rsidRPr="00B44CE2">
        <w:rPr>
          <w:b/>
        </w:rPr>
        <w:t>Annotering</w:t>
      </w:r>
      <w:r>
        <w:rPr>
          <w:b/>
        </w:rPr>
        <w:br/>
      </w:r>
      <w:r>
        <w:t>Föranleder ingen annotering.</w:t>
      </w:r>
    </w:p>
    <w:p w14:paraId="1D23E925" w14:textId="77777777" w:rsidR="00643D86" w:rsidRDefault="00785166" w:rsidP="00643D86">
      <w:pPr>
        <w:pStyle w:val="Rubrik1"/>
      </w:pPr>
      <w:bookmarkStart w:id="8" w:name="_Toc472519655"/>
      <w:r>
        <w:rPr>
          <w:noProof/>
        </w:rPr>
        <w:t>Governing</w:t>
      </w:r>
      <w:r>
        <w:rPr>
          <w:noProof/>
        </w:rPr>
        <w:t xml:space="preserve"> Board of the European Foundation for the Improvement of Living </w:t>
      </w:r>
      <w:r>
        <w:rPr>
          <w:noProof/>
        </w:rPr>
        <w:t>and Working Conditions</w:t>
      </w:r>
      <w:r>
        <w:rPr>
          <w:noProof/>
        </w:rPr>
        <w:br/>
        <w:t>Draft Council Decision appointing members and alternate members for Bulgaria, Italy, Lithuania, Luxembourg, Malta, Austria and Slovakia</w:t>
      </w:r>
      <w:bookmarkEnd w:id="8"/>
    </w:p>
    <w:p w14:paraId="1D23E926" w14:textId="0524B165" w:rsidR="00643D86" w:rsidRDefault="00785166" w:rsidP="00643D86">
      <w:pPr>
        <w:rPr>
          <w:lang w:val="en-US"/>
        </w:rPr>
      </w:pPr>
      <w:r>
        <w:rPr>
          <w:noProof/>
          <w:lang w:val="en-US"/>
        </w:rPr>
        <w:t>=</w:t>
      </w:r>
      <w:r>
        <w:rPr>
          <w:lang w:val="en-US"/>
        </w:rPr>
        <w:t>Adoption</w:t>
      </w:r>
      <w:r>
        <w:rPr>
          <w:lang w:val="en-US"/>
        </w:rPr>
        <w:br/>
      </w:r>
      <w:r>
        <w:rPr>
          <w:noProof/>
          <w:lang w:val="en-US"/>
        </w:rPr>
        <w:t>15550</w:t>
      </w:r>
      <w:r>
        <w:rPr>
          <w:lang w:val="en-US"/>
        </w:rPr>
        <w:t>/1/16 SOC 803 EMPL 543 REV 1</w:t>
      </w:r>
      <w:r w:rsidR="00D800C2">
        <w:rPr>
          <w:lang w:val="en-US"/>
        </w:rPr>
        <w:br/>
      </w:r>
      <w:r>
        <w:rPr>
          <w:lang w:val="en-US"/>
        </w:rPr>
        <w:t>15249/16 SOC 775 EMPL 522</w:t>
      </w:r>
    </w:p>
    <w:p w14:paraId="1D23E927" w14:textId="77777777" w:rsidR="00643D86" w:rsidRDefault="00785166" w:rsidP="00643D86">
      <w:r>
        <w:rPr>
          <w:b/>
        </w:rPr>
        <w:t>Ansvarigt statsråd</w:t>
      </w:r>
      <w:r>
        <w:rPr>
          <w:b/>
        </w:rPr>
        <w:br/>
      </w:r>
      <w:r>
        <w:rPr>
          <w:noProof/>
        </w:rPr>
        <w:t>Ylva</w:t>
      </w:r>
      <w:r>
        <w:t xml:space="preserve"> Joha</w:t>
      </w:r>
      <w:r>
        <w:t>nsson</w:t>
      </w:r>
    </w:p>
    <w:p w14:paraId="1D23E928"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929"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92A"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92B"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92C"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92D"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92E"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D23E92F" w14:textId="77777777" w:rsidR="00E0653A" w:rsidRDefault="0078516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D23E930"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931" w14:textId="77777777" w:rsidR="00643D86" w:rsidRDefault="00785166" w:rsidP="00643D86">
      <w:r>
        <w:instrText>"</w:instrText>
      </w:r>
      <w:r>
        <w:rPr>
          <w:b/>
        </w:rPr>
        <w:instrText xml:space="preserve"> </w:instrText>
      </w:r>
      <w:r>
        <w:rPr>
          <w:b/>
        </w:rPr>
        <w:fldChar w:fldCharType="end"/>
      </w:r>
      <w:r w:rsidRPr="00B44CE2">
        <w:rPr>
          <w:b/>
        </w:rPr>
        <w:t>Annotering</w:t>
      </w:r>
      <w:r>
        <w:rPr>
          <w:b/>
        </w:rPr>
        <w:br/>
      </w:r>
      <w:r>
        <w:t xml:space="preserve">Föranleder </w:t>
      </w:r>
      <w:r>
        <w:t>ingen annotering.</w:t>
      </w:r>
    </w:p>
    <w:p w14:paraId="1D23E932" w14:textId="77777777" w:rsidR="00643D86" w:rsidRDefault="00785166" w:rsidP="00643D86">
      <w:pPr>
        <w:pStyle w:val="Rubrik1"/>
      </w:pPr>
      <w:bookmarkStart w:id="9" w:name="_Toc472519656"/>
      <w:r>
        <w:rPr>
          <w:noProof/>
        </w:rPr>
        <w:t>Commission</w:t>
      </w:r>
      <w:r>
        <w:rPr>
          <w:noProof/>
        </w:rPr>
        <w:t xml:space="preserve"> delegated Regulation (EU) …/... of 30.11.2016 amending Regulation (EU) No 98/2013 of the European Parliament and of the Council, as regards adding aluminium powder to the list of explosives precursors in Annex II</w:t>
      </w:r>
      <w:bookmarkEnd w:id="9"/>
    </w:p>
    <w:p w14:paraId="1D23E933" w14:textId="0F9A6792" w:rsidR="00643D86" w:rsidRDefault="00785166" w:rsidP="00643D86">
      <w:pPr>
        <w:rPr>
          <w:lang w:val="en-US"/>
        </w:rPr>
      </w:pPr>
      <w:r>
        <w:rPr>
          <w:noProof/>
          <w:lang w:val="en-US"/>
        </w:rPr>
        <w:t>=</w:t>
      </w:r>
      <w:r>
        <w:rPr>
          <w:lang w:val="en-US"/>
        </w:rPr>
        <w:t>Intention not</w:t>
      </w:r>
      <w:r>
        <w:rPr>
          <w:lang w:val="en-US"/>
        </w:rPr>
        <w:t xml:space="preserve"> to raise objections to a delegated act</w:t>
      </w:r>
      <w:r>
        <w:rPr>
          <w:lang w:val="en-US"/>
        </w:rPr>
        <w:br/>
      </w:r>
      <w:r>
        <w:rPr>
          <w:noProof/>
          <w:lang w:val="en-US"/>
        </w:rPr>
        <w:t>5023</w:t>
      </w:r>
      <w:r>
        <w:rPr>
          <w:lang w:val="en-US"/>
        </w:rPr>
        <w:t>/17 COMPET 1 CHIMIE 1 ENFOPOL 3 ENV 2MI 4 ENT 2 UD 1 DELACT 1</w:t>
      </w:r>
      <w:r w:rsidR="00D800C2">
        <w:rPr>
          <w:lang w:val="en-US"/>
        </w:rPr>
        <w:br/>
      </w:r>
      <w:r>
        <w:rPr>
          <w:lang w:val="en-US"/>
        </w:rPr>
        <w:t>15169/16 COMPET 642 CHIMIE 73 ENFOPOL 452 ENV 761 MI 776 ENT 222UD 257 DELACT 251+ COR 1+ COR 1 REV 1 (nl)</w:t>
      </w:r>
    </w:p>
    <w:p w14:paraId="1D23E934" w14:textId="77777777" w:rsidR="00643D86" w:rsidRDefault="00785166" w:rsidP="00643D86">
      <w:r>
        <w:rPr>
          <w:b/>
        </w:rPr>
        <w:lastRenderedPageBreak/>
        <w:t>Ansvarigt statsråd</w:t>
      </w:r>
      <w:r>
        <w:rPr>
          <w:b/>
        </w:rPr>
        <w:br/>
      </w:r>
      <w:r>
        <w:rPr>
          <w:noProof/>
        </w:rPr>
        <w:t>Anders</w:t>
      </w:r>
      <w:r>
        <w:t xml:space="preserve"> Ygeman</w:t>
      </w:r>
    </w:p>
    <w:p w14:paraId="1D23E935"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w:instrText>
      </w:r>
      <w:r>
        <w:rPr>
          <w:b/>
        </w:rPr>
        <w:instrText xml:space="preserve">-"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936"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937"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938"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939"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93A"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93B"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D23E93C" w14:textId="77777777" w:rsidR="00E0653A" w:rsidRDefault="0078516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D23E93D"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93F" w14:textId="65ABE111" w:rsidR="00576B17" w:rsidRDefault="00785166" w:rsidP="00D800C2">
      <w:r>
        <w:instrText>"</w:instrText>
      </w:r>
      <w:r>
        <w:rPr>
          <w:b/>
        </w:rPr>
        <w:instrText xml:space="preserve"> </w:instrText>
      </w:r>
      <w:r>
        <w:rPr>
          <w:b/>
        </w:rPr>
        <w:fldChar w:fldCharType="end"/>
      </w:r>
      <w:r w:rsidRPr="00B44CE2">
        <w:rPr>
          <w:b/>
        </w:rPr>
        <w:t>Annotering</w:t>
      </w:r>
      <w:r>
        <w:rPr>
          <w:b/>
        </w:rPr>
        <w:br/>
      </w:r>
      <w:r>
        <w:rPr>
          <w:b/>
          <w:bCs/>
        </w:rPr>
        <w:t>Avsikt med</w:t>
      </w:r>
      <w:r>
        <w:rPr>
          <w:b/>
          <w:bCs/>
        </w:rPr>
        <w:t xml:space="preserve"> behandlingen i rådet:</w:t>
      </w:r>
      <w:r>
        <w:t xml:space="preserve"> Rådet föreslås inte motsätta sig antagandet av Kommissionens föreslagna direktiv. (Decision not to oppose adoption).</w:t>
      </w:r>
    </w:p>
    <w:p w14:paraId="1D23E940" w14:textId="3D5F44C6" w:rsidR="00576B17" w:rsidRDefault="00785166">
      <w:pPr>
        <w:spacing w:after="280" w:afterAutospacing="1"/>
      </w:pPr>
      <w:r>
        <w:rPr>
          <w:b/>
          <w:bCs/>
        </w:rPr>
        <w:t>Hur regeringen ställer sig till den blivande A-punkten:</w:t>
      </w:r>
      <w:r>
        <w:t xml:space="preserve"> Regeringen föreslås rösta ja i frågan.</w:t>
      </w:r>
    </w:p>
    <w:p w14:paraId="1D23E941" w14:textId="77777777" w:rsidR="00576B17" w:rsidRDefault="00785166">
      <w:pPr>
        <w:spacing w:after="280" w:afterAutospacing="1"/>
      </w:pPr>
      <w:r>
        <w:rPr>
          <w:b/>
          <w:bCs/>
        </w:rPr>
        <w:t>Bakgrund:</w:t>
      </w:r>
      <w:r>
        <w:t xml:space="preserve"> Kommission</w:t>
      </w:r>
      <w:r>
        <w:t>en har lagt till tre ämnen i prekursorsförordningens (Europaparlamentets och rådets förordning nr 98/2013 av den 15 januari 2013 om saluföring och användning av sprängämnesprekursorer) bilaga II; aluminiumpulver, magnesiumpulver och magnesiumnitrat hexahyd</w:t>
      </w:r>
      <w:r>
        <w:t>rat. Sprängämnesprekursorer är ämnen av vilka sprängmedel kan tillverkas. Förordningen begränsar allmänhetens tillgång till ämnena samt ålägger ekonomiska aktörer en skyldighet att anmäla misstänkta transaktioner till den nationella kontaktpunkten (Polismy</w:t>
      </w:r>
      <w:r>
        <w:t>ndigheten i Sverige). Förslaget att aluminiumpulver ska läggas till i förordningens bilaga II kom från Nederländerna.</w:t>
      </w:r>
    </w:p>
    <w:p w14:paraId="1D23E943" w14:textId="3B480271" w:rsidR="00FB32B9" w:rsidRDefault="00785166">
      <w:pPr>
        <w:spacing w:after="280" w:afterAutospacing="1"/>
        <w:rPr>
          <w:noProof/>
        </w:rPr>
      </w:pPr>
      <w:r>
        <w:t>Förordningens bilaga II listar de ämnen som ekonomiska aktörer är skyldiga att rapportera till den nationella kontaktpunkten, i fall av mi</w:t>
      </w:r>
      <w:r>
        <w:t>sstänkta transaktioner, betydande stölder eller försvinnanden av produkter som innehåller ämnena. Syftet med regleringen är att behörig myndighet ska få information om och kunna utreda den misstänkta transaktionen i syfte att förebygga brott. Studier utför</w:t>
      </w:r>
      <w:r>
        <w:t>da av bland annat Myndigheten för samhällsskydd och beredskap har visat att aluminiumpulver kan användas vid tillverkning av sprängmedel. Sverige har således vid frågans tidigare behandling i Ständiga kommittén för prekursorer (arbetsgrupp under förordning</w:t>
      </w:r>
      <w:r>
        <w:t xml:space="preserve">en) gett förslaget sitt stöd. </w:t>
      </w:r>
    </w:p>
    <w:p w14:paraId="1D23E944" w14:textId="77777777" w:rsidR="00643D86" w:rsidRDefault="00785166" w:rsidP="00643D86">
      <w:pPr>
        <w:pStyle w:val="Rubrik1"/>
      </w:pPr>
      <w:bookmarkStart w:id="10" w:name="_Toc472519657"/>
      <w:r>
        <w:rPr>
          <w:noProof/>
        </w:rPr>
        <w:t>Commission</w:t>
      </w:r>
      <w:r>
        <w:rPr>
          <w:noProof/>
        </w:rPr>
        <w:t xml:space="preserve"> delegated Regulation (EU) …/... of 30.11.2016 amending Regulation (EU) No 98/2013 of the European Parliament and of the Council as regards adding magnesium nitrate hexahydrate to the list of explosives precursor</w:t>
      </w:r>
      <w:r>
        <w:rPr>
          <w:noProof/>
        </w:rPr>
        <w:t>s in Annex II</w:t>
      </w:r>
      <w:bookmarkEnd w:id="10"/>
    </w:p>
    <w:p w14:paraId="1D23E945" w14:textId="2CC37E4D" w:rsidR="00643D86" w:rsidRDefault="00785166" w:rsidP="00643D86">
      <w:pPr>
        <w:rPr>
          <w:lang w:val="en-US"/>
        </w:rPr>
      </w:pPr>
      <w:r>
        <w:rPr>
          <w:noProof/>
          <w:lang w:val="en-US"/>
        </w:rPr>
        <w:t>=</w:t>
      </w:r>
      <w:r>
        <w:rPr>
          <w:lang w:val="en-US"/>
        </w:rPr>
        <w:t>Intention not to raise objections to a delegated act</w:t>
      </w:r>
      <w:r>
        <w:rPr>
          <w:lang w:val="en-US"/>
        </w:rPr>
        <w:br/>
      </w:r>
      <w:r>
        <w:rPr>
          <w:noProof/>
          <w:lang w:val="en-US"/>
        </w:rPr>
        <w:t>5024</w:t>
      </w:r>
      <w:r>
        <w:rPr>
          <w:lang w:val="en-US"/>
        </w:rPr>
        <w:t>/17 COMPET 2 CHIMIE 2 ENFOPOL 4 ENV 3 MI 5 ENT 3 UD 2DELACT 2</w:t>
      </w:r>
      <w:r w:rsidR="00D800C2">
        <w:rPr>
          <w:lang w:val="en-US"/>
        </w:rPr>
        <w:br/>
      </w:r>
      <w:r>
        <w:rPr>
          <w:lang w:val="en-US"/>
        </w:rPr>
        <w:t>15170/16 COMPET 643 CHIMIE 74 ENFOPOL 453 ENV 762 MI 777 ENT 223UD 258 DELACT 252</w:t>
      </w:r>
    </w:p>
    <w:p w14:paraId="1D23E946" w14:textId="77777777" w:rsidR="00643D86" w:rsidRDefault="00785166" w:rsidP="00643D86">
      <w:r>
        <w:rPr>
          <w:b/>
        </w:rPr>
        <w:t>Ansvarigt statsråd</w:t>
      </w:r>
      <w:r>
        <w:rPr>
          <w:b/>
        </w:rPr>
        <w:br/>
      </w:r>
      <w:r>
        <w:rPr>
          <w:noProof/>
        </w:rPr>
        <w:t>Anders</w:t>
      </w:r>
      <w:r>
        <w:t xml:space="preserve"> Ygeman</w:t>
      </w:r>
    </w:p>
    <w:p w14:paraId="1D23E947"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w:instrText>
      </w:r>
      <w:r>
        <w:rPr>
          <w:b/>
        </w:rPr>
        <w:instrText xml:space="preserve">=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948"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949"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94A"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94B"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94C"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94D"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D23E94E" w14:textId="77777777" w:rsidR="00E0653A" w:rsidRDefault="0078516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D23E94F"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951" w14:textId="0AD6DFF6" w:rsidR="00576B17" w:rsidRDefault="00785166" w:rsidP="00D800C2">
      <w:r>
        <w:instrText>"</w:instrText>
      </w:r>
      <w:r>
        <w:rPr>
          <w:b/>
        </w:rPr>
        <w:instrText xml:space="preserve"> </w:instrText>
      </w:r>
      <w:r>
        <w:rPr>
          <w:b/>
        </w:rPr>
        <w:fldChar w:fldCharType="end"/>
      </w:r>
      <w:r w:rsidRPr="00B44CE2">
        <w:rPr>
          <w:b/>
        </w:rPr>
        <w:t>Annotering</w:t>
      </w:r>
      <w:r>
        <w:rPr>
          <w:b/>
        </w:rPr>
        <w:br/>
      </w:r>
      <w:r>
        <w:rPr>
          <w:b/>
          <w:bCs/>
        </w:rPr>
        <w:t>Avsikt med</w:t>
      </w:r>
      <w:r>
        <w:rPr>
          <w:b/>
          <w:bCs/>
        </w:rPr>
        <w:t xml:space="preserve"> behandlingen i rådet:</w:t>
      </w:r>
      <w:r>
        <w:t xml:space="preserve"> Rådet föreslås inte motsätta sig antagandet av Kommissionens föreslagna direktiv. (Decision not to oppose adoption).</w:t>
      </w:r>
    </w:p>
    <w:p w14:paraId="1D23E952" w14:textId="0D9C4102" w:rsidR="00576B17" w:rsidRDefault="00785166">
      <w:pPr>
        <w:spacing w:after="280" w:afterAutospacing="1"/>
      </w:pPr>
      <w:r>
        <w:rPr>
          <w:b/>
          <w:bCs/>
        </w:rPr>
        <w:t>Hur regeringen ställer sig till den blivande A-punkten:</w:t>
      </w:r>
      <w:r>
        <w:t xml:space="preserve"> Regeringen föreslås rösta ja i frågan.</w:t>
      </w:r>
    </w:p>
    <w:p w14:paraId="1D23E953" w14:textId="77777777" w:rsidR="00576B17" w:rsidRDefault="00785166">
      <w:pPr>
        <w:spacing w:after="280" w:afterAutospacing="1"/>
      </w:pPr>
      <w:r>
        <w:rPr>
          <w:b/>
          <w:bCs/>
        </w:rPr>
        <w:t>Bakgrund:</w:t>
      </w:r>
      <w:r>
        <w:t xml:space="preserve"> Kommissionen har lagt till tre ämnen i prekursorsförordningens (Europa¬parlamentets och rådets förordning nr 98/2013 av den 15 januari 2013 om saluföring och användning av sprängämnesprekursorer) bilaga II; aluminiumpulver, magnesium¬pulver </w:t>
      </w:r>
      <w:r>
        <w:lastRenderedPageBreak/>
        <w:t>och magnesiumn</w:t>
      </w:r>
      <w:r>
        <w:t>itrat hexahydrat (ett gödselmedel). Sprängämnes¬prekursorer är ämnen av vilka sprängmedel kan tillverkas. Förordningen begränsar allmänhetens tillgång till de sju ämnena i dess bilaga I samt ålägger ekonomiska aktörer en skyldighet att anmäla misstänkta tr</w:t>
      </w:r>
      <w:r>
        <w:t xml:space="preserve">ansaktioner med dessa och de ytterligare åtta ämnen som listas i dess bilaga II till den nationella kontaktpunkten (Polismyndigheten i Sverige). Förslaget att magnesiumnitrat hexahydrat ska läggas till i förordningens bilaga II har föreslagits av Sverige, </w:t>
      </w:r>
      <w:r>
        <w:t>inom ramen för Ständiga kommittén för prekursorer (arbetsgrupp under förordningen).</w:t>
      </w:r>
    </w:p>
    <w:p w14:paraId="1D23E955" w14:textId="02D3332C" w:rsidR="00FB32B9" w:rsidRDefault="00785166">
      <w:pPr>
        <w:spacing w:after="280" w:afterAutospacing="1"/>
        <w:rPr>
          <w:noProof/>
        </w:rPr>
      </w:pPr>
      <w:r>
        <w:t>Förordningens bilagor listar de ämnen som ekonomiska aktörer är skyldiga att rapportera till den nationella kontaktpunkten, i fall av misstänkta transaktioner, betydande st</w:t>
      </w:r>
      <w:r>
        <w:t>ölder eller försvinnanden av produkter som innehåller ämnena. Syftet med rapporteringen är att behörig myndighet ska få information om och kunna utreda den misstänkta transaktionen, stölden eller försvinnandet i syfte att förebygga brott. Studier utförda a</w:t>
      </w:r>
      <w:r>
        <w:t>v bland annat Myndigheten för samhällsskydd och beredskap har visat att magnesiumnitrat hexahydrat kan användas vid tillverkning av sprängmedel.</w:t>
      </w:r>
    </w:p>
    <w:p w14:paraId="1D23E956" w14:textId="77777777" w:rsidR="00643D86" w:rsidRDefault="00785166" w:rsidP="00643D86">
      <w:pPr>
        <w:pStyle w:val="Rubrik1"/>
      </w:pPr>
      <w:bookmarkStart w:id="11" w:name="_Toc472519658"/>
      <w:r>
        <w:rPr>
          <w:noProof/>
        </w:rPr>
        <w:t>Commission</w:t>
      </w:r>
      <w:r>
        <w:rPr>
          <w:noProof/>
        </w:rPr>
        <w:t xml:space="preserve"> delegated Regulation (EU) …/... of 30.11.2016 amending Regulation (EU) No 98/2013 of the European </w:t>
      </w:r>
      <w:r>
        <w:rPr>
          <w:noProof/>
        </w:rPr>
        <w:t>Parliament and of the Council, as regards adding magnesium powder to the list of explosives precursors in Annex II</w:t>
      </w:r>
      <w:bookmarkEnd w:id="11"/>
    </w:p>
    <w:p w14:paraId="1D23E957" w14:textId="4136D55D" w:rsidR="00643D86" w:rsidRDefault="00785166" w:rsidP="00643D86">
      <w:pPr>
        <w:rPr>
          <w:lang w:val="en-US"/>
        </w:rPr>
      </w:pPr>
      <w:r>
        <w:rPr>
          <w:noProof/>
          <w:lang w:val="en-US"/>
        </w:rPr>
        <w:t>=</w:t>
      </w:r>
      <w:r>
        <w:rPr>
          <w:lang w:val="en-US"/>
        </w:rPr>
        <w:t>Intention not to raise objections to a delegated act</w:t>
      </w:r>
      <w:r>
        <w:rPr>
          <w:lang w:val="en-US"/>
        </w:rPr>
        <w:br/>
      </w:r>
      <w:r>
        <w:rPr>
          <w:noProof/>
          <w:lang w:val="en-US"/>
        </w:rPr>
        <w:t>5025</w:t>
      </w:r>
      <w:r>
        <w:rPr>
          <w:lang w:val="en-US"/>
        </w:rPr>
        <w:t>/17 COMPET 3 CHIMIE 3 ENFOPOL 5 ENV 4MI 6 ENT 4 UD 3 DELACT 3</w:t>
      </w:r>
      <w:r w:rsidR="00D800C2">
        <w:rPr>
          <w:lang w:val="en-US"/>
        </w:rPr>
        <w:br/>
      </w:r>
      <w:r>
        <w:rPr>
          <w:lang w:val="en-US"/>
        </w:rPr>
        <w:t>15171/16 COMPET 644 CH</w:t>
      </w:r>
      <w:r>
        <w:rPr>
          <w:lang w:val="en-US"/>
        </w:rPr>
        <w:t>IMIE 75 ENFOPOL 454 ENV 763MI 778 ENT 224 UD 259 DELACT 253+ COR 1</w:t>
      </w:r>
    </w:p>
    <w:p w14:paraId="1D23E958" w14:textId="77777777" w:rsidR="00643D86" w:rsidRDefault="00785166" w:rsidP="00643D86">
      <w:r>
        <w:rPr>
          <w:b/>
        </w:rPr>
        <w:t>Ansvarigt statsråd</w:t>
      </w:r>
      <w:r>
        <w:rPr>
          <w:b/>
        </w:rPr>
        <w:br/>
      </w:r>
      <w:r>
        <w:rPr>
          <w:noProof/>
        </w:rPr>
        <w:t>Anders</w:t>
      </w:r>
      <w:r>
        <w:t xml:space="preserve"> Ygeman</w:t>
      </w:r>
    </w:p>
    <w:p w14:paraId="1D23E959"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95A"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95B"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95C"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95D"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95E"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95F"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D23E960" w14:textId="77777777" w:rsidR="00E0653A" w:rsidRDefault="00785166" w:rsidP="00C8338E">
      <w:r>
        <w:instrText>"</w:instrText>
      </w:r>
      <w:r>
        <w:rPr>
          <w:b/>
        </w:rPr>
        <w:instrText xml:space="preserve"> </w:instrText>
      </w:r>
      <w:r>
        <w:rPr>
          <w:b/>
        </w:rPr>
        <w:fldChar w:fldCharType="end"/>
      </w:r>
      <w:r>
        <w:rPr>
          <w:b/>
        </w:rPr>
        <w:instrText xml:space="preserve"> "Tidigare</w:instrText>
      </w:r>
      <w:r>
        <w:rPr>
          <w:b/>
        </w:rPr>
        <w:instrText xml:space="preserve"> behandlat i utskottet</w:instrText>
      </w:r>
      <w:r>
        <w:rPr>
          <w:b/>
        </w:rPr>
        <w:br/>
      </w:r>
      <w:r w:rsidRPr="002F0461">
        <w:instrText>-</w:instrText>
      </w:r>
    </w:p>
    <w:p w14:paraId="1D23E961"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963" w14:textId="70F218D5" w:rsidR="00576B17" w:rsidRDefault="00785166" w:rsidP="00D800C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inte motsätta sig antagandet av Kommissionens föreslagna direktiv. (Decision not to oppose adoption).</w:t>
      </w:r>
    </w:p>
    <w:p w14:paraId="1D23E964" w14:textId="12AFA0E3" w:rsidR="00576B17" w:rsidRDefault="00785166">
      <w:pPr>
        <w:spacing w:after="280" w:afterAutospacing="1"/>
      </w:pPr>
      <w:r>
        <w:rPr>
          <w:b/>
          <w:bCs/>
        </w:rPr>
        <w:t xml:space="preserve">Hur regeringen ställer </w:t>
      </w:r>
      <w:r>
        <w:rPr>
          <w:b/>
          <w:bCs/>
        </w:rPr>
        <w:t>sig till den blivande A-punkten:</w:t>
      </w:r>
      <w:r>
        <w:t xml:space="preserve"> Regeringen föreslås rösta ja i frågan.</w:t>
      </w:r>
    </w:p>
    <w:p w14:paraId="1D23E965" w14:textId="77777777" w:rsidR="00576B17" w:rsidRDefault="00785166">
      <w:pPr>
        <w:spacing w:after="280" w:afterAutospacing="1"/>
      </w:pPr>
      <w:r>
        <w:rPr>
          <w:b/>
          <w:bCs/>
        </w:rPr>
        <w:t>Bakgrund:</w:t>
      </w:r>
      <w:r>
        <w:t xml:space="preserve"> Kommissionen har lagt till tre ämnen i prekursorsförordningens (Europaparlamentets och rådets förordning nr 98/2013 av den 15 januari 2013 om saluföring och användning av sp</w:t>
      </w:r>
      <w:r>
        <w:t>rängämnesprekursorer) bilaga II; aluminiumpulver, magnesiumpulver och magnesiumnitrat hexahydrat.  Sprängämnes¬prekursorer är ämnen av vilka sprängmedel kan tillverkas. Förordningen begränsar allmänhetens tillgång till de sju ämnena i dess bilaga I samt ål</w:t>
      </w:r>
      <w:r>
        <w:t xml:space="preserve">ägger ekonomiska aktörer en skyldighet att anmäla misstänkta transaktioner med dessa och de ytterligare åtta ämnen som listas i dess bilaga II till den nationella kontaktpunkten (Polismyndigheten i Sverige). Förslaget att magnesiumpulver ska läggas till i </w:t>
      </w:r>
      <w:r>
        <w:t>förordningens bilaga II kom ursprungligen från Nederländerna.</w:t>
      </w:r>
    </w:p>
    <w:p w14:paraId="1D23E967" w14:textId="0C0F496A" w:rsidR="00FB32B9" w:rsidRDefault="00785166">
      <w:pPr>
        <w:spacing w:after="280" w:afterAutospacing="1"/>
        <w:rPr>
          <w:noProof/>
        </w:rPr>
      </w:pPr>
      <w:r>
        <w:t>Förordningens bilaga II listar de ämnen som ekonomiska aktörer är skyldiga att rapportera till den nationella kontaktpunkten, i fall av misstänkta transaktioner, betydande stölder eller försvinn</w:t>
      </w:r>
      <w:r>
        <w:t xml:space="preserve">anden av produkter som innehåller ämnena. Syftet med rapporteringen är att behörig myndighet ska få information om och kunna utreda den misstänkta transaktionen, stölden eller </w:t>
      </w:r>
      <w:r>
        <w:lastRenderedPageBreak/>
        <w:t>försvinnandet i syfte att förebygga brott. Studier utförda av bland annat Myndig</w:t>
      </w:r>
      <w:r>
        <w:t>heten för samhällsskydd och beredskap har visat att magnesiumpulver kan användas vid tillverkning av sprängmedel. Sverige har således vid frågans tidigare behandling i Ständiga kommittén för prekursorer (arbetsgrupp under förordningen) gett förslaget uttry</w:t>
      </w:r>
      <w:r>
        <w:t>ckligt stöd.</w:t>
      </w:r>
    </w:p>
    <w:p w14:paraId="1D23E968" w14:textId="77777777" w:rsidR="00643D86" w:rsidRDefault="00785166" w:rsidP="00643D86">
      <w:pPr>
        <w:pStyle w:val="Rubrik1"/>
      </w:pPr>
      <w:bookmarkStart w:id="12" w:name="_Toc472519659"/>
      <w:r>
        <w:rPr>
          <w:noProof/>
        </w:rPr>
        <w:t>Commission</w:t>
      </w:r>
      <w:r>
        <w:rPr>
          <w:noProof/>
        </w:rPr>
        <w:t xml:space="preserve"> delegated Regulation (EU) …/... of 30.11.2016 amending delegated Regulations (EU) No 1059/2010, (EU) No 1060/2010, (EU) No 1061/2010, (EU) No 1062/2010, (EU) No 626/2011, (EU) No 392/2012, (EU) No 874/2012, (EU) No 665/2013, (EU)</w:t>
      </w:r>
      <w:r>
        <w:rPr>
          <w:noProof/>
        </w:rPr>
        <w:t xml:space="preserve"> No 811/2013, (EU) No 812/2013, (EU) No 65/2014, (EU) No 1254/2014, (EU) 2015/1094, (EU) 2015/1186 and (EU) 2015/1187 with regard to the use of tolerances in verification procedures</w:t>
      </w:r>
      <w:bookmarkEnd w:id="12"/>
    </w:p>
    <w:p w14:paraId="1D23E969" w14:textId="6965CB13" w:rsidR="00643D86" w:rsidRDefault="00785166" w:rsidP="00643D86">
      <w:pPr>
        <w:rPr>
          <w:lang w:val="en-US"/>
        </w:rPr>
      </w:pPr>
      <w:r>
        <w:rPr>
          <w:noProof/>
          <w:lang w:val="en-US"/>
        </w:rPr>
        <w:t>=</w:t>
      </w:r>
      <w:r>
        <w:rPr>
          <w:lang w:val="en-US"/>
        </w:rPr>
        <w:t>Intention not to raise objections to a delegated act</w:t>
      </w:r>
      <w:r>
        <w:rPr>
          <w:lang w:val="en-US"/>
        </w:rPr>
        <w:br/>
      </w:r>
      <w:r>
        <w:rPr>
          <w:noProof/>
          <w:lang w:val="en-US"/>
        </w:rPr>
        <w:t>5059</w:t>
      </w:r>
      <w:r>
        <w:rPr>
          <w:lang w:val="en-US"/>
        </w:rPr>
        <w:t>/17 ENER 2 ENV 8</w:t>
      </w:r>
      <w:r>
        <w:rPr>
          <w:lang w:val="en-US"/>
        </w:rPr>
        <w:t xml:space="preserve"> DELACT 5</w:t>
      </w:r>
      <w:r w:rsidR="00D800C2">
        <w:rPr>
          <w:lang w:val="en-US"/>
        </w:rPr>
        <w:br/>
      </w:r>
      <w:r>
        <w:rPr>
          <w:lang w:val="en-US"/>
        </w:rPr>
        <w:t>15265/16 ENER 425 ENV 771+ ADD 1</w:t>
      </w:r>
    </w:p>
    <w:p w14:paraId="1D23E96A" w14:textId="77777777" w:rsidR="00643D86" w:rsidRDefault="00785166" w:rsidP="00643D86">
      <w:r>
        <w:rPr>
          <w:b/>
        </w:rPr>
        <w:t>Ansvarigt statsråd</w:t>
      </w:r>
      <w:r>
        <w:rPr>
          <w:b/>
        </w:rPr>
        <w:br/>
      </w:r>
      <w:r>
        <w:rPr>
          <w:noProof/>
        </w:rPr>
        <w:t>Ibrahim</w:t>
      </w:r>
      <w:r>
        <w:t xml:space="preserve"> Baylan</w:t>
      </w:r>
    </w:p>
    <w:p w14:paraId="1D23E96B"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96C"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96D"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96E"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96F"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970"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971"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D23E972" w14:textId="77777777" w:rsidR="00E0653A" w:rsidRDefault="0078516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D23E973"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975" w14:textId="1BF236B1" w:rsidR="00576B17" w:rsidRDefault="00785166" w:rsidP="00D800C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Beslut om att inte invända mot antagande av förordningen</w:t>
      </w:r>
    </w:p>
    <w:p w14:paraId="1D23E976" w14:textId="77777777" w:rsidR="00576B17" w:rsidRDefault="00785166">
      <w:pPr>
        <w:spacing w:after="280" w:afterAutospacing="1"/>
      </w:pPr>
      <w:r>
        <w:rPr>
          <w:b/>
          <w:bCs/>
        </w:rPr>
        <w:t>Hur regeringen ställer sig till den blivande A-punkten:</w:t>
      </w:r>
      <w:r>
        <w:t xml:space="preserve"> Regeringen stödjer antagandet av förordningen och avser därför inte att invända mot beslut om antagande.</w:t>
      </w:r>
    </w:p>
    <w:p w14:paraId="1D23E978" w14:textId="16367432" w:rsidR="00FB32B9" w:rsidRDefault="00785166">
      <w:pPr>
        <w:spacing w:after="280" w:afterAutospacing="1"/>
        <w:rPr>
          <w:noProof/>
        </w:rPr>
      </w:pPr>
      <w:r>
        <w:rPr>
          <w:b/>
          <w:bCs/>
        </w:rPr>
        <w:t>Bakgrund:</w:t>
      </w:r>
      <w:r>
        <w:t xml:space="preserve"> </w:t>
      </w:r>
      <w:r>
        <w:t xml:space="preserve">Förslaget för nya skrivningar om toleranser i ekodesign- och energimärkningsförordningarna har behandlats i EU:s kommitté för ekodesign en </w:t>
      </w:r>
      <w:r>
        <w:t>längre tid. Syftet är att tydliggöra kraven om vilka toleransnivåer som ska gälla när man mäter olika produkters prestanda, och vilka tillåtelser för avvikelser som ska accepteras. Energimyndigheten har deltagit aktivt i arbetet att se över och förbättra l</w:t>
      </w:r>
      <w:r>
        <w:t>agstiftningen. Den 12 april 2016 fick förslaget ett stort stöd i ekodesignkommittén.</w:t>
      </w:r>
    </w:p>
    <w:p w14:paraId="1D23E979" w14:textId="77777777" w:rsidR="00643D86" w:rsidRDefault="00785166" w:rsidP="00643D86">
      <w:pPr>
        <w:pStyle w:val="Rubrik1"/>
      </w:pPr>
      <w:bookmarkStart w:id="13" w:name="_Toc472519660"/>
      <w:r>
        <w:rPr>
          <w:noProof/>
        </w:rPr>
        <w:t>Commission</w:t>
      </w:r>
      <w:r>
        <w:rPr>
          <w:noProof/>
        </w:rPr>
        <w:t xml:space="preserve"> Directive (EU) .../… of XXX amending, for the purpose of adopting specific limit values for chemicals used in toys, Appendix C to Annex II to Directive 2009/48</w:t>
      </w:r>
      <w:r>
        <w:rPr>
          <w:noProof/>
        </w:rPr>
        <w:t>/EC of the European Parliament and of the Council on the safety of toys, as regards bisphenol A</w:t>
      </w:r>
      <w:bookmarkEnd w:id="13"/>
    </w:p>
    <w:p w14:paraId="1D23E97A" w14:textId="4E8E1557" w:rsidR="00643D86" w:rsidRDefault="00785166" w:rsidP="00643D86">
      <w:pPr>
        <w:rPr>
          <w:lang w:val="en-US"/>
        </w:rPr>
      </w:pPr>
      <w:r>
        <w:rPr>
          <w:noProof/>
          <w:lang w:val="en-US"/>
        </w:rPr>
        <w:t>=</w:t>
      </w:r>
      <w:r>
        <w:rPr>
          <w:lang w:val="en-US"/>
        </w:rPr>
        <w:t>Decision not to oppose adoption</w:t>
      </w:r>
      <w:r>
        <w:rPr>
          <w:lang w:val="en-US"/>
        </w:rPr>
        <w:br/>
      </w:r>
      <w:r>
        <w:rPr>
          <w:noProof/>
          <w:lang w:val="en-US"/>
        </w:rPr>
        <w:t>5021</w:t>
      </w:r>
      <w:r>
        <w:rPr>
          <w:lang w:val="en-US"/>
        </w:rPr>
        <w:t>/17 MI 3 ENT 1 SAN 1 CONSOM 2 ECO 1</w:t>
      </w:r>
      <w:r w:rsidR="00D800C2">
        <w:rPr>
          <w:lang w:val="en-US"/>
        </w:rPr>
        <w:br/>
      </w:r>
      <w:r>
        <w:rPr>
          <w:lang w:val="en-US"/>
        </w:rPr>
        <w:t>14899/16 MI 749 ENT 217 SAN 410 CONSOM 290 ECO 76</w:t>
      </w:r>
    </w:p>
    <w:p w14:paraId="1D23E97B" w14:textId="77777777" w:rsidR="00643D86" w:rsidRDefault="00785166" w:rsidP="00643D86">
      <w:r>
        <w:rPr>
          <w:b/>
        </w:rPr>
        <w:t>Ansvarigt statsråd</w:t>
      </w:r>
      <w:r>
        <w:rPr>
          <w:b/>
        </w:rPr>
        <w:br/>
      </w:r>
      <w:r>
        <w:rPr>
          <w:noProof/>
        </w:rPr>
        <w:t>Karolina</w:t>
      </w:r>
      <w:r>
        <w:t xml:space="preserve"> Skog</w:t>
      </w:r>
    </w:p>
    <w:p w14:paraId="1D23E97C"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97D"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97E"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97F"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980"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981"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982"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D23E983" w14:textId="77777777" w:rsidR="00E0653A" w:rsidRDefault="0078516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D23E984"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986" w14:textId="440523D7" w:rsidR="00576B17" w:rsidRDefault="00785166" w:rsidP="00D800C2">
      <w:r>
        <w:instrText>"</w:instrText>
      </w:r>
      <w:r>
        <w:rPr>
          <w:b/>
        </w:rPr>
        <w:instrText xml:space="preserve"> </w:instrText>
      </w:r>
      <w:r>
        <w:rPr>
          <w:b/>
        </w:rPr>
        <w:fldChar w:fldCharType="end"/>
      </w:r>
      <w:r w:rsidRPr="00B44CE2">
        <w:rPr>
          <w:b/>
        </w:rPr>
        <w:t>Annotering</w:t>
      </w:r>
      <w:r>
        <w:rPr>
          <w:b/>
        </w:rPr>
        <w:br/>
      </w:r>
      <w:r>
        <w:rPr>
          <w:b/>
          <w:bCs/>
        </w:rPr>
        <w:t>Avsikt med</w:t>
      </w:r>
      <w:r>
        <w:rPr>
          <w:b/>
          <w:bCs/>
        </w:rPr>
        <w:t xml:space="preserve"> behandlingen i rådet:</w:t>
      </w:r>
      <w:r>
        <w:t xml:space="preserve"> </w:t>
      </w:r>
      <w:r>
        <w:t>Rådet föreslås att inte invända mot antagandet av rättsakten.</w:t>
      </w:r>
    </w:p>
    <w:p w14:paraId="1D23E988" w14:textId="375C5DD4" w:rsidR="00FB32B9" w:rsidRDefault="00785166">
      <w:pPr>
        <w:spacing w:after="280" w:afterAutospacing="1"/>
        <w:rPr>
          <w:noProof/>
        </w:rPr>
      </w:pPr>
      <w:r>
        <w:rPr>
          <w:b/>
          <w:bCs/>
        </w:rPr>
        <w:t>Hur regeringen ställer sig till den blivande A-punkten:</w:t>
      </w:r>
      <w:r>
        <w:t xml:space="preserve"> </w:t>
      </w:r>
      <w:r>
        <w:t>Regeringen har inte någon invändning.</w:t>
      </w:r>
      <w:r>
        <w:br/>
      </w:r>
      <w:r>
        <w:lastRenderedPageBreak/>
        <w:br/>
      </w:r>
      <w:r>
        <w:rPr>
          <w:b/>
          <w:bCs/>
        </w:rPr>
        <w:t>Bakgrund:</w:t>
      </w:r>
      <w:r>
        <w:t xml:space="preserve"> </w:t>
      </w:r>
      <w:r>
        <w:t>I direktiv 2009/48 om leksakers säkerhet finns möjlighet att fa</w:t>
      </w:r>
      <w:r>
        <w:t>stställa särskilda gränsvärden för kemikalier som används i leksaker som är avsedda för barn under 36 månader eller i leksaker som är avsedda att stoppas i munnen. Kommissionen lade i november 2016 fram ett förslag till gränsvärde för bisfenol A för omröst</w:t>
      </w:r>
      <w:r>
        <w:t xml:space="preserve">ning i kommittén för leksakers säkerhet. Alla närvarande medlemsstater inklusive Sverige röstade för förslaget. </w:t>
      </w:r>
    </w:p>
    <w:p w14:paraId="1D23E989" w14:textId="77777777" w:rsidR="00643D86" w:rsidRDefault="00785166" w:rsidP="00643D86">
      <w:pPr>
        <w:pStyle w:val="Rubrik1"/>
      </w:pPr>
      <w:bookmarkStart w:id="14" w:name="_Toc472519661"/>
      <w:r>
        <w:rPr>
          <w:noProof/>
        </w:rPr>
        <w:t>Commission</w:t>
      </w:r>
      <w:r>
        <w:rPr>
          <w:noProof/>
        </w:rPr>
        <w:t xml:space="preserve"> Directive (EU) .../… of XXX amending, for the purpose of adopting specific limit values for chemicals used in toys, Appendix C to </w:t>
      </w:r>
      <w:r>
        <w:rPr>
          <w:noProof/>
        </w:rPr>
        <w:t>Annex II to Directive 2009/48/EC of the European Parliament and of the Council on the safety of toys, as regards phenol</w:t>
      </w:r>
      <w:bookmarkEnd w:id="14"/>
    </w:p>
    <w:p w14:paraId="1D23E98A" w14:textId="5D943EBA" w:rsidR="00643D86" w:rsidRDefault="00785166" w:rsidP="00643D86">
      <w:pPr>
        <w:rPr>
          <w:lang w:val="en-US"/>
        </w:rPr>
      </w:pPr>
      <w:r>
        <w:rPr>
          <w:noProof/>
          <w:lang w:val="en-US"/>
        </w:rPr>
        <w:t>=</w:t>
      </w:r>
      <w:r>
        <w:rPr>
          <w:lang w:val="en-US"/>
        </w:rPr>
        <w:t>Decision not to oppose adoption</w:t>
      </w:r>
      <w:r>
        <w:rPr>
          <w:lang w:val="en-US"/>
        </w:rPr>
        <w:br/>
      </w:r>
      <w:r>
        <w:rPr>
          <w:noProof/>
          <w:lang w:val="en-US"/>
        </w:rPr>
        <w:t>5118</w:t>
      </w:r>
      <w:r>
        <w:rPr>
          <w:lang w:val="en-US"/>
        </w:rPr>
        <w:t>/17 MI 17 ENT 9 CONSOM 6 SAN 9 ECO 4</w:t>
      </w:r>
      <w:r w:rsidR="00D800C2">
        <w:rPr>
          <w:lang w:val="en-US"/>
        </w:rPr>
        <w:br/>
      </w:r>
      <w:r>
        <w:rPr>
          <w:lang w:val="en-US"/>
        </w:rPr>
        <w:t>15374/16 MI 787 ENT 227 CONSOM 311 SAN 428 ECO 80+ REV 1 (cs)</w:t>
      </w:r>
    </w:p>
    <w:p w14:paraId="1D23E98B" w14:textId="77777777" w:rsidR="00643D86" w:rsidRDefault="00785166" w:rsidP="00643D86">
      <w:r>
        <w:rPr>
          <w:b/>
        </w:rPr>
        <w:t>A</w:t>
      </w:r>
      <w:r>
        <w:rPr>
          <w:b/>
        </w:rPr>
        <w:t>nsvarigt statsråd</w:t>
      </w:r>
      <w:r>
        <w:rPr>
          <w:b/>
        </w:rPr>
        <w:br/>
      </w:r>
      <w:r>
        <w:rPr>
          <w:noProof/>
        </w:rPr>
        <w:t>Karolina</w:t>
      </w:r>
      <w:r>
        <w:t xml:space="preserve"> Skog</w:t>
      </w:r>
    </w:p>
    <w:p w14:paraId="1D23E98C"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98D"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98E"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98F"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w:instrText>
      </w:r>
      <w:r>
        <w:rPr>
          <w:b/>
        </w:rPr>
        <w:instrText xml:space="preserve">" = "-" "" "Tidigare behandlat i </w:instrText>
      </w:r>
      <w:r w:rsidRPr="00643D86">
        <w:rPr>
          <w:b/>
        </w:rPr>
        <w:instrText>råde</w:instrText>
      </w:r>
      <w:r>
        <w:rPr>
          <w:b/>
        </w:rPr>
        <w:instrText xml:space="preserve">t </w:instrText>
      </w:r>
      <w:r>
        <w:rPr>
          <w:b/>
        </w:rPr>
        <w:br/>
      </w:r>
      <w:r w:rsidRPr="002F0461">
        <w:instrText>-</w:instrText>
      </w:r>
    </w:p>
    <w:p w14:paraId="1D23E990"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991"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992"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D23E993" w14:textId="77777777" w:rsidR="00E0653A" w:rsidRDefault="0078516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D23E994"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w:instrText>
      </w:r>
      <w:r>
        <w:rPr>
          <w:b/>
        </w:rPr>
        <w:instrText>ndlat i utskottet</w:instrText>
      </w:r>
      <w:r>
        <w:rPr>
          <w:b/>
        </w:rPr>
        <w:br/>
      </w:r>
      <w:r>
        <w:instrText>-</w:instrText>
      </w:r>
    </w:p>
    <w:p w14:paraId="1D23E996" w14:textId="5483503B" w:rsidR="00576B17" w:rsidRDefault="00785166" w:rsidP="00D800C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t>Rådet föreslås att inte invända mot antagandet av rättsakten.</w:t>
      </w:r>
    </w:p>
    <w:p w14:paraId="1D23E997" w14:textId="4CA9D55A" w:rsidR="00576B17" w:rsidRDefault="00785166">
      <w:pPr>
        <w:spacing w:after="280" w:afterAutospacing="1"/>
      </w:pPr>
      <w:r>
        <w:rPr>
          <w:b/>
          <w:bCs/>
        </w:rPr>
        <w:t>Hur regeringen ställer sig till den blivande A-punkten:</w:t>
      </w:r>
      <w:r>
        <w:t xml:space="preserve"> </w:t>
      </w:r>
      <w:r>
        <w:t>Regeringen har inte något att invända.</w:t>
      </w:r>
    </w:p>
    <w:p w14:paraId="1D23E999" w14:textId="0FC34379" w:rsidR="00FB32B9" w:rsidRDefault="00785166">
      <w:pPr>
        <w:spacing w:after="280" w:afterAutospacing="1"/>
        <w:rPr>
          <w:noProof/>
        </w:rPr>
      </w:pPr>
      <w:r>
        <w:rPr>
          <w:b/>
          <w:bCs/>
        </w:rPr>
        <w:t>Bakgrund:</w:t>
      </w:r>
      <w:r>
        <w:t xml:space="preserve"> </w:t>
      </w:r>
      <w:r>
        <w:t xml:space="preserve">I direktiv </w:t>
      </w:r>
      <w:r>
        <w:t>2009/48 om leksakers säkerhet finns möjlighet att anta särskilda gränsvärden för kemikalier som används i leksaker för barn under 36 månader eller i andra leksaker som är avsedda att stoppas i munnen. Kommissionen lade i november fram ett förslag om gränsv</w:t>
      </w:r>
      <w:r>
        <w:t>ärde för fenol för omröstning i kommittén för leksakers säkerhet. En kvalificerad majoritet av medlemsländer inklusive Sverige röstade för förslaget. </w:t>
      </w:r>
    </w:p>
    <w:p w14:paraId="1D23E99A" w14:textId="77777777" w:rsidR="00643D86" w:rsidRDefault="00785166" w:rsidP="00643D86">
      <w:pPr>
        <w:pStyle w:val="Rubrik1"/>
      </w:pPr>
      <w:bookmarkStart w:id="15" w:name="_Toc472519662"/>
      <w:r>
        <w:rPr>
          <w:noProof/>
        </w:rPr>
        <w:t>Commission</w:t>
      </w:r>
      <w:r>
        <w:rPr>
          <w:noProof/>
        </w:rPr>
        <w:t xml:space="preserve"> Regulation (EU) …/… of XXX amending Annex to Regulation (EU) No 231/2012 laying down specific</w:t>
      </w:r>
      <w:r>
        <w:rPr>
          <w:noProof/>
        </w:rPr>
        <w:t>ations for food additives listed in Annexes II and III to Regulation (EC) No 1333/2008 of the European Parliament and of the Council as regards specifications for basic methacrylate copolymer (E 1205)</w:t>
      </w:r>
      <w:bookmarkEnd w:id="15"/>
    </w:p>
    <w:p w14:paraId="1D23E99B" w14:textId="0AFC75A7" w:rsidR="00643D86" w:rsidRDefault="00785166" w:rsidP="00643D86">
      <w:pPr>
        <w:rPr>
          <w:lang w:val="en-US"/>
        </w:rPr>
      </w:pPr>
      <w:r>
        <w:rPr>
          <w:noProof/>
          <w:lang w:val="en-US"/>
        </w:rPr>
        <w:t>=</w:t>
      </w:r>
      <w:r>
        <w:rPr>
          <w:lang w:val="en-US"/>
        </w:rPr>
        <w:t>Decision not to oppose adoption</w:t>
      </w:r>
      <w:r>
        <w:rPr>
          <w:lang w:val="en-US"/>
        </w:rPr>
        <w:br/>
      </w:r>
      <w:r>
        <w:rPr>
          <w:noProof/>
          <w:lang w:val="en-US"/>
        </w:rPr>
        <w:t>15677</w:t>
      </w:r>
      <w:r>
        <w:rPr>
          <w:lang w:val="en-US"/>
        </w:rPr>
        <w:t>/16 DENLEG 94 AGR</w:t>
      </w:r>
      <w:r>
        <w:rPr>
          <w:lang w:val="en-US"/>
        </w:rPr>
        <w:t>I 696 SAN 439</w:t>
      </w:r>
      <w:r w:rsidR="00D800C2">
        <w:rPr>
          <w:lang w:val="en-US"/>
        </w:rPr>
        <w:br/>
      </w:r>
      <w:r>
        <w:rPr>
          <w:lang w:val="en-US"/>
        </w:rPr>
        <w:t>15545/16 DENLEG 91 AGRI 682 SAN 432+ ADD 1</w:t>
      </w:r>
    </w:p>
    <w:p w14:paraId="1D23E99C" w14:textId="77777777" w:rsidR="00643D86" w:rsidRDefault="00785166" w:rsidP="00643D86">
      <w:r>
        <w:rPr>
          <w:b/>
        </w:rPr>
        <w:t>Ansvarigt statsråd</w:t>
      </w:r>
      <w:r>
        <w:rPr>
          <w:b/>
        </w:rPr>
        <w:br/>
      </w:r>
      <w:r>
        <w:rPr>
          <w:noProof/>
        </w:rPr>
        <w:t>Sven-Erik</w:t>
      </w:r>
      <w:r>
        <w:t xml:space="preserve"> Bucht</w:t>
      </w:r>
    </w:p>
    <w:p w14:paraId="1D23E99D"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99E"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99F"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9A0"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9A1"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9A2"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9A3"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D23E9A4" w14:textId="77777777" w:rsidR="00E0653A" w:rsidRDefault="0078516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D23E9A5"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9A6" w14:textId="77777777" w:rsidR="00643D86" w:rsidRDefault="00785166" w:rsidP="00643D86">
      <w:r>
        <w:instrText>"</w:instrText>
      </w:r>
      <w:r>
        <w:rPr>
          <w:b/>
        </w:rPr>
        <w:instrText xml:space="preserve"> </w:instrText>
      </w:r>
      <w:r>
        <w:rPr>
          <w:b/>
        </w:rPr>
        <w:fldChar w:fldCharType="end"/>
      </w:r>
      <w:r w:rsidRPr="00B44CE2">
        <w:rPr>
          <w:b/>
        </w:rPr>
        <w:t>Annotering</w:t>
      </w:r>
      <w:r>
        <w:rPr>
          <w:b/>
        </w:rPr>
        <w:br/>
      </w:r>
      <w:r>
        <w:t>Föranleder ingen annotering.</w:t>
      </w:r>
    </w:p>
    <w:p w14:paraId="1D23E9A7" w14:textId="77777777" w:rsidR="00643D86" w:rsidRDefault="00785166" w:rsidP="00643D86">
      <w:pPr>
        <w:pStyle w:val="Rubrik1"/>
      </w:pPr>
      <w:bookmarkStart w:id="16" w:name="_Toc472519663"/>
      <w:r>
        <w:rPr>
          <w:noProof/>
        </w:rPr>
        <w:lastRenderedPageBreak/>
        <w:t>Commission</w:t>
      </w:r>
      <w:r>
        <w:rPr>
          <w:noProof/>
        </w:rPr>
        <w:t xml:space="preserve"> Regulation (EU) …/… of XXX amending Annex II to Regulation (EC) No 1333/2008 of the European Parliament and of the Council as </w:t>
      </w:r>
      <w:r>
        <w:rPr>
          <w:noProof/>
        </w:rPr>
        <w:t>regards the use of Steviol glycosides (E 960) as a sweetener in certain energy-reduced confectionery products</w:t>
      </w:r>
      <w:bookmarkEnd w:id="16"/>
    </w:p>
    <w:p w14:paraId="1D23E9A8" w14:textId="14025604" w:rsidR="00643D86" w:rsidRDefault="00785166" w:rsidP="00643D86">
      <w:pPr>
        <w:rPr>
          <w:lang w:val="en-US"/>
        </w:rPr>
      </w:pPr>
      <w:r>
        <w:rPr>
          <w:noProof/>
          <w:lang w:val="en-US"/>
        </w:rPr>
        <w:t>=</w:t>
      </w:r>
      <w:r>
        <w:rPr>
          <w:lang w:val="en-US"/>
        </w:rPr>
        <w:t>Decision not to oppose adoption</w:t>
      </w:r>
      <w:r>
        <w:rPr>
          <w:lang w:val="en-US"/>
        </w:rPr>
        <w:br/>
      </w:r>
      <w:r>
        <w:rPr>
          <w:noProof/>
          <w:lang w:val="en-US"/>
        </w:rPr>
        <w:t>15681</w:t>
      </w:r>
      <w:r>
        <w:rPr>
          <w:lang w:val="en-US"/>
        </w:rPr>
        <w:t>/16 DENLEG 95 AGRI 697 SAN 440</w:t>
      </w:r>
      <w:r w:rsidR="00D800C2">
        <w:rPr>
          <w:lang w:val="en-US"/>
        </w:rPr>
        <w:br/>
      </w:r>
      <w:r>
        <w:rPr>
          <w:lang w:val="en-US"/>
        </w:rPr>
        <w:t>15619/16 DENLEG 92 AGRI 689 SAN 435+ ADD 1</w:t>
      </w:r>
    </w:p>
    <w:p w14:paraId="1D23E9A9" w14:textId="77777777" w:rsidR="00643D86" w:rsidRDefault="00785166" w:rsidP="00643D86">
      <w:r>
        <w:rPr>
          <w:b/>
        </w:rPr>
        <w:t>Ansvarigt statsråd</w:t>
      </w:r>
      <w:r>
        <w:rPr>
          <w:b/>
        </w:rPr>
        <w:br/>
      </w:r>
      <w:r>
        <w:rPr>
          <w:noProof/>
        </w:rPr>
        <w:t>Sven-Erik</w:t>
      </w:r>
      <w:r>
        <w:t xml:space="preserve"> Bucht</w:t>
      </w:r>
    </w:p>
    <w:p w14:paraId="1D23E9AA"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9AB"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9AC"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9AD"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9AE"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9AF"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9B0"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D23E9B1" w14:textId="77777777" w:rsidR="00E0653A" w:rsidRDefault="0078516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D23E9B2"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9B3" w14:textId="77777777" w:rsidR="00643D86" w:rsidRDefault="00785166" w:rsidP="00643D86">
      <w:r>
        <w:instrText>"</w:instrText>
      </w:r>
      <w:r>
        <w:rPr>
          <w:b/>
        </w:rPr>
        <w:instrText xml:space="preserve"> </w:instrText>
      </w:r>
      <w:r>
        <w:rPr>
          <w:b/>
        </w:rPr>
        <w:fldChar w:fldCharType="end"/>
      </w:r>
      <w:r w:rsidRPr="00B44CE2">
        <w:rPr>
          <w:b/>
        </w:rPr>
        <w:t>Annotering</w:t>
      </w:r>
      <w:r>
        <w:rPr>
          <w:b/>
        </w:rPr>
        <w:br/>
      </w:r>
      <w:r>
        <w:t xml:space="preserve">Föranleder </w:t>
      </w:r>
      <w:r>
        <w:t>ingen annotering.</w:t>
      </w:r>
    </w:p>
    <w:p w14:paraId="1D23E9B4" w14:textId="77777777" w:rsidR="00643D86" w:rsidRDefault="00785166" w:rsidP="00643D86">
      <w:pPr>
        <w:pStyle w:val="Rubrik1"/>
      </w:pPr>
      <w:bookmarkStart w:id="17" w:name="_Toc472519664"/>
      <w:r>
        <w:rPr>
          <w:noProof/>
        </w:rPr>
        <w:t>Commission</w:t>
      </w:r>
      <w:r>
        <w:rPr>
          <w:noProof/>
        </w:rPr>
        <w:t xml:space="preserve"> Regulation (EU) No …/.. of XXX supplementing Regulation (EC) No 715/2007 of the European Parliament and of the Council on type-approval of motor vehicles with respect to emissions from light passenger and commercial vehicles </w:t>
      </w:r>
      <w:r>
        <w:rPr>
          <w:noProof/>
        </w:rPr>
        <w:t>(Euro 5 and Euro 6) and on access to vehicle repair and maintenance information, amending Directive 2007/46/EC of the European Parliament and of the Council, Commission Regulation (EC) No 692/2008 and Commission Regulation (EU) No 1230/2012 and repealing R</w:t>
      </w:r>
      <w:r>
        <w:rPr>
          <w:noProof/>
        </w:rPr>
        <w:t>egulation (EC) No 692/2008</w:t>
      </w:r>
      <w:bookmarkEnd w:id="17"/>
    </w:p>
    <w:p w14:paraId="1D23E9B5" w14:textId="1F85D316" w:rsidR="00643D86" w:rsidRDefault="00785166" w:rsidP="00643D86">
      <w:pPr>
        <w:rPr>
          <w:lang w:val="en-US"/>
        </w:rPr>
      </w:pPr>
      <w:r>
        <w:rPr>
          <w:noProof/>
          <w:lang w:val="en-US"/>
        </w:rPr>
        <w:t>=</w:t>
      </w:r>
      <w:r>
        <w:rPr>
          <w:lang w:val="en-US"/>
        </w:rPr>
        <w:t>Decision not to oppose adoption</w:t>
      </w:r>
      <w:r>
        <w:rPr>
          <w:lang w:val="en-US"/>
        </w:rPr>
        <w:br/>
      </w:r>
      <w:r>
        <w:rPr>
          <w:noProof/>
          <w:lang w:val="en-US"/>
        </w:rPr>
        <w:t>5099</w:t>
      </w:r>
      <w:r>
        <w:rPr>
          <w:lang w:val="en-US"/>
        </w:rPr>
        <w:t>/17 ENT 8 ENV 24 MI 16</w:t>
      </w:r>
      <w:r w:rsidR="00D800C2">
        <w:rPr>
          <w:lang w:val="en-US"/>
        </w:rPr>
        <w:br/>
      </w:r>
      <w:r>
        <w:rPr>
          <w:lang w:val="en-US"/>
        </w:rPr>
        <w:t>15472/16 ENT 230 ENV 794 MI 792+ ADD 1–8</w:t>
      </w:r>
    </w:p>
    <w:p w14:paraId="1D23E9B6" w14:textId="77777777" w:rsidR="00643D86" w:rsidRDefault="00785166" w:rsidP="00643D86">
      <w:r>
        <w:rPr>
          <w:b/>
        </w:rPr>
        <w:t>Ansvarigt statsråd</w:t>
      </w:r>
      <w:r>
        <w:rPr>
          <w:b/>
        </w:rPr>
        <w:br/>
      </w:r>
      <w:r>
        <w:rPr>
          <w:noProof/>
        </w:rPr>
        <w:t>Karolina</w:t>
      </w:r>
      <w:r>
        <w:t xml:space="preserve"> Skog</w:t>
      </w:r>
    </w:p>
    <w:p w14:paraId="1D23E9B7"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9B8"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w:instrText>
      </w:r>
      <w:r>
        <w:rPr>
          <w:b/>
        </w:rPr>
        <w:instrText xml:space="preserve">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9B9"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9BA"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9BB"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9BC"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9BD"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w:instrText>
      </w:r>
      <w:r>
        <w:rPr>
          <w:b/>
        </w:rPr>
        <w:instrText xml:space="preserve">" = "-" "" "Tidigare behandlat i utskottet </w:instrText>
      </w:r>
      <w:r>
        <w:rPr>
          <w:b/>
        </w:rPr>
        <w:br/>
      </w:r>
      <w:r w:rsidRPr="002F0461">
        <w:instrText>-</w:instrText>
      </w:r>
    </w:p>
    <w:p w14:paraId="1D23E9BE" w14:textId="77777777" w:rsidR="00E0653A" w:rsidRDefault="0078516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D23E9BF"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9C1" w14:textId="20DCB5E9" w:rsidR="00576B17" w:rsidRDefault="00785166" w:rsidP="00D800C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t>Antagande av gemensam ståndpunkt och rådets motivering</w:t>
      </w:r>
    </w:p>
    <w:p w14:paraId="1D23E9C2" w14:textId="4E3B790B" w:rsidR="00576B17" w:rsidRDefault="00785166">
      <w:pPr>
        <w:spacing w:after="280" w:afterAutospacing="1"/>
      </w:pPr>
      <w:r>
        <w:rPr>
          <w:b/>
          <w:bCs/>
        </w:rPr>
        <w:t>Hur regeringen ställer sig</w:t>
      </w:r>
      <w:r>
        <w:rPr>
          <w:b/>
          <w:bCs/>
        </w:rPr>
        <w:t xml:space="preserve"> till den blivande A-punkten:</w:t>
      </w:r>
      <w:r>
        <w:t xml:space="preserve"> </w:t>
      </w:r>
      <w:r>
        <w:t>Sverige stöder beslutet om gemensam ståndpunkt avseende den tekniska implementeringen.</w:t>
      </w:r>
    </w:p>
    <w:p w14:paraId="1D23E9C4" w14:textId="44763655" w:rsidR="00576B17" w:rsidRDefault="00785166">
      <w:pPr>
        <w:spacing w:after="280" w:afterAutospacing="1"/>
      </w:pPr>
      <w:r>
        <w:rPr>
          <w:b/>
          <w:bCs/>
        </w:rPr>
        <w:t>Bakgrund:</w:t>
      </w:r>
      <w:r>
        <w:t xml:space="preserve"> </w:t>
      </w:r>
      <w:r>
        <w:t>EP och rådets förordning 715/2007 innehåller nya krav för typgodkännandet av lätta bilar (personbilar och godstransportbilar) s</w:t>
      </w:r>
      <w:r>
        <w:t>amt reservdelar med avseende på utsläpp, Euro 5 och Euro 6. Vidare omfattar kraven nya bestämmelser om överensstämmelse efter ibruktagande, hållbarheten hos utsläppsbegränsande anordningar, system för omborddiagnos, mätning av bränsleförbrukning och tillgå</w:t>
      </w:r>
      <w:r>
        <w:t>ng till reparationsinformations- och underhållsinformation. Dessutom innehåller förordningen även en ny kravnivå för kväveoxider från dieselbilar, Euro 6.</w:t>
      </w:r>
    </w:p>
    <w:p w14:paraId="1D23E9C6" w14:textId="07309731" w:rsidR="00FB32B9" w:rsidRDefault="00785166">
      <w:pPr>
        <w:spacing w:after="280" w:afterAutospacing="1"/>
        <w:rPr>
          <w:noProof/>
        </w:rPr>
      </w:pPr>
      <w:r>
        <w:t>De nya avgaskraven beslutas genom en så kallad ”split-level approach” som innebär att de grundläggand</w:t>
      </w:r>
      <w:r>
        <w:t>e reglerna om gränsvärden bestäms genom medbeslutandeförfarandet. De tekniska specifikationerna i bilagorna bestäms av kommissionen genom kommittéförfarande (föreskrivande kommitté). Kommittén för fordonsfrågor enligt ramdirektivet (direktiv 2007/46/EG) ut</w:t>
      </w:r>
      <w:r>
        <w:t xml:space="preserve">nyttjas för detta. </w:t>
      </w:r>
    </w:p>
    <w:p w14:paraId="1D23E9C7" w14:textId="77777777" w:rsidR="00643D86" w:rsidRDefault="00785166" w:rsidP="00643D86">
      <w:pPr>
        <w:pStyle w:val="Rubrik1"/>
      </w:pPr>
      <w:bookmarkStart w:id="18" w:name="_Toc472519665"/>
      <w:r>
        <w:rPr>
          <w:noProof/>
        </w:rPr>
        <w:lastRenderedPageBreak/>
        <w:t>Commission</w:t>
      </w:r>
      <w:r>
        <w:rPr>
          <w:noProof/>
        </w:rPr>
        <w:t xml:space="preserve"> Regulation (EU) …/… of XXX amending Annex I to Regulation (EC) No 1334/2008 of the European Parliament and of the Council as regards certain flavouring substances</w:t>
      </w:r>
      <w:bookmarkEnd w:id="18"/>
    </w:p>
    <w:p w14:paraId="1D23E9C8" w14:textId="744CDE2B" w:rsidR="00643D86" w:rsidRDefault="00785166" w:rsidP="00643D86">
      <w:pPr>
        <w:rPr>
          <w:lang w:val="en-US"/>
        </w:rPr>
      </w:pPr>
      <w:r>
        <w:rPr>
          <w:noProof/>
          <w:lang w:val="en-US"/>
        </w:rPr>
        <w:t>=</w:t>
      </w:r>
      <w:r>
        <w:rPr>
          <w:lang w:val="en-US"/>
        </w:rPr>
        <w:t>Decision not to oppose adoption</w:t>
      </w:r>
      <w:r>
        <w:rPr>
          <w:lang w:val="en-US"/>
        </w:rPr>
        <w:br/>
      </w:r>
      <w:r>
        <w:rPr>
          <w:noProof/>
          <w:lang w:val="en-US"/>
        </w:rPr>
        <w:t>15682</w:t>
      </w:r>
      <w:r>
        <w:rPr>
          <w:lang w:val="en-US"/>
        </w:rPr>
        <w:t>/16 DENLEG 96 AGRI 698</w:t>
      </w:r>
      <w:r>
        <w:rPr>
          <w:lang w:val="en-US"/>
        </w:rPr>
        <w:t xml:space="preserve"> SAN 441</w:t>
      </w:r>
      <w:r w:rsidR="00D800C2">
        <w:rPr>
          <w:lang w:val="en-US"/>
        </w:rPr>
        <w:br/>
      </w:r>
      <w:r>
        <w:rPr>
          <w:lang w:val="en-US"/>
        </w:rPr>
        <w:t>15675/16 DENLEG 93 AGRI 695 SAN 438+ ADD 1</w:t>
      </w:r>
    </w:p>
    <w:p w14:paraId="1D23E9C9" w14:textId="77777777" w:rsidR="00643D86" w:rsidRDefault="00785166" w:rsidP="00643D86">
      <w:r>
        <w:rPr>
          <w:b/>
        </w:rPr>
        <w:t>Ansvarigt statsråd</w:t>
      </w:r>
      <w:r>
        <w:rPr>
          <w:b/>
        </w:rPr>
        <w:br/>
      </w:r>
      <w:r>
        <w:rPr>
          <w:noProof/>
        </w:rPr>
        <w:t>Sven-Erik</w:t>
      </w:r>
      <w:r>
        <w:t xml:space="preserve"> Bucht</w:t>
      </w:r>
    </w:p>
    <w:p w14:paraId="1D23E9CA"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9CB"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9CC"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9CD"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9CE"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9CF"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9D0"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D23E9D1" w14:textId="77777777" w:rsidR="00E0653A" w:rsidRDefault="00785166" w:rsidP="00C8338E">
      <w:r>
        <w:instrText>"</w:instrText>
      </w:r>
      <w:r>
        <w:rPr>
          <w:b/>
        </w:rPr>
        <w:instrText xml:space="preserve"> </w:instrText>
      </w:r>
      <w:r>
        <w:rPr>
          <w:b/>
        </w:rPr>
        <w:fldChar w:fldCharType="end"/>
      </w:r>
      <w:r>
        <w:rPr>
          <w:b/>
        </w:rPr>
        <w:instrText xml:space="preserve"> "Tidigare behandlat </w:instrText>
      </w:r>
      <w:r>
        <w:rPr>
          <w:b/>
        </w:rPr>
        <w:instrText>i utskottet</w:instrText>
      </w:r>
      <w:r>
        <w:rPr>
          <w:b/>
        </w:rPr>
        <w:br/>
      </w:r>
      <w:r w:rsidRPr="002F0461">
        <w:instrText>-</w:instrText>
      </w:r>
    </w:p>
    <w:p w14:paraId="1D23E9D2"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9D3" w14:textId="77777777" w:rsidR="00643D86" w:rsidRDefault="00785166" w:rsidP="00643D86">
      <w:r>
        <w:instrText>"</w:instrText>
      </w:r>
      <w:r>
        <w:rPr>
          <w:b/>
        </w:rPr>
        <w:instrText xml:space="preserve"> </w:instrText>
      </w:r>
      <w:r>
        <w:rPr>
          <w:b/>
        </w:rPr>
        <w:fldChar w:fldCharType="end"/>
      </w:r>
      <w:r w:rsidRPr="00B44CE2">
        <w:rPr>
          <w:b/>
        </w:rPr>
        <w:t>Annotering</w:t>
      </w:r>
      <w:r>
        <w:rPr>
          <w:b/>
        </w:rPr>
        <w:br/>
      </w:r>
      <w:r>
        <w:t>Föranleder ingen annotering.</w:t>
      </w:r>
    </w:p>
    <w:p w14:paraId="1D23E9D4" w14:textId="77777777" w:rsidR="00643D86" w:rsidRDefault="00785166" w:rsidP="00643D86">
      <w:pPr>
        <w:pStyle w:val="Rubrik1"/>
      </w:pPr>
      <w:bookmarkStart w:id="19" w:name="_Toc472519666"/>
      <w:r>
        <w:rPr>
          <w:noProof/>
        </w:rPr>
        <w:t>Commission</w:t>
      </w:r>
      <w:r>
        <w:rPr>
          <w:noProof/>
        </w:rPr>
        <w:t xml:space="preserve"> Regulation (EU) …/.. establishing a network code on harmonised transmission tariff structures for gas</w:t>
      </w:r>
      <w:bookmarkEnd w:id="19"/>
    </w:p>
    <w:p w14:paraId="1D23E9D5" w14:textId="31AD6DC0" w:rsidR="00643D86" w:rsidRDefault="00785166" w:rsidP="00643D86">
      <w:pPr>
        <w:rPr>
          <w:lang w:val="en-US"/>
        </w:rPr>
      </w:pPr>
      <w:r>
        <w:rPr>
          <w:noProof/>
          <w:lang w:val="en-US"/>
        </w:rPr>
        <w:t>=</w:t>
      </w:r>
      <w:r>
        <w:rPr>
          <w:lang w:val="en-US"/>
        </w:rPr>
        <w:t>Decision not to oppose adoption</w:t>
      </w:r>
      <w:r>
        <w:rPr>
          <w:lang w:val="en-US"/>
        </w:rPr>
        <w:br/>
      </w:r>
      <w:r>
        <w:rPr>
          <w:noProof/>
          <w:lang w:val="en-US"/>
        </w:rPr>
        <w:t>15293</w:t>
      </w:r>
      <w:r>
        <w:rPr>
          <w:lang w:val="en-US"/>
        </w:rPr>
        <w:t xml:space="preserve">/16 </w:t>
      </w:r>
      <w:r>
        <w:rPr>
          <w:lang w:val="en-US"/>
        </w:rPr>
        <w:t>ENER 431</w:t>
      </w:r>
      <w:r w:rsidR="00D800C2">
        <w:rPr>
          <w:lang w:val="en-US"/>
        </w:rPr>
        <w:br/>
      </w:r>
      <w:r>
        <w:rPr>
          <w:lang w:val="en-US"/>
        </w:rPr>
        <w:t>14003/16 ENER 370</w:t>
      </w:r>
    </w:p>
    <w:p w14:paraId="1D23E9D6" w14:textId="77777777" w:rsidR="00643D86" w:rsidRDefault="00785166" w:rsidP="00643D86">
      <w:r>
        <w:rPr>
          <w:b/>
        </w:rPr>
        <w:t>Ansvarigt statsråd</w:t>
      </w:r>
      <w:r>
        <w:rPr>
          <w:b/>
        </w:rPr>
        <w:br/>
      </w:r>
      <w:r>
        <w:rPr>
          <w:noProof/>
        </w:rPr>
        <w:t>Ibrahim</w:t>
      </w:r>
      <w:r>
        <w:t xml:space="preserve"> Baylan</w:t>
      </w:r>
    </w:p>
    <w:p w14:paraId="1D23E9D7"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9D8"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9D9"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9DA"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9DB"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9DC"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9DD"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D23E9DE" w14:textId="77777777" w:rsidR="00E0653A" w:rsidRDefault="0078516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D23E9DF"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9E2" w14:textId="0E211F6D" w:rsidR="00FB32B9" w:rsidRDefault="00785166" w:rsidP="00D800C2">
      <w:pPr>
        <w:rPr>
          <w:noProof/>
        </w:rPr>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inte motsätta sig ett antagande av koden.</w:t>
      </w:r>
      <w:r>
        <w:br/>
      </w:r>
      <w:r>
        <w:br/>
      </w:r>
      <w:r>
        <w:rPr>
          <w:b/>
          <w:bCs/>
        </w:rPr>
        <w:t>Hur regeringen ställer sig till den blivande A-punkten:</w:t>
      </w:r>
      <w:r>
        <w:t xml:space="preserve"> Regeringen avser rösta ja.</w:t>
      </w:r>
      <w:r>
        <w:br/>
      </w:r>
      <w:r>
        <w:rPr>
          <w:b/>
          <w:bCs/>
        </w:rPr>
        <w:br/>
        <w:t>Bakgrund:</w:t>
      </w:r>
      <w:r>
        <w:t xml:space="preserve"> Allmänt om nätkoder</w:t>
      </w:r>
      <w:r>
        <w:t xml:space="preserve"> och kommissionsriktlinjer</w:t>
      </w:r>
      <w:r>
        <w:br/>
        <w:t>Införandet av tredje inremarknadspaketet för el och naturgas innebär implementering av ny lagstiftning genom s.k. nätkoder. Förslag till lagstiftning utarbetas av de europeiska transmissionsnätsoperatörerna (ENTSOG) och de europe</w:t>
      </w:r>
      <w:r>
        <w:t xml:space="preserve">iska energitillsynsmyndigheterna (ACER). Syftet med nätkoderna är framförallt att harmonisera regelverk för energimarknaden och att säkerställa en säker drift av de europeiska transmissionsnäten för el och gas. Sedan systemet infördes 2009 har det för gas </w:t>
      </w:r>
      <w:r>
        <w:t>antagits nätkoder om kapacitetsallokering, balansering och interoperabilitet.</w:t>
      </w:r>
      <w:r>
        <w:br/>
      </w:r>
      <w:r>
        <w:br/>
        <w:t>Inför fastställande av den nya lagstiftningen ansvarar ACER initialt för att ta fram övergripande beskrivningar och innehåll för respektive nätkod, s.k. framework guidelines. Ba</w:t>
      </w:r>
      <w:r>
        <w:t>serat på dessa utarbetar ENTSOG sedan förslag på nätkoder. Efter en översyn av ACER och eventuella kompletteringar och ändringar av kommissionen sker därefter en beslutsprocess för respektive nätkod) genom ett kommittologiförfarande.</w:t>
      </w:r>
      <w:r>
        <w:br/>
      </w:r>
      <w:r>
        <w:br/>
        <w:t>ACER presenterade den</w:t>
      </w:r>
      <w:r>
        <w:t xml:space="preserve"> 29 november 2013 sin ramriktlinje för harmoniserad struktur för transmissionsnätstariffer för gas, varefter ENTSOG ett år senare presenterade sitt förslag till nätkod. ACER meddelade den 25 mars 2015 att förslaget hade sådana brister att den behövde omarb</w:t>
      </w:r>
      <w:r>
        <w:t>etas. ENTSOG överlämnade i juli 2015 ett omarbetat förslag. Inom ACER kunde dock inte enighet uppnås kring förslaget, vilket föranledde KOM att ta till sig frågan enligt artikel 6. 11 i förordning (EG) nr 715/2009.</w:t>
      </w:r>
    </w:p>
    <w:p w14:paraId="1D23E9E3" w14:textId="77777777" w:rsidR="00643D86" w:rsidRDefault="00785166" w:rsidP="00643D86">
      <w:pPr>
        <w:pStyle w:val="Rubrik1"/>
      </w:pPr>
      <w:bookmarkStart w:id="20" w:name="_Toc472519667"/>
      <w:r>
        <w:rPr>
          <w:noProof/>
        </w:rPr>
        <w:lastRenderedPageBreak/>
        <w:t>Commission</w:t>
      </w:r>
      <w:r>
        <w:rPr>
          <w:noProof/>
        </w:rPr>
        <w:t xml:space="preserve"> Regulation (EU) …/.. establis</w:t>
      </w:r>
      <w:r>
        <w:rPr>
          <w:noProof/>
        </w:rPr>
        <w:t>hing a Network Code on Capacity Allocation Mechanisms in Gas Transmission Systems and repealing Commission Regulation (EU) No 984/2013</w:t>
      </w:r>
      <w:bookmarkEnd w:id="20"/>
    </w:p>
    <w:p w14:paraId="1D23E9E4" w14:textId="41C6044C" w:rsidR="00643D86" w:rsidRDefault="00785166" w:rsidP="00643D86">
      <w:pPr>
        <w:rPr>
          <w:lang w:val="en-US"/>
        </w:rPr>
      </w:pPr>
      <w:r>
        <w:rPr>
          <w:noProof/>
          <w:lang w:val="en-US"/>
        </w:rPr>
        <w:t>=</w:t>
      </w:r>
      <w:r>
        <w:rPr>
          <w:lang w:val="en-US"/>
        </w:rPr>
        <w:t>Decision not to oppose adoption</w:t>
      </w:r>
      <w:r>
        <w:rPr>
          <w:lang w:val="en-US"/>
        </w:rPr>
        <w:br/>
      </w:r>
      <w:r>
        <w:rPr>
          <w:noProof/>
          <w:lang w:val="en-US"/>
        </w:rPr>
        <w:t>15289</w:t>
      </w:r>
      <w:r>
        <w:rPr>
          <w:lang w:val="en-US"/>
        </w:rPr>
        <w:t>/16 ENER 429</w:t>
      </w:r>
      <w:r w:rsidR="00D800C2">
        <w:rPr>
          <w:lang w:val="en-US"/>
        </w:rPr>
        <w:br/>
      </w:r>
      <w:r>
        <w:rPr>
          <w:lang w:val="en-US"/>
        </w:rPr>
        <w:t>14064/16 ENER 372</w:t>
      </w:r>
    </w:p>
    <w:p w14:paraId="1D23E9E5" w14:textId="77777777" w:rsidR="00643D86" w:rsidRDefault="00785166" w:rsidP="00643D86">
      <w:r>
        <w:rPr>
          <w:b/>
        </w:rPr>
        <w:t>Ansvarigt statsråd</w:t>
      </w:r>
      <w:r>
        <w:rPr>
          <w:b/>
        </w:rPr>
        <w:br/>
      </w:r>
      <w:r>
        <w:rPr>
          <w:noProof/>
        </w:rPr>
        <w:t>Ibrahim</w:t>
      </w:r>
      <w:r>
        <w:t xml:space="preserve"> Baylan</w:t>
      </w:r>
    </w:p>
    <w:p w14:paraId="1D23E9E6"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9E7"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9E8"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9E9"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9EA"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9EB"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9EC"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D23E9ED" w14:textId="77777777" w:rsidR="00E0653A" w:rsidRDefault="0078516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D23E9EE"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9F0" w14:textId="7DE89524" w:rsidR="00576B17" w:rsidRDefault="00785166" w:rsidP="00D800C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w:t>
      </w:r>
      <w:r>
        <w:t>föreslås inte motsätta sig ett antagande av nätkoden.</w:t>
      </w:r>
    </w:p>
    <w:p w14:paraId="1D23E9F1" w14:textId="5EAE7DBD" w:rsidR="00576B17" w:rsidRDefault="00785166">
      <w:pPr>
        <w:spacing w:after="280" w:afterAutospacing="1"/>
      </w:pPr>
      <w:r>
        <w:rPr>
          <w:b/>
          <w:bCs/>
        </w:rPr>
        <w:t>Hur regeringen ställer sig till den blivande A-punkten:</w:t>
      </w:r>
      <w:r>
        <w:t xml:space="preserve"> Regeringen avser rösta ja.</w:t>
      </w:r>
    </w:p>
    <w:p w14:paraId="1D23E9F3" w14:textId="4D760AB8" w:rsidR="00FB32B9" w:rsidRDefault="00785166">
      <w:pPr>
        <w:spacing w:after="280" w:afterAutospacing="1"/>
        <w:rPr>
          <w:noProof/>
        </w:rPr>
      </w:pPr>
      <w:r>
        <w:rPr>
          <w:b/>
          <w:bCs/>
        </w:rPr>
        <w:t>Bakgrund:</w:t>
      </w:r>
      <w:r>
        <w:t xml:space="preserve"> Allmänt om nätkoder och kommissionsriktlinjer</w:t>
      </w:r>
      <w:r>
        <w:br/>
        <w:t xml:space="preserve">Införandet av tredje inremarknadspaketet för el och naturgas </w:t>
      </w:r>
      <w:r>
        <w:t>innebär implementering av ny lagstiftning genom s.k. nätkoder. Förslag till lagstiftning utarbetas av de europeiska transmissionsnätsoperatörerna (ENTSOG) och de europeiska energitillsynsmyndigheterna (ACER). Syftet med nätkoderna är framförallt att harmon</w:t>
      </w:r>
      <w:r>
        <w:t>isera regelverk för energimarknaden och att säkerställa en säker drift av de europeiska transmissionsnäten för el och gas. Sedan systemet infördes 2009 har det för gas antagits nätkoder om kapacitetsallokering, balansering och interoperabilitet.</w:t>
      </w:r>
      <w:r>
        <w:br/>
      </w:r>
      <w:r>
        <w:br/>
        <w:t>Den nya n</w:t>
      </w:r>
      <w:r>
        <w:t>ätkoden om kapacitetsallokering tas fram för att komplettera med en reglering av kapacitetsallokering för inkrementell (tillkommande eller ny kapacitet) i kap. V. Detta innebär även vissa konsekvensändringar i nätkoden i övrigt. Kompletteringarna genomförs</w:t>
      </w:r>
      <w:r>
        <w:t xml:space="preserve"> med en helt ny nätkod och vissa smärre justeringar har även gjorts i nätkoden.</w:t>
      </w:r>
      <w:r>
        <w:br/>
      </w:r>
      <w:r>
        <w:br/>
        <w:t xml:space="preserve">Eftersom det inte sker någon kapacitetsbokning in till det svenska systemet, påverkas inte SE av kompletteringen för inkrementell kapacitet. </w:t>
      </w:r>
    </w:p>
    <w:p w14:paraId="1D23E9F4" w14:textId="77777777" w:rsidR="00643D86" w:rsidRDefault="00785166" w:rsidP="00643D86">
      <w:pPr>
        <w:pStyle w:val="Rubrik1"/>
      </w:pPr>
      <w:bookmarkStart w:id="21" w:name="_Toc472519668"/>
      <w:r>
        <w:rPr>
          <w:noProof/>
        </w:rPr>
        <w:t>Commission</w:t>
      </w:r>
      <w:r>
        <w:rPr>
          <w:noProof/>
        </w:rPr>
        <w:t xml:space="preserve"> Regulation (EU) …/…</w:t>
      </w:r>
      <w:r>
        <w:rPr>
          <w:noProof/>
        </w:rPr>
        <w:t xml:space="preserve"> amending Annex VI to Regulation (EC) No 1005/2009 of the European Parliament and of the Council on substances that deplete the ozone layer</w:t>
      </w:r>
      <w:bookmarkEnd w:id="21"/>
    </w:p>
    <w:p w14:paraId="1D23E9F5" w14:textId="01AF67E6" w:rsidR="00643D86" w:rsidRDefault="00785166" w:rsidP="00643D86">
      <w:pPr>
        <w:rPr>
          <w:lang w:val="en-US"/>
        </w:rPr>
      </w:pPr>
      <w:r>
        <w:rPr>
          <w:noProof/>
          <w:lang w:val="en-US"/>
        </w:rPr>
        <w:t>=</w:t>
      </w:r>
      <w:r>
        <w:rPr>
          <w:lang w:val="en-US"/>
        </w:rPr>
        <w:t>Decision not to oppose adoption</w:t>
      </w:r>
      <w:r>
        <w:rPr>
          <w:lang w:val="en-US"/>
        </w:rPr>
        <w:br/>
      </w:r>
      <w:r>
        <w:rPr>
          <w:noProof/>
          <w:lang w:val="en-US"/>
        </w:rPr>
        <w:t>5164</w:t>
      </w:r>
      <w:r>
        <w:rPr>
          <w:lang w:val="en-US"/>
        </w:rPr>
        <w:t>/17 ENV 18 ENT 10 MI 23</w:t>
      </w:r>
      <w:r w:rsidR="00D800C2">
        <w:rPr>
          <w:lang w:val="en-US"/>
        </w:rPr>
        <w:br/>
      </w:r>
      <w:r>
        <w:rPr>
          <w:lang w:val="en-US"/>
        </w:rPr>
        <w:t>14900/16 ENV 741 ENT 218 MI 750</w:t>
      </w:r>
    </w:p>
    <w:p w14:paraId="1D23E9F6" w14:textId="77777777" w:rsidR="00643D86" w:rsidRDefault="00785166" w:rsidP="00643D86">
      <w:r>
        <w:rPr>
          <w:b/>
        </w:rPr>
        <w:t>Ansvarigt statsråd</w:t>
      </w:r>
      <w:r>
        <w:rPr>
          <w:b/>
        </w:rPr>
        <w:br/>
      </w:r>
      <w:r>
        <w:rPr>
          <w:noProof/>
        </w:rPr>
        <w:t>Karolina</w:t>
      </w:r>
      <w:r>
        <w:t xml:space="preserve"> Skog</w:t>
      </w:r>
    </w:p>
    <w:p w14:paraId="1D23E9F7"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9F8"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9F9"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9FA"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9FB"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9FC"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9FD"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D23E9FE" w14:textId="77777777" w:rsidR="00E0653A" w:rsidRDefault="0078516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D23E9FF"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A01" w14:textId="149CD109" w:rsidR="00576B17" w:rsidRDefault="00785166" w:rsidP="00D800C2">
      <w:r>
        <w:instrText>"</w:instrText>
      </w:r>
      <w:r>
        <w:rPr>
          <w:b/>
        </w:rPr>
        <w:instrText xml:space="preserve"> </w:instrText>
      </w:r>
      <w:r>
        <w:rPr>
          <w:b/>
        </w:rPr>
        <w:fldChar w:fldCharType="end"/>
      </w:r>
      <w:r w:rsidRPr="00B44CE2">
        <w:rPr>
          <w:b/>
        </w:rPr>
        <w:t>Annotering</w:t>
      </w:r>
      <w:r>
        <w:rPr>
          <w:b/>
        </w:rPr>
        <w:br/>
      </w:r>
      <w:r>
        <w:rPr>
          <w:b/>
          <w:bCs/>
        </w:rPr>
        <w:t>Avsikt</w:t>
      </w:r>
      <w:r>
        <w:rPr>
          <w:b/>
          <w:bCs/>
        </w:rPr>
        <w:t xml:space="preserve"> med behandlingen i rådet:</w:t>
      </w:r>
      <w:r>
        <w:t xml:space="preserve"> Rådet föreslås anta ändringen av bilagan till förordningen</w:t>
      </w:r>
    </w:p>
    <w:p w14:paraId="1D23EA02" w14:textId="5F0C06B5" w:rsidR="00576B17" w:rsidRDefault="00785166">
      <w:pPr>
        <w:spacing w:after="280" w:afterAutospacing="1"/>
      </w:pPr>
      <w:r>
        <w:rPr>
          <w:b/>
          <w:bCs/>
        </w:rPr>
        <w:t>Hur regeringen ställer sig till den blivande A-punkten:</w:t>
      </w:r>
      <w:r>
        <w:t xml:space="preserve"> Regeringen avser att rösta ja till att rådet antar </w:t>
      </w:r>
      <w:r>
        <w:t>ändring av bilaga VI till Europarlamentets och rådets förordn</w:t>
      </w:r>
      <w:r>
        <w:t xml:space="preserve">ing (EG) nr 1005/2009 om ämnen som bryter ned ozonskiktet. </w:t>
      </w:r>
    </w:p>
    <w:p w14:paraId="1D23EA05" w14:textId="6C90CE52" w:rsidR="00FB32B9" w:rsidRDefault="00785166">
      <w:pPr>
        <w:spacing w:after="280" w:afterAutospacing="1"/>
        <w:rPr>
          <w:noProof/>
        </w:rPr>
      </w:pPr>
      <w:r>
        <w:rPr>
          <w:b/>
          <w:bCs/>
        </w:rPr>
        <w:lastRenderedPageBreak/>
        <w:t>Bakgrund:</w:t>
      </w:r>
      <w:r>
        <w:t xml:space="preserve"> Kommissionens förslag till ändring av bilaga VI har till syfte att förtydliga en bestämmelse i förordningen. I bilaga VI fastställs avslutningsdatum efter vilka haloner inte får användas</w:t>
      </w:r>
      <w:r>
        <w:t xml:space="preserve"> i brandsläckare eller brandskyddssystem i ny utrustning, inklusive nya luftfartyg. Kort innebär förslaget till förtydligande att när det gäller luftfartyg gäller det endast ansökningar om ny typcertifiering vilket är i linje med Internationella civila luf</w:t>
      </w:r>
      <w:r>
        <w:t xml:space="preserve">tfartsorganisationens halonstandarder. Förslaget har under 2016 diskuterats i expertkommittén och genomgått en informell skriftlig procedur i rådsarbetsgruppen där Sverige ställt sig bakom förslaget. </w:t>
      </w:r>
    </w:p>
    <w:p w14:paraId="1D23EA06" w14:textId="77777777" w:rsidR="00643D86" w:rsidRDefault="00785166" w:rsidP="00643D86">
      <w:pPr>
        <w:pStyle w:val="Rubrik1"/>
      </w:pPr>
      <w:bookmarkStart w:id="22" w:name="_Toc472519669"/>
      <w:r>
        <w:rPr>
          <w:noProof/>
        </w:rPr>
        <w:t>Commission</w:t>
      </w:r>
      <w:r>
        <w:rPr>
          <w:noProof/>
        </w:rPr>
        <w:t xml:space="preserve"> Regulation (EU) …/… of XXX amending Counc</w:t>
      </w:r>
      <w:r>
        <w:rPr>
          <w:noProof/>
        </w:rPr>
        <w:t>il Regulation (EC) No 338/97 on the protection of species of wild fauna and flora by regulating trade therein</w:t>
      </w:r>
      <w:bookmarkEnd w:id="22"/>
    </w:p>
    <w:p w14:paraId="1D23EA07" w14:textId="0730AB97" w:rsidR="00643D86" w:rsidRDefault="00785166" w:rsidP="00643D86">
      <w:pPr>
        <w:rPr>
          <w:lang w:val="en-US"/>
        </w:rPr>
      </w:pPr>
      <w:r>
        <w:rPr>
          <w:noProof/>
          <w:lang w:val="en-US"/>
        </w:rPr>
        <w:t>=</w:t>
      </w:r>
      <w:r>
        <w:rPr>
          <w:lang w:val="en-US"/>
        </w:rPr>
        <w:t>Decision not to oppose adoption</w:t>
      </w:r>
      <w:r>
        <w:rPr>
          <w:lang w:val="en-US"/>
        </w:rPr>
        <w:br/>
      </w:r>
      <w:r>
        <w:rPr>
          <w:noProof/>
          <w:lang w:val="en-US"/>
        </w:rPr>
        <w:t>5165</w:t>
      </w:r>
      <w:r>
        <w:rPr>
          <w:lang w:val="en-US"/>
        </w:rPr>
        <w:t>/17 ENV 19 WTO 2</w:t>
      </w:r>
      <w:r w:rsidR="00D800C2">
        <w:rPr>
          <w:lang w:val="en-US"/>
        </w:rPr>
        <w:br/>
      </w:r>
      <w:r>
        <w:rPr>
          <w:lang w:val="en-US"/>
        </w:rPr>
        <w:t>15274/16 ENV 774 WTO 349+ ADD 1</w:t>
      </w:r>
    </w:p>
    <w:p w14:paraId="1D23EA08" w14:textId="77777777" w:rsidR="00643D86" w:rsidRDefault="00785166" w:rsidP="00643D86">
      <w:r>
        <w:rPr>
          <w:b/>
        </w:rPr>
        <w:t>Ansvarigt statsråd</w:t>
      </w:r>
      <w:r>
        <w:rPr>
          <w:b/>
        </w:rPr>
        <w:br/>
      </w:r>
      <w:r>
        <w:rPr>
          <w:noProof/>
        </w:rPr>
        <w:t>Karolina</w:t>
      </w:r>
      <w:r>
        <w:t xml:space="preserve"> Skog</w:t>
      </w:r>
    </w:p>
    <w:p w14:paraId="1D23EA09"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A0A"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A0B"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A0C"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A0D"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A0E"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A0F"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D23EA10" w14:textId="77777777" w:rsidR="00E0653A" w:rsidRDefault="0078516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D23EA11"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A13" w14:textId="12110F02" w:rsidR="00576B17" w:rsidRDefault="00785166" w:rsidP="00D800C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t xml:space="preserve">Rådet </w:t>
      </w:r>
      <w:r>
        <w:t>föreslås att inte motsätta sig ett antagande av justeringar i rubricerad lagstiftning.</w:t>
      </w:r>
      <w:r>
        <w:br/>
      </w:r>
    </w:p>
    <w:p w14:paraId="1D23EA14" w14:textId="33796A4A" w:rsidR="00576B17" w:rsidRDefault="00785166">
      <w:pPr>
        <w:spacing w:after="280" w:afterAutospacing="1"/>
      </w:pPr>
      <w:r>
        <w:rPr>
          <w:b/>
          <w:bCs/>
        </w:rPr>
        <w:t>Hur regeringen ställer sig till den blivande A-punkten:</w:t>
      </w:r>
      <w:r>
        <w:t xml:space="preserve"> </w:t>
      </w:r>
      <w:r>
        <w:t>Regeringen avser att rösta ja till att rådet antar lagstiftningen med föreslagna justeringar.</w:t>
      </w:r>
    </w:p>
    <w:p w14:paraId="1D23EA17" w14:textId="01DF396C" w:rsidR="00FB32B9" w:rsidRDefault="00D800C2">
      <w:pPr>
        <w:spacing w:after="280" w:afterAutospacing="1"/>
        <w:rPr>
          <w:noProof/>
        </w:rPr>
      </w:pPr>
      <w:r>
        <w:rPr>
          <w:b/>
          <w:bCs/>
        </w:rPr>
        <w:t>Bakgrund:</w:t>
      </w:r>
      <w:r>
        <w:t xml:space="preserve"> Rådsförordning</w:t>
      </w:r>
      <w:r w:rsidR="00785166">
        <w:t xml:space="preserve"> 338/97 listar djur och växter som är föremål för restriktioner för handel med dem. Listorna införlivar bilagorna till CITES-konventionen (Convention on International Trade in Endangered Species of Wild Flora and Fauna). Beslut vid nyligen genomförd</w:t>
      </w:r>
      <w:r w:rsidR="00785166">
        <w:t xml:space="preserve">a partsmöte med konventionen föranleder att motsvarande ändringar görs i bilagorna i rådsförordning 338/97. </w:t>
      </w:r>
    </w:p>
    <w:p w14:paraId="1D23EA18" w14:textId="77777777" w:rsidR="00643D86" w:rsidRDefault="00785166" w:rsidP="00643D86">
      <w:pPr>
        <w:pStyle w:val="Rubrik1"/>
      </w:pPr>
      <w:bookmarkStart w:id="23" w:name="_Toc472519670"/>
      <w:r>
        <w:rPr>
          <w:noProof/>
        </w:rPr>
        <w:t>Draft</w:t>
      </w:r>
      <w:r>
        <w:rPr>
          <w:noProof/>
        </w:rPr>
        <w:t xml:space="preserve"> Council Regulation amending Regulation (EU) 2016/1903 fixing for 2017 fishing opportunities for certain fish stocks and groups of fish stock</w:t>
      </w:r>
      <w:r>
        <w:rPr>
          <w:noProof/>
        </w:rPr>
        <w:t>s applicable in the Baltic Sea</w:t>
      </w:r>
      <w:bookmarkEnd w:id="23"/>
    </w:p>
    <w:p w14:paraId="1D23EA19" w14:textId="4BC2A989" w:rsidR="00643D86" w:rsidRDefault="00785166" w:rsidP="00643D86">
      <w:pPr>
        <w:rPr>
          <w:lang w:val="en-US"/>
        </w:rPr>
      </w:pPr>
      <w:r>
        <w:rPr>
          <w:noProof/>
          <w:lang w:val="en-US"/>
        </w:rPr>
        <w:t>=</w:t>
      </w:r>
      <w:r>
        <w:rPr>
          <w:lang w:val="en-US"/>
        </w:rPr>
        <w:t>Adoption</w:t>
      </w:r>
      <w:r>
        <w:rPr>
          <w:lang w:val="en-US"/>
        </w:rPr>
        <w:br/>
      </w:r>
      <w:r>
        <w:rPr>
          <w:noProof/>
          <w:lang w:val="en-US"/>
        </w:rPr>
        <w:t>5116</w:t>
      </w:r>
      <w:r>
        <w:rPr>
          <w:lang w:val="en-US"/>
        </w:rPr>
        <w:t>/17 PECHE 6</w:t>
      </w:r>
      <w:r w:rsidR="00D800C2">
        <w:rPr>
          <w:lang w:val="en-US"/>
        </w:rPr>
        <w:br/>
      </w:r>
      <w:r>
        <w:rPr>
          <w:lang w:val="en-US"/>
        </w:rPr>
        <w:t>5117/17 PECHE 7</w:t>
      </w:r>
    </w:p>
    <w:p w14:paraId="1D23EA1A" w14:textId="77777777" w:rsidR="00643D86" w:rsidRDefault="00785166" w:rsidP="00643D86">
      <w:r>
        <w:rPr>
          <w:b/>
        </w:rPr>
        <w:t>Ansvarigt statsråd</w:t>
      </w:r>
      <w:r>
        <w:rPr>
          <w:b/>
        </w:rPr>
        <w:br/>
      </w:r>
      <w:r>
        <w:rPr>
          <w:noProof/>
        </w:rPr>
        <w:t>Sven</w:t>
      </w:r>
      <w:r>
        <w:t xml:space="preserve"> Erik Bucht</w:t>
      </w:r>
    </w:p>
    <w:p w14:paraId="1D23EA1B" w14:textId="77777777" w:rsidR="00E0653A" w:rsidRDefault="00785166" w:rsidP="00C8338E">
      <w:r>
        <w:rPr>
          <w:b/>
        </w:rPr>
        <w:fldChar w:fldCharType="begin"/>
      </w:r>
      <w:r>
        <w:rPr>
          <w:b/>
        </w:rPr>
        <w:instrText xml:space="preserve"> IF</w:instrText>
      </w:r>
      <w:r>
        <w:rPr>
          <w:b/>
        </w:rPr>
        <w:instrText xml:space="preserve"> "</w:instrText>
      </w:r>
      <w:r>
        <w:rPr>
          <w:b/>
        </w:rPr>
        <w:instrText>2016-10-06</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2016-10-09</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2016-10-05</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2016-10-06</w:instrText>
      </w:r>
    </w:p>
    <w:p w14:paraId="1D23EA1C" w14:textId="77777777" w:rsidR="00E0653A" w:rsidRDefault="00785166" w:rsidP="00C8338E">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2016-10-06</w:instrText>
      </w:r>
    </w:p>
    <w:p w14:paraId="1D23EA1D" w14:textId="77777777" w:rsidR="001F56AB" w:rsidRDefault="00785166" w:rsidP="00C8338E">
      <w:pPr>
        <w:rPr>
          <w:b/>
        </w:rPr>
      </w:pP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2016-10-06</w:instrText>
      </w:r>
    </w:p>
    <w:p w14:paraId="1D23EA1E" w14:textId="77777777" w:rsidR="00E0653A" w:rsidRDefault="00785166" w:rsidP="00C8338E">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2016-10-06</w:instrText>
      </w:r>
    </w:p>
    <w:p w14:paraId="1D23EA1F" w14:textId="77777777" w:rsidR="001F56AB" w:rsidRDefault="00785166" w:rsidP="00C8338E">
      <w:pPr>
        <w:rPr>
          <w:b/>
        </w:rPr>
      </w:pP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2016-10-06</w:instrText>
      </w:r>
    </w:p>
    <w:p w14:paraId="1D23EA20" w14:textId="77777777" w:rsidR="00E0653A" w:rsidRDefault="00785166" w:rsidP="00C8338E">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2016-10-06</w:t>
      </w:r>
    </w:p>
    <w:p w14:paraId="1D23EA21" w14:textId="77777777" w:rsidR="001F56AB" w:rsidRDefault="00785166" w:rsidP="00C8338E">
      <w:pPr>
        <w:rPr>
          <w:b/>
        </w:rPr>
      </w:pPr>
      <w:r>
        <w:rPr>
          <w:b/>
        </w:rPr>
        <w:fldChar w:fldCharType="end"/>
      </w:r>
      <w:r>
        <w:rPr>
          <w:b/>
        </w:rPr>
        <w:fldChar w:fldCharType="begin"/>
      </w:r>
      <w:r>
        <w:rPr>
          <w:b/>
        </w:rPr>
        <w:instrText xml:space="preserve"> IF "2016-10-06" = "-" </w:instrText>
      </w:r>
      <w:r>
        <w:rPr>
          <w:b/>
        </w:rPr>
        <w:fldChar w:fldCharType="begin"/>
      </w:r>
      <w:r>
        <w:rPr>
          <w:b/>
        </w:rPr>
        <w:instrText xml:space="preserve"> IF "2016-10-09" = "-" </w:instrText>
      </w:r>
      <w:r>
        <w:rPr>
          <w:b/>
        </w:rPr>
        <w:fldChar w:fldCharType="begin"/>
      </w:r>
      <w:r>
        <w:rPr>
          <w:b/>
        </w:rPr>
        <w:instrText xml:space="preserve"> IF "2016-10-05" = "-" "" "Tidigare behandlat i </w:instrText>
      </w:r>
      <w:r w:rsidRPr="00643D86">
        <w:rPr>
          <w:b/>
        </w:rPr>
        <w:instrText>råde</w:instrText>
      </w:r>
      <w:r>
        <w:rPr>
          <w:b/>
        </w:rPr>
        <w:instrText xml:space="preserve">t </w:instrText>
      </w:r>
      <w:r>
        <w:rPr>
          <w:b/>
        </w:rPr>
        <w:br/>
      </w:r>
      <w:r w:rsidRPr="002F0461">
        <w:instrText>2016-10-09</w:instrText>
      </w:r>
    </w:p>
    <w:p w14:paraId="1D23EA22" w14:textId="77777777" w:rsidR="00E0653A" w:rsidRDefault="00785166" w:rsidP="00C8338E">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2016-10-09</w:instrText>
      </w:r>
    </w:p>
    <w:p w14:paraId="1D23EA23" w14:textId="77777777" w:rsidR="00576B17" w:rsidRDefault="00785166"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2016-10-09</w:instrText>
      </w:r>
    </w:p>
    <w:p w14:paraId="1D23EA24" w14:textId="77777777" w:rsidR="00E0653A" w:rsidRDefault="00785166"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2016-10-09</w:instrText>
      </w:r>
    </w:p>
    <w:p w14:paraId="1D23EA25" w14:textId="77777777" w:rsidR="00576B17" w:rsidRDefault="00785166"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2016-10-09</w:instrText>
      </w:r>
    </w:p>
    <w:p w14:paraId="1D23EA26" w14:textId="77777777" w:rsidR="00E0653A" w:rsidRDefault="00785166" w:rsidP="00C8338E">
      <w:r>
        <w:instrText>"</w:instrText>
      </w:r>
      <w:r>
        <w:rPr>
          <w:b/>
        </w:rPr>
        <w:instrText xml:space="preserve"> </w:instrText>
      </w:r>
      <w:r>
        <w:rPr>
          <w:b/>
        </w:rPr>
        <w:fldChar w:fldCharType="separate"/>
      </w:r>
      <w:r>
        <w:rPr>
          <w:b/>
        </w:rPr>
        <w:t>Tidigare behandlat i</w:t>
      </w:r>
      <w:r>
        <w:rPr>
          <w:b/>
        </w:rPr>
        <w:t xml:space="preserve"> </w:t>
      </w:r>
      <w:r w:rsidRPr="00643D86">
        <w:rPr>
          <w:b/>
        </w:rPr>
        <w:t>råde</w:t>
      </w:r>
      <w:r>
        <w:rPr>
          <w:b/>
        </w:rPr>
        <w:t>t</w:t>
      </w:r>
      <w:r>
        <w:rPr>
          <w:b/>
        </w:rPr>
        <w:br/>
      </w:r>
      <w:r>
        <w:t>2016-10-09</w:t>
      </w:r>
    </w:p>
    <w:p w14:paraId="1D23EA27" w14:textId="77777777" w:rsidR="00576B17" w:rsidRDefault="00785166" w:rsidP="00C8338E">
      <w:pPr>
        <w:rPr>
          <w:b/>
        </w:rPr>
      </w:pPr>
      <w:r>
        <w:rPr>
          <w:b/>
        </w:rPr>
        <w:fldChar w:fldCharType="end"/>
      </w:r>
      <w:r>
        <w:rPr>
          <w:b/>
        </w:rPr>
        <w:fldChar w:fldCharType="begin"/>
      </w:r>
      <w:r>
        <w:rPr>
          <w:b/>
        </w:rPr>
        <w:instrText xml:space="preserve"> IF "2016-10-06" = "-" </w:instrText>
      </w:r>
      <w:r>
        <w:rPr>
          <w:b/>
        </w:rPr>
        <w:fldChar w:fldCharType="begin"/>
      </w:r>
      <w:r>
        <w:rPr>
          <w:b/>
        </w:rPr>
        <w:instrText xml:space="preserve"> IF "2016-10-09" = "-" </w:instrText>
      </w:r>
      <w:r>
        <w:rPr>
          <w:b/>
        </w:rPr>
        <w:fldChar w:fldCharType="begin"/>
      </w:r>
      <w:r>
        <w:rPr>
          <w:b/>
        </w:rPr>
        <w:instrText xml:space="preserve"> IF "2016-10-05" = "-" "" "Tidigare behandlat i utskottet </w:instrText>
      </w:r>
      <w:r>
        <w:rPr>
          <w:b/>
        </w:rPr>
        <w:br/>
      </w:r>
      <w:r w:rsidRPr="002F0461">
        <w:instrText>2016-10-05</w:instrText>
      </w:r>
    </w:p>
    <w:p w14:paraId="1D23EA28" w14:textId="77777777" w:rsidR="00E0653A" w:rsidRDefault="00785166" w:rsidP="00C8338E">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2016-10-05</w:instrText>
      </w:r>
    </w:p>
    <w:p w14:paraId="1D23EA29" w14:textId="77777777" w:rsidR="00576B17" w:rsidRDefault="00785166" w:rsidP="00C8338E">
      <w:pPr>
        <w:rPr>
          <w:b/>
        </w:rPr>
      </w:pPr>
      <w:r>
        <w:rPr>
          <w:b/>
        </w:rPr>
        <w:fldChar w:fldCharType="end"/>
      </w:r>
      <w:r>
        <w:rPr>
          <w:b/>
        </w:rPr>
        <w:instrText xml:space="preserve"> "Tidigare behandlat i utskottet</w:instrText>
      </w:r>
      <w:r>
        <w:rPr>
          <w:b/>
        </w:rPr>
        <w:br/>
      </w:r>
      <w:r w:rsidRPr="002F0461">
        <w:instrText>2016-10-05</w:instrText>
      </w:r>
    </w:p>
    <w:p w14:paraId="1D23EA2A" w14:textId="77777777" w:rsidR="00E0653A" w:rsidRDefault="00785166" w:rsidP="00C8338E">
      <w:pPr>
        <w:rPr>
          <w:noProof/>
        </w:rPr>
      </w:pPr>
      <w:r>
        <w:instrText>"</w:instrText>
      </w:r>
      <w:r>
        <w:rPr>
          <w:b/>
        </w:rPr>
        <w:instrText xml:space="preserve"> </w:instrText>
      </w:r>
      <w:r>
        <w:rPr>
          <w:b/>
        </w:rPr>
        <w:fldChar w:fldCharType="separate"/>
      </w:r>
      <w:r>
        <w:rPr>
          <w:b/>
        </w:rPr>
        <w:instrText xml:space="preserve">Tidigare behandlat i </w:instrText>
      </w:r>
      <w:r>
        <w:rPr>
          <w:b/>
        </w:rPr>
        <w:instrText>utskottet</w:instrText>
      </w:r>
      <w:r>
        <w:rPr>
          <w:b/>
        </w:rPr>
        <w:br/>
      </w:r>
      <w:r w:rsidRPr="002F0461">
        <w:instrText>2016-10-05</w:instrText>
      </w:r>
    </w:p>
    <w:p w14:paraId="1D23EA2B" w14:textId="77777777" w:rsidR="00576B17" w:rsidRDefault="00785166" w:rsidP="00C8338E">
      <w:pPr>
        <w:rPr>
          <w:b/>
        </w:rPr>
      </w:pPr>
      <w:r>
        <w:rPr>
          <w:b/>
        </w:rPr>
        <w:fldChar w:fldCharType="end"/>
      </w:r>
      <w:r>
        <w:rPr>
          <w:b/>
        </w:rPr>
        <w:instrText xml:space="preserve">  "Tidigare behandlat i utskottet</w:instrText>
      </w:r>
      <w:r>
        <w:rPr>
          <w:b/>
        </w:rPr>
        <w:br/>
      </w:r>
      <w:r>
        <w:instrText>2016-10-05</w:instrText>
      </w:r>
    </w:p>
    <w:p w14:paraId="1D23EA2C" w14:textId="77777777" w:rsidR="00643D86" w:rsidRDefault="00785166" w:rsidP="00643D86">
      <w:r>
        <w:instrText>"</w:instrText>
      </w:r>
      <w:r>
        <w:rPr>
          <w:b/>
        </w:rPr>
        <w:instrText xml:space="preserve"> </w:instrText>
      </w:r>
      <w:r>
        <w:rPr>
          <w:b/>
        </w:rPr>
        <w:fldChar w:fldCharType="separate"/>
      </w:r>
      <w:r>
        <w:rPr>
          <w:b/>
        </w:rPr>
        <w:t>Tidigare behandlat i utskottet</w:t>
      </w:r>
      <w:r>
        <w:rPr>
          <w:b/>
        </w:rPr>
        <w:br/>
      </w:r>
      <w:r>
        <w:t>2016-10-05</w:t>
      </w:r>
    </w:p>
    <w:bookmarkStart w:id="24" w:name="_GoBack"/>
    <w:bookmarkEnd w:id="24"/>
    <w:p w14:paraId="1D23EA2F" w14:textId="65AA16ED" w:rsidR="00576B17" w:rsidRDefault="00785166" w:rsidP="00D800C2">
      <w:r>
        <w:rPr>
          <w:b/>
        </w:rPr>
        <w:lastRenderedPageBreak/>
        <w:fldChar w:fldCharType="end"/>
      </w:r>
      <w:r w:rsidRPr="00B44CE2">
        <w:rPr>
          <w:b/>
        </w:rPr>
        <w:t>Annotering</w:t>
      </w:r>
      <w:r>
        <w:rPr>
          <w:b/>
        </w:rPr>
        <w:br/>
      </w:r>
      <w:r>
        <w:rPr>
          <w:b/>
          <w:bCs/>
        </w:rPr>
        <w:t>Avsikt med behandlingen i rådet:</w:t>
      </w:r>
      <w:r>
        <w:t xml:space="preserve"> </w:t>
      </w:r>
      <w:r>
        <w:t xml:space="preserve">Avsikten med behandlingen i rådet är att anta ändringen av förordning (EU) 2016/1903 avseende vissa fiskemöjligheter i Östersjön 2017 </w:t>
      </w:r>
    </w:p>
    <w:p w14:paraId="1D23EA31" w14:textId="1827686A" w:rsidR="00576B17" w:rsidRDefault="00785166">
      <w:pPr>
        <w:spacing w:after="280" w:afterAutospacing="1"/>
      </w:pPr>
      <w:r>
        <w:rPr>
          <w:b/>
          <w:bCs/>
        </w:rPr>
        <w:t>Hur regeringen ställer sig till den blivande A-punkten:</w:t>
      </w:r>
      <w:r>
        <w:t xml:space="preserve"> </w:t>
      </w:r>
      <w:r>
        <w:t>Regeringen avser rösta ja till den blivande A-punkten.</w:t>
      </w:r>
    </w:p>
    <w:p w14:paraId="1D23EA32" w14:textId="3ADD797A" w:rsidR="00576B17" w:rsidRDefault="00785166">
      <w:pPr>
        <w:spacing w:after="280" w:afterAutospacing="1"/>
      </w:pPr>
      <w:r>
        <w:rPr>
          <w:b/>
          <w:bCs/>
        </w:rPr>
        <w:t>Bakgrun</w:t>
      </w:r>
      <w:r>
        <w:rPr>
          <w:b/>
          <w:bCs/>
        </w:rPr>
        <w:t>d:</w:t>
      </w:r>
      <w:r>
        <w:t xml:space="preserve"> </w:t>
      </w:r>
      <w:r>
        <w:t>Vid Jordbruks- och fiskerådet i oktober 2016 nåddes en politisk överenskommelse om fiskemöjligheterna i Östersjön för 2017. De fiskemöjligheter som fastställdes för torsk i västra Östersjön grundades på ICES råd och var i linje med den fleråriga planen</w:t>
      </w:r>
      <w:r>
        <w:t xml:space="preserve"> för Östersjön och således i linje med den gemensamma fiskeripolitikens mål och principer. Enligt den fleråriga planen för Östersjön krävs att ytterligare åtgärder utöver fastställande av fiskemöjligheter vidtas om ett bestånd faller under vissa referenspu</w:t>
      </w:r>
      <w:r>
        <w:t xml:space="preserve">nkter, vilket är fallet för det västra torskbeståndet. </w:t>
      </w:r>
    </w:p>
    <w:p w14:paraId="1D23EA33" w14:textId="77777777" w:rsidR="00576B17" w:rsidRDefault="00785166">
      <w:pPr>
        <w:spacing w:after="280" w:afterAutospacing="1"/>
      </w:pPr>
      <w:r>
        <w:t>Den 10 januari 2017 presenterade kommissionen ett förslag till ändring av rådets förordning om fiskemöjligheter i Östersjön för 2017, förordning (EU) 2016/1903. Förslaget innebär ingen ändring av fisk</w:t>
      </w:r>
      <w:r>
        <w:t>emöjligheterna för torsk jämfört med förordning 2016/1903. Förslaget till förordning innebär att en stängningsperiod i SD 22-24 fastställs från 1 februari till 31 mars 2017 för att skydda lekbeståndet av västlig torsk i Östersjön under dess huvudsakliga le</w:t>
      </w:r>
      <w:r>
        <w:t>kperiod. Fartyg med en längd upp till 15 meter (med undantag av fartyg som partrålar) utrustade med VMS i enlighet med artikel 9.2 i kontrollförordningen ska inte omfattas av stängningsperioden i 22-24 när fisket sker i områden med ett djup mindre än 20 me</w:t>
      </w:r>
      <w:r>
        <w:t xml:space="preserve">ter. </w:t>
      </w:r>
    </w:p>
    <w:p w14:paraId="1D23EA35" w14:textId="24BEEC1F" w:rsidR="00FB32B9" w:rsidRDefault="00785166">
      <w:pPr>
        <w:spacing w:after="280" w:afterAutospacing="1"/>
        <w:rPr>
          <w:noProof/>
        </w:rPr>
      </w:pPr>
      <w:r>
        <w:t>Kommissionens vetenskapliga, tekniska och ekonomiska kommittén för fiskerinäringen (STECF) har bedömt att det finns tydliga lekperioder som förvaltningen kan använda sig av för att minska risken för ytterligare nedgång i det västra torskbeståndet. De</w:t>
      </w:r>
      <w:r>
        <w:t>n föreslagna lekstängningen har av STECF bedömts överensstämma med den huvudsakliga lekperioden för det västra torskbeståndet, och STECF har uttalat att det föreslagna undantaget inte kommer att riskera återhämtningen av beståndet. Utifrån detta avser rege</w:t>
      </w:r>
      <w:r>
        <w:t xml:space="preserve">ringen att rösta ja när förordningen antas. </w:t>
      </w:r>
    </w:p>
    <w:p w14:paraId="1D23EA36" w14:textId="77777777" w:rsidR="00643D86" w:rsidRDefault="00785166" w:rsidP="00643D86">
      <w:pPr>
        <w:pStyle w:val="Rubrik1"/>
      </w:pPr>
      <w:bookmarkStart w:id="25" w:name="_Toc472519671"/>
      <w:r>
        <w:rPr>
          <w:noProof/>
        </w:rPr>
        <w:t>Draft</w:t>
      </w:r>
      <w:r>
        <w:rPr>
          <w:noProof/>
        </w:rPr>
        <w:t xml:space="preserve"> Regulation of the European Parliament and of the Council establishing a framework on market access to port services and financial transparency of ports (First reading) (Legislative deliberation)</w:t>
      </w:r>
      <w:bookmarkEnd w:id="25"/>
    </w:p>
    <w:p w14:paraId="1D23EA37" w14:textId="77777777" w:rsidR="00643D86" w:rsidRDefault="00785166" w:rsidP="00643D86">
      <w:pPr>
        <w:rPr>
          <w:lang w:val="en-US"/>
        </w:rPr>
      </w:pPr>
      <w:r>
        <w:rPr>
          <w:noProof/>
          <w:lang w:val="en-US"/>
        </w:rPr>
        <w:t>=</w:t>
      </w:r>
      <w:r>
        <w:rPr>
          <w:lang w:val="en-US"/>
        </w:rPr>
        <w:t>Adoptio</w:t>
      </w:r>
      <w:r>
        <w:rPr>
          <w:lang w:val="en-US"/>
        </w:rPr>
        <w:t>n of the legislative act</w:t>
      </w:r>
      <w:r>
        <w:rPr>
          <w:lang w:val="en-US"/>
        </w:rPr>
        <w:br/>
      </w:r>
      <w:r>
        <w:rPr>
          <w:noProof/>
          <w:lang w:val="en-US"/>
        </w:rPr>
        <w:t>5162</w:t>
      </w:r>
      <w:r>
        <w:rPr>
          <w:lang w:val="en-US"/>
        </w:rPr>
        <w:t>/17 CODEC 24 TRANS 8 MAR 7 FIN 10</w:t>
      </w:r>
    </w:p>
    <w:p w14:paraId="1D23EA38" w14:textId="77777777" w:rsidR="00643D86" w:rsidRDefault="00785166" w:rsidP="00643D86">
      <w:r>
        <w:rPr>
          <w:b/>
        </w:rPr>
        <w:t>Ansvarigt statsråd</w:t>
      </w:r>
      <w:r>
        <w:rPr>
          <w:b/>
        </w:rPr>
        <w:br/>
      </w:r>
      <w:r>
        <w:rPr>
          <w:noProof/>
        </w:rPr>
        <w:t>Anna</w:t>
      </w:r>
      <w:r>
        <w:t xml:space="preserve"> Johansson</w:t>
      </w:r>
    </w:p>
    <w:p w14:paraId="1D23EA39" w14:textId="77777777" w:rsidR="00E0653A" w:rsidRDefault="00785166"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D23EA3A" w14:textId="77777777" w:rsidR="00E0653A" w:rsidRDefault="00785166"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D23EA3B" w14:textId="77777777" w:rsidR="00E0653A" w:rsidRDefault="00785166"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D23EA3C"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D23EA3D" w14:textId="77777777" w:rsidR="00E0653A" w:rsidRDefault="0078516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D23EA3E"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D23EA3F" w14:textId="77777777" w:rsidR="00E0653A" w:rsidRDefault="0078516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D23EA40" w14:textId="77777777" w:rsidR="00E0653A" w:rsidRDefault="0078516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D23EA41" w14:textId="77777777" w:rsidR="00E0653A" w:rsidRDefault="0078516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D23EA43" w14:textId="72EC95A1" w:rsidR="00576B17" w:rsidRDefault="00785166" w:rsidP="00D800C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t>Att anta den slutliga text som Rådet och Europaparlamentet kom överens om i oktober 2016.</w:t>
      </w:r>
    </w:p>
    <w:p w14:paraId="1D23EA44" w14:textId="7935309B" w:rsidR="00576B17" w:rsidRDefault="00785166">
      <w:pPr>
        <w:spacing w:after="280" w:afterAutospacing="1"/>
      </w:pPr>
      <w:r>
        <w:rPr>
          <w:b/>
          <w:bCs/>
        </w:rPr>
        <w:t>Hur regeringen ställer sig till den bliva</w:t>
      </w:r>
      <w:r>
        <w:rPr>
          <w:b/>
          <w:bCs/>
        </w:rPr>
        <w:t>nde A-punkten:</w:t>
      </w:r>
      <w:r>
        <w:t xml:space="preserve"> </w:t>
      </w:r>
      <w:r>
        <w:t>Att punkten kan godtas</w:t>
      </w:r>
    </w:p>
    <w:p w14:paraId="1D23EA47" w14:textId="4310319A" w:rsidR="00643D86" w:rsidRPr="00377012" w:rsidRDefault="00785166" w:rsidP="00D800C2">
      <w:pPr>
        <w:spacing w:after="280" w:afterAutospacing="1"/>
      </w:pPr>
      <w:r>
        <w:rPr>
          <w:b/>
          <w:bCs/>
        </w:rPr>
        <w:lastRenderedPageBreak/>
        <w:t>Bakgrund:</w:t>
      </w:r>
      <w:r>
        <w:t xml:space="preserve"> </w:t>
      </w:r>
      <w:r>
        <w:t>Förslaget omfattar TEN-T hamnar inom det transeuropeiska transportnätet TEN-T och syftar bland annat till att förbättra hamnars effektivitet vid utförandet av olika logistik- och transporttjänster. Utgångsp</w:t>
      </w:r>
      <w:r>
        <w:t xml:space="preserve">unkten är rätten att erbjuda hamntjänster som ska vara öppna för alla. Ett annat syfte är att öka transparansen hur hamnar finansierar sin verksamhet för att undvika snedvridning av konkurrensen. Bland annat ska det </w:t>
      </w:r>
      <w:r w:rsidR="00D800C2">
        <w:t>redovisa</w:t>
      </w:r>
      <w:r>
        <w:t xml:space="preserve"> hur offentliga medel fördelas </w:t>
      </w:r>
      <w:r>
        <w:t xml:space="preserve">mellan olika typer av verksamhet. </w:t>
      </w:r>
      <w:bookmarkEnd w:id="0"/>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3EA61" w14:textId="77777777" w:rsidR="00000000" w:rsidRDefault="00785166">
      <w:pPr>
        <w:spacing w:after="0" w:line="240" w:lineRule="auto"/>
      </w:pPr>
      <w:r>
        <w:separator/>
      </w:r>
    </w:p>
  </w:endnote>
  <w:endnote w:type="continuationSeparator" w:id="0">
    <w:p w14:paraId="1D23EA63" w14:textId="77777777" w:rsidR="00000000" w:rsidRDefault="00785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1D23EA4C" w14:textId="77777777" w:rsidR="00283DF3" w:rsidRDefault="00785166">
        <w:pPr>
          <w:pStyle w:val="Sidfot"/>
          <w:jc w:val="right"/>
        </w:pPr>
      </w:p>
    </w:sdtContent>
  </w:sdt>
  <w:p w14:paraId="1D23EA4D" w14:textId="77777777" w:rsidR="00283DF3" w:rsidRDefault="0078516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3EA5B" w14:textId="77777777" w:rsidR="00283DF3" w:rsidRDefault="00785166">
    <w:pPr>
      <w:pStyle w:val="Sidfot"/>
      <w:jc w:val="right"/>
    </w:pPr>
  </w:p>
  <w:p w14:paraId="1D23EA5C" w14:textId="77777777" w:rsidR="00283DF3" w:rsidRDefault="0078516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3EA5D" w14:textId="77777777" w:rsidR="00000000" w:rsidRDefault="00785166">
      <w:pPr>
        <w:spacing w:after="0" w:line="240" w:lineRule="auto"/>
      </w:pPr>
      <w:r>
        <w:separator/>
      </w:r>
    </w:p>
  </w:footnote>
  <w:footnote w:type="continuationSeparator" w:id="0">
    <w:p w14:paraId="1D23EA5F" w14:textId="77777777" w:rsidR="00000000" w:rsidRDefault="00785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1D23EA49" w14:textId="77777777" w:rsidR="002F3A5A" w:rsidRDefault="00785166" w:rsidP="002F3A5A">
        <w:pPr>
          <w:pStyle w:val="Sidhuvud"/>
          <w:jc w:val="right"/>
        </w:pPr>
        <w:r>
          <w:fldChar w:fldCharType="begin"/>
        </w:r>
        <w:r>
          <w:instrText xml:space="preserve"> PAGE   \* MERGEFORMAT </w:instrText>
        </w:r>
        <w:r>
          <w:fldChar w:fldCharType="separate"/>
        </w:r>
        <w:r>
          <w:rPr>
            <w:noProof/>
          </w:rPr>
          <w:t>15</w:t>
        </w:r>
        <w:r>
          <w:rPr>
            <w:noProof/>
          </w:rPr>
          <w:fldChar w:fldCharType="end"/>
        </w:r>
      </w:p>
    </w:sdtContent>
  </w:sdt>
  <w:p w14:paraId="1D23EA4A" w14:textId="77777777" w:rsidR="006F1C0D" w:rsidRDefault="00785166"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576B17" w14:paraId="1D23EA55" w14:textId="77777777" w:rsidTr="006E71D7">
      <w:tc>
        <w:tcPr>
          <w:tcW w:w="4606" w:type="dxa"/>
        </w:tcPr>
        <w:p w14:paraId="1D23EA4E" w14:textId="77777777" w:rsidR="006E71D7" w:rsidRDefault="00785166" w:rsidP="00752770">
          <w:pPr>
            <w:pStyle w:val="Sidhuvud"/>
            <w:ind w:left="0"/>
          </w:pPr>
          <w:r>
            <w:rPr>
              <w:noProof/>
              <w:lang w:eastAsia="sv-SE"/>
            </w:rPr>
            <w:drawing>
              <wp:inline distT="0" distB="0" distL="0" distR="0" wp14:anchorId="1D23EA5D" wp14:editId="1D23EA5E">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D23EA4F" w14:textId="77777777" w:rsidR="00FB32B9" w:rsidRDefault="00785166"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576B17" w14:paraId="1D23EA52" w14:textId="77777777" w:rsidTr="00623763">
            <w:tc>
              <w:tcPr>
                <w:tcW w:w="1833" w:type="dxa"/>
              </w:tcPr>
              <w:p w14:paraId="1D23EA50" w14:textId="77777777" w:rsidR="00623763" w:rsidRPr="00623763" w:rsidRDefault="00785166" w:rsidP="00623763">
                <w:pPr>
                  <w:ind w:left="0"/>
                </w:pPr>
                <w:r w:rsidRPr="00623763">
                  <w:rPr>
                    <w:rFonts w:ascii="TradeGothic" w:hAnsi="TradeGothic"/>
                    <w:b/>
                  </w:rPr>
                  <w:t>Promemoria</w:t>
                </w:r>
              </w:p>
            </w:tc>
            <w:tc>
              <w:tcPr>
                <w:tcW w:w="1833" w:type="dxa"/>
              </w:tcPr>
              <w:p w14:paraId="1D23EA51" w14:textId="22F4E9E8" w:rsidR="00623763" w:rsidRPr="00623763" w:rsidRDefault="00785166"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3</w:t>
                </w:r>
              </w:p>
            </w:tc>
          </w:tr>
        </w:tbl>
        <w:p w14:paraId="1D23EA53" w14:textId="77777777" w:rsidR="00FB32B9" w:rsidRDefault="00785166" w:rsidP="00FB32B9">
          <w:pPr>
            <w:jc w:val="right"/>
          </w:pPr>
        </w:p>
        <w:p w14:paraId="1D23EA54" w14:textId="77777777" w:rsidR="006E71D7" w:rsidRDefault="00785166" w:rsidP="00FB32B9">
          <w:pPr>
            <w:ind w:right="916"/>
          </w:pPr>
          <w:r>
            <w:rPr>
              <w:rFonts w:ascii="TradeGothic" w:hAnsi="TradeGothic"/>
              <w:b/>
              <w:noProof/>
            </w:rPr>
            <w:t>2017-01-18</w:t>
          </w:r>
          <w:r w:rsidRPr="00934953">
            <w:t xml:space="preserve"> </w:t>
          </w:r>
        </w:p>
      </w:tc>
    </w:tr>
  </w:tbl>
  <w:p w14:paraId="1D23EA56" w14:textId="77777777" w:rsidR="00FB32B9" w:rsidRDefault="00785166" w:rsidP="00FB32B9">
    <w:pPr>
      <w:pStyle w:val="Avsndare"/>
      <w:framePr w:w="0" w:hRule="auto" w:hSpace="0" w:wrap="auto" w:vAnchor="margin" w:hAnchor="text" w:xAlign="left" w:yAlign="inline"/>
      <w:rPr>
        <w:b/>
        <w:i w:val="0"/>
        <w:sz w:val="22"/>
      </w:rPr>
    </w:pPr>
  </w:p>
  <w:p w14:paraId="1D23EA57" w14:textId="77777777" w:rsidR="00FB32B9" w:rsidRDefault="00785166" w:rsidP="00FB32B9">
    <w:pPr>
      <w:pStyle w:val="Avsndare"/>
      <w:framePr w:w="0" w:hRule="auto" w:hSpace="0" w:wrap="auto" w:vAnchor="margin" w:hAnchor="text" w:xAlign="left" w:yAlign="inline"/>
      <w:rPr>
        <w:b/>
        <w:i w:val="0"/>
        <w:sz w:val="22"/>
      </w:rPr>
    </w:pPr>
    <w:r>
      <w:rPr>
        <w:b/>
        <w:i w:val="0"/>
        <w:sz w:val="22"/>
      </w:rPr>
      <w:t>Statsrådsberedningen</w:t>
    </w:r>
  </w:p>
  <w:p w14:paraId="1D23EA58" w14:textId="77777777" w:rsidR="00FB32B9" w:rsidRDefault="00785166" w:rsidP="00FB32B9">
    <w:pPr>
      <w:pStyle w:val="Avsndare"/>
      <w:framePr w:w="0" w:hRule="auto" w:hSpace="0" w:wrap="auto" w:vAnchor="margin" w:hAnchor="text" w:xAlign="left" w:yAlign="inline"/>
    </w:pPr>
  </w:p>
  <w:p w14:paraId="1D23EA59" w14:textId="77777777" w:rsidR="00FB32B9" w:rsidRDefault="00785166" w:rsidP="00FB32B9">
    <w:pPr>
      <w:pStyle w:val="Avsndare"/>
      <w:framePr w:w="0" w:hRule="auto" w:hSpace="0" w:wrap="auto" w:vAnchor="margin" w:hAnchor="text" w:xAlign="left" w:yAlign="inline"/>
    </w:pPr>
    <w:r>
      <w:t>EU-kansliet</w:t>
    </w:r>
  </w:p>
  <w:p w14:paraId="1D23EA5A" w14:textId="77777777" w:rsidR="0012376B" w:rsidRDefault="0078516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F91EBCFC">
      <w:start w:val="1"/>
      <w:numFmt w:val="decimal"/>
      <w:pStyle w:val="Rubrik1"/>
      <w:lvlText w:val="%1."/>
      <w:lvlJc w:val="left"/>
      <w:pPr>
        <w:ind w:left="720" w:hanging="360"/>
      </w:pPr>
    </w:lvl>
    <w:lvl w:ilvl="1" w:tplc="883E3482" w:tentative="1">
      <w:start w:val="1"/>
      <w:numFmt w:val="lowerLetter"/>
      <w:lvlText w:val="%2."/>
      <w:lvlJc w:val="left"/>
      <w:pPr>
        <w:ind w:left="1440" w:hanging="360"/>
      </w:pPr>
    </w:lvl>
    <w:lvl w:ilvl="2" w:tplc="D08652BC" w:tentative="1">
      <w:start w:val="1"/>
      <w:numFmt w:val="lowerRoman"/>
      <w:lvlText w:val="%3."/>
      <w:lvlJc w:val="right"/>
      <w:pPr>
        <w:ind w:left="2160" w:hanging="180"/>
      </w:pPr>
    </w:lvl>
    <w:lvl w:ilvl="3" w:tplc="7CCAADA2" w:tentative="1">
      <w:start w:val="1"/>
      <w:numFmt w:val="decimal"/>
      <w:lvlText w:val="%4."/>
      <w:lvlJc w:val="left"/>
      <w:pPr>
        <w:ind w:left="2880" w:hanging="360"/>
      </w:pPr>
    </w:lvl>
    <w:lvl w:ilvl="4" w:tplc="A3A6A9D6" w:tentative="1">
      <w:start w:val="1"/>
      <w:numFmt w:val="lowerLetter"/>
      <w:lvlText w:val="%5."/>
      <w:lvlJc w:val="left"/>
      <w:pPr>
        <w:ind w:left="3600" w:hanging="360"/>
      </w:pPr>
    </w:lvl>
    <w:lvl w:ilvl="5" w:tplc="FA54246C" w:tentative="1">
      <w:start w:val="1"/>
      <w:numFmt w:val="lowerRoman"/>
      <w:lvlText w:val="%6."/>
      <w:lvlJc w:val="right"/>
      <w:pPr>
        <w:ind w:left="4320" w:hanging="180"/>
      </w:pPr>
    </w:lvl>
    <w:lvl w:ilvl="6" w:tplc="9A6C8708" w:tentative="1">
      <w:start w:val="1"/>
      <w:numFmt w:val="decimal"/>
      <w:lvlText w:val="%7."/>
      <w:lvlJc w:val="left"/>
      <w:pPr>
        <w:ind w:left="5040" w:hanging="360"/>
      </w:pPr>
    </w:lvl>
    <w:lvl w:ilvl="7" w:tplc="BCDCE53C" w:tentative="1">
      <w:start w:val="1"/>
      <w:numFmt w:val="lowerLetter"/>
      <w:lvlText w:val="%8."/>
      <w:lvlJc w:val="left"/>
      <w:pPr>
        <w:ind w:left="5760" w:hanging="360"/>
      </w:pPr>
    </w:lvl>
    <w:lvl w:ilvl="8" w:tplc="B50ADE64" w:tentative="1">
      <w:start w:val="1"/>
      <w:numFmt w:val="lowerRoman"/>
      <w:lvlText w:val="%9."/>
      <w:lvlJc w:val="right"/>
      <w:pPr>
        <w:ind w:left="6480" w:hanging="180"/>
      </w:pPr>
    </w:lvl>
  </w:abstractNum>
  <w:abstractNum w:abstractNumId="1">
    <w:nsid w:val="73990993"/>
    <w:multiLevelType w:val="hybridMultilevel"/>
    <w:tmpl w:val="3BD822EE"/>
    <w:lvl w:ilvl="0" w:tplc="24924158">
      <w:start w:val="1"/>
      <w:numFmt w:val="decimal"/>
      <w:lvlText w:val="%1."/>
      <w:lvlJc w:val="left"/>
      <w:pPr>
        <w:ind w:left="360" w:hanging="360"/>
      </w:pPr>
      <w:rPr>
        <w:b w:val="0"/>
      </w:rPr>
    </w:lvl>
    <w:lvl w:ilvl="1" w:tplc="25B4DE3E" w:tentative="1">
      <w:start w:val="1"/>
      <w:numFmt w:val="lowerLetter"/>
      <w:lvlText w:val="%2."/>
      <w:lvlJc w:val="left"/>
      <w:pPr>
        <w:ind w:left="1080" w:hanging="360"/>
      </w:pPr>
    </w:lvl>
    <w:lvl w:ilvl="2" w:tplc="ADC0390C" w:tentative="1">
      <w:start w:val="1"/>
      <w:numFmt w:val="lowerRoman"/>
      <w:lvlText w:val="%3."/>
      <w:lvlJc w:val="right"/>
      <w:pPr>
        <w:ind w:left="1800" w:hanging="180"/>
      </w:pPr>
    </w:lvl>
    <w:lvl w:ilvl="3" w:tplc="112E5782" w:tentative="1">
      <w:start w:val="1"/>
      <w:numFmt w:val="decimal"/>
      <w:lvlText w:val="%4."/>
      <w:lvlJc w:val="left"/>
      <w:pPr>
        <w:ind w:left="2520" w:hanging="360"/>
      </w:pPr>
    </w:lvl>
    <w:lvl w:ilvl="4" w:tplc="9D3817F0" w:tentative="1">
      <w:start w:val="1"/>
      <w:numFmt w:val="lowerLetter"/>
      <w:lvlText w:val="%5."/>
      <w:lvlJc w:val="left"/>
      <w:pPr>
        <w:ind w:left="3240" w:hanging="360"/>
      </w:pPr>
    </w:lvl>
    <w:lvl w:ilvl="5" w:tplc="CE3A4160" w:tentative="1">
      <w:start w:val="1"/>
      <w:numFmt w:val="lowerRoman"/>
      <w:lvlText w:val="%6."/>
      <w:lvlJc w:val="right"/>
      <w:pPr>
        <w:ind w:left="3960" w:hanging="180"/>
      </w:pPr>
    </w:lvl>
    <w:lvl w:ilvl="6" w:tplc="8E7CB3EC" w:tentative="1">
      <w:start w:val="1"/>
      <w:numFmt w:val="decimal"/>
      <w:lvlText w:val="%7."/>
      <w:lvlJc w:val="left"/>
      <w:pPr>
        <w:ind w:left="4680" w:hanging="360"/>
      </w:pPr>
    </w:lvl>
    <w:lvl w:ilvl="7" w:tplc="00787736" w:tentative="1">
      <w:start w:val="1"/>
      <w:numFmt w:val="lowerLetter"/>
      <w:lvlText w:val="%8."/>
      <w:lvlJc w:val="left"/>
      <w:pPr>
        <w:ind w:left="5400" w:hanging="360"/>
      </w:pPr>
    </w:lvl>
    <w:lvl w:ilvl="8" w:tplc="BE7E572A"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B17"/>
    <w:rsid w:val="00576B17"/>
    <w:rsid w:val="00785166"/>
    <w:rsid w:val="00D800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3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JE6N4JFJXNNF-17-42195</_dlc_DocId>
    <_dlc_DocIdUrl xmlns="8b66ae41-1ec6-402e-b662-35d1932ca064">
      <Url>http://rkdhs-sb/enhet/EUKansli/_layouts/DocIdRedir.aspx?ID=JE6N4JFJXNNF-17-42195</Url>
      <Description>JE6N4JFJXNNF-17-42195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6DEB6-00E9-4695-B8F5-D4350CF4475E}"/>
</file>

<file path=customXml/itemProps2.xml><?xml version="1.0" encoding="utf-8"?>
<ds:datastoreItem xmlns:ds="http://schemas.openxmlformats.org/officeDocument/2006/customXml" ds:itemID="{A5F1A38D-BA92-453C-B4F0-DD9110392FE1}"/>
</file>

<file path=customXml/itemProps3.xml><?xml version="1.0" encoding="utf-8"?>
<ds:datastoreItem xmlns:ds="http://schemas.openxmlformats.org/officeDocument/2006/customXml" ds:itemID="{A8E881DD-0991-4B07-9BE3-844C8FF84133}"/>
</file>

<file path=customXml/itemProps4.xml><?xml version="1.0" encoding="utf-8"?>
<ds:datastoreItem xmlns:ds="http://schemas.openxmlformats.org/officeDocument/2006/customXml" ds:itemID="{0AC70B2A-FA7C-4C28-A51F-B2E3273D056F}"/>
</file>

<file path=customXml/itemProps5.xml><?xml version="1.0" encoding="utf-8"?>
<ds:datastoreItem xmlns:ds="http://schemas.openxmlformats.org/officeDocument/2006/customXml" ds:itemID="{FB97588A-DF9C-4670-A686-9BE4379B1053}"/>
</file>

<file path=customXml/itemProps6.xml><?xml version="1.0" encoding="utf-8"?>
<ds:datastoreItem xmlns:ds="http://schemas.openxmlformats.org/officeDocument/2006/customXml" ds:itemID="{CE386FB4-A050-4DC7-93B6-EFBE58975864}"/>
</file>

<file path=customXml/itemProps7.xml><?xml version="1.0" encoding="utf-8"?>
<ds:datastoreItem xmlns:ds="http://schemas.openxmlformats.org/officeDocument/2006/customXml" ds:itemID="{B75045D8-F1E4-4EB9-813B-B8820C61D632}"/>
</file>

<file path=docProps/app.xml><?xml version="1.0" encoding="utf-8"?>
<Properties xmlns="http://schemas.openxmlformats.org/officeDocument/2006/extended-properties" xmlns:vt="http://schemas.openxmlformats.org/officeDocument/2006/docPropsVTypes">
  <Template>Normal</Template>
  <TotalTime>0</TotalTime>
  <Pages>16</Pages>
  <Words>7290</Words>
  <Characters>38639</Characters>
  <Application>Microsoft Office Word</Application>
  <DocSecurity>0</DocSecurity>
  <Lines>321</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dcterms:created xsi:type="dcterms:W3CDTF">2017-01-18T15:20:00Z</dcterms:created>
  <dcterms:modified xsi:type="dcterms:W3CDTF">2017-01-18T15:20:00Z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1,2,3,4,5,6,7,8,11,12,13,14,15,16,17,18,19,20,21,22,23,24,25,26</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2f8356e7-364b-491e-b417-863920de22b3</vt:lpwstr>
  </property>
</Properties>
</file>