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24AB8" w14:paraId="246810DA" w14:textId="77777777">
        <w:tc>
          <w:tcPr>
            <w:tcW w:w="2268" w:type="dxa"/>
          </w:tcPr>
          <w:p w14:paraId="246810D8" w14:textId="1E6C70E8" w:rsidR="006E4E11" w:rsidRPr="006F71F4" w:rsidRDefault="006E4E11" w:rsidP="007242A3">
            <w:pPr>
              <w:framePr w:w="5035" w:h="1644" w:wrap="notBeside" w:vAnchor="page" w:hAnchor="page" w:x="6573" w:y="721"/>
              <w:rPr>
                <w:rFonts w:ascii="TradeGothic" w:hAnsi="TradeGothic"/>
                <w:sz w:val="18"/>
              </w:rPr>
            </w:pPr>
          </w:p>
        </w:tc>
        <w:tc>
          <w:tcPr>
            <w:tcW w:w="2999" w:type="dxa"/>
            <w:gridSpan w:val="2"/>
          </w:tcPr>
          <w:p w14:paraId="246810D9" w14:textId="77777777" w:rsidR="006E4E11" w:rsidRPr="00324AB8" w:rsidRDefault="006E4E11" w:rsidP="007242A3">
            <w:pPr>
              <w:framePr w:w="5035" w:h="1644" w:wrap="notBeside" w:vAnchor="page" w:hAnchor="page" w:x="6573" w:y="721"/>
              <w:rPr>
                <w:rFonts w:ascii="TradeGothic" w:hAnsi="TradeGothic"/>
                <w:i/>
                <w:sz w:val="18"/>
              </w:rPr>
            </w:pPr>
          </w:p>
        </w:tc>
      </w:tr>
      <w:tr w:rsidR="006E4E11" w:rsidRPr="00324AB8" w14:paraId="246810DD" w14:textId="77777777">
        <w:tc>
          <w:tcPr>
            <w:tcW w:w="2268" w:type="dxa"/>
          </w:tcPr>
          <w:p w14:paraId="246810DB" w14:textId="77777777" w:rsidR="006E4E11" w:rsidRPr="00324AB8" w:rsidRDefault="00324AB8" w:rsidP="007242A3">
            <w:pPr>
              <w:framePr w:w="5035" w:h="1644" w:wrap="notBeside" w:vAnchor="page" w:hAnchor="page" w:x="6573" w:y="721"/>
              <w:rPr>
                <w:rFonts w:ascii="TradeGothic" w:hAnsi="TradeGothic"/>
                <w:b/>
                <w:sz w:val="22"/>
              </w:rPr>
            </w:pPr>
            <w:r w:rsidRPr="00324AB8">
              <w:rPr>
                <w:rFonts w:ascii="TradeGothic" w:hAnsi="TradeGothic"/>
                <w:b/>
                <w:sz w:val="22"/>
              </w:rPr>
              <w:t xml:space="preserve">Promemoria </w:t>
            </w:r>
          </w:p>
        </w:tc>
        <w:tc>
          <w:tcPr>
            <w:tcW w:w="2999" w:type="dxa"/>
            <w:gridSpan w:val="2"/>
          </w:tcPr>
          <w:p w14:paraId="246810DC" w14:textId="77777777" w:rsidR="006E4E11" w:rsidRPr="00324AB8" w:rsidRDefault="006E4E11" w:rsidP="007242A3">
            <w:pPr>
              <w:framePr w:w="5035" w:h="1644" w:wrap="notBeside" w:vAnchor="page" w:hAnchor="page" w:x="6573" w:y="721"/>
              <w:rPr>
                <w:rFonts w:ascii="TradeGothic" w:hAnsi="TradeGothic"/>
                <w:b/>
                <w:sz w:val="22"/>
              </w:rPr>
            </w:pPr>
          </w:p>
        </w:tc>
      </w:tr>
      <w:tr w:rsidR="006E4E11" w:rsidRPr="00324AB8" w14:paraId="246810E0" w14:textId="77777777">
        <w:tc>
          <w:tcPr>
            <w:tcW w:w="3402" w:type="dxa"/>
            <w:gridSpan w:val="2"/>
          </w:tcPr>
          <w:p w14:paraId="246810DE" w14:textId="77777777" w:rsidR="006E4E11" w:rsidRPr="00324AB8" w:rsidRDefault="006E4E11" w:rsidP="007242A3">
            <w:pPr>
              <w:framePr w:w="5035" w:h="1644" w:wrap="notBeside" w:vAnchor="page" w:hAnchor="page" w:x="6573" w:y="721"/>
            </w:pPr>
          </w:p>
        </w:tc>
        <w:tc>
          <w:tcPr>
            <w:tcW w:w="1865" w:type="dxa"/>
          </w:tcPr>
          <w:p w14:paraId="246810DF" w14:textId="77777777" w:rsidR="006E4E11" w:rsidRPr="00324AB8" w:rsidRDefault="006E4E11" w:rsidP="007242A3">
            <w:pPr>
              <w:framePr w:w="5035" w:h="1644" w:wrap="notBeside" w:vAnchor="page" w:hAnchor="page" w:x="6573" w:y="721"/>
            </w:pPr>
          </w:p>
        </w:tc>
      </w:tr>
      <w:tr w:rsidR="006E4E11" w:rsidRPr="00324AB8" w14:paraId="246810E3" w14:textId="77777777">
        <w:tc>
          <w:tcPr>
            <w:tcW w:w="2268" w:type="dxa"/>
          </w:tcPr>
          <w:p w14:paraId="246810E1" w14:textId="06394E1A" w:rsidR="006E4E11" w:rsidRPr="00324AB8" w:rsidRDefault="009852BC" w:rsidP="003E009E">
            <w:pPr>
              <w:framePr w:w="5035" w:h="1644" w:wrap="notBeside" w:vAnchor="page" w:hAnchor="page" w:x="6573" w:y="721"/>
            </w:pPr>
            <w:r>
              <w:t>2016</w:t>
            </w:r>
            <w:r w:rsidR="008D3386">
              <w:t>-</w:t>
            </w:r>
            <w:r w:rsidR="00DF5F72">
              <w:t>10-24</w:t>
            </w:r>
          </w:p>
        </w:tc>
        <w:tc>
          <w:tcPr>
            <w:tcW w:w="2999" w:type="dxa"/>
            <w:gridSpan w:val="2"/>
          </w:tcPr>
          <w:p w14:paraId="246810E2" w14:textId="77777777" w:rsidR="006E4E11" w:rsidRPr="00324AB8" w:rsidRDefault="006E4E11" w:rsidP="007242A3">
            <w:pPr>
              <w:framePr w:w="5035" w:h="1644" w:wrap="notBeside" w:vAnchor="page" w:hAnchor="page" w:x="6573" w:y="721"/>
              <w:rPr>
                <w:sz w:val="20"/>
              </w:rPr>
            </w:pPr>
          </w:p>
        </w:tc>
      </w:tr>
      <w:tr w:rsidR="006E4E11" w:rsidRPr="00324AB8" w14:paraId="246810E6" w14:textId="77777777">
        <w:tc>
          <w:tcPr>
            <w:tcW w:w="2268" w:type="dxa"/>
          </w:tcPr>
          <w:p w14:paraId="246810E4" w14:textId="77777777" w:rsidR="006E4E11" w:rsidRPr="00324AB8" w:rsidRDefault="006E4E11" w:rsidP="007242A3">
            <w:pPr>
              <w:framePr w:w="5035" w:h="1644" w:wrap="notBeside" w:vAnchor="page" w:hAnchor="page" w:x="6573" w:y="721"/>
            </w:pPr>
          </w:p>
        </w:tc>
        <w:tc>
          <w:tcPr>
            <w:tcW w:w="2999" w:type="dxa"/>
            <w:gridSpan w:val="2"/>
          </w:tcPr>
          <w:p w14:paraId="246810E5" w14:textId="77777777" w:rsidR="006E4E11" w:rsidRPr="00324AB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24AB8" w14:paraId="246810E8" w14:textId="77777777">
        <w:trPr>
          <w:trHeight w:val="284"/>
        </w:trPr>
        <w:tc>
          <w:tcPr>
            <w:tcW w:w="4911" w:type="dxa"/>
          </w:tcPr>
          <w:p w14:paraId="246810E7" w14:textId="77777777" w:rsidR="006E4E11" w:rsidRPr="00324AB8" w:rsidRDefault="00324AB8">
            <w:pPr>
              <w:pStyle w:val="Avsndare"/>
              <w:framePr w:h="2483" w:wrap="notBeside" w:x="1504"/>
              <w:rPr>
                <w:b/>
                <w:i w:val="0"/>
                <w:sz w:val="22"/>
              </w:rPr>
            </w:pPr>
            <w:r>
              <w:rPr>
                <w:b/>
                <w:i w:val="0"/>
                <w:sz w:val="22"/>
              </w:rPr>
              <w:t>Miljö- och energidepartementet</w:t>
            </w:r>
          </w:p>
        </w:tc>
      </w:tr>
      <w:tr w:rsidR="006E4E11" w:rsidRPr="00324AB8" w14:paraId="246810EA" w14:textId="77777777">
        <w:trPr>
          <w:trHeight w:val="284"/>
        </w:trPr>
        <w:tc>
          <w:tcPr>
            <w:tcW w:w="4911" w:type="dxa"/>
          </w:tcPr>
          <w:p w14:paraId="246810E9" w14:textId="77777777" w:rsidR="006E4E11" w:rsidRPr="00324AB8" w:rsidRDefault="006E4E11">
            <w:pPr>
              <w:pStyle w:val="Avsndare"/>
              <w:framePr w:h="2483" w:wrap="notBeside" w:x="1504"/>
              <w:rPr>
                <w:bCs/>
                <w:iCs/>
              </w:rPr>
            </w:pPr>
          </w:p>
        </w:tc>
      </w:tr>
      <w:tr w:rsidR="006E4E11" w:rsidRPr="00324AB8" w14:paraId="246810EC" w14:textId="77777777">
        <w:trPr>
          <w:trHeight w:val="284"/>
        </w:trPr>
        <w:tc>
          <w:tcPr>
            <w:tcW w:w="4911" w:type="dxa"/>
          </w:tcPr>
          <w:p w14:paraId="246810EB" w14:textId="77777777" w:rsidR="006E4E11" w:rsidRPr="00324AB8" w:rsidRDefault="00324AB8">
            <w:pPr>
              <w:pStyle w:val="Avsndare"/>
              <w:framePr w:h="2483" w:wrap="notBeside" w:x="1504"/>
              <w:rPr>
                <w:bCs/>
                <w:iCs/>
              </w:rPr>
            </w:pPr>
            <w:r>
              <w:rPr>
                <w:bCs/>
                <w:iCs/>
              </w:rPr>
              <w:t>Internationella sekretariatet</w:t>
            </w:r>
          </w:p>
        </w:tc>
      </w:tr>
      <w:tr w:rsidR="00324AB8" w:rsidRPr="00324AB8" w14:paraId="246810EE" w14:textId="77777777">
        <w:trPr>
          <w:trHeight w:val="284"/>
        </w:trPr>
        <w:tc>
          <w:tcPr>
            <w:tcW w:w="4911" w:type="dxa"/>
          </w:tcPr>
          <w:p w14:paraId="246810ED" w14:textId="77777777" w:rsidR="00324AB8" w:rsidRPr="00324AB8" w:rsidRDefault="00324AB8" w:rsidP="00C32416">
            <w:pPr>
              <w:pStyle w:val="Avsndare"/>
              <w:framePr w:h="2483" w:wrap="notBeside" w:x="1504"/>
              <w:spacing w:line="276" w:lineRule="auto"/>
              <w:rPr>
                <w:bCs/>
                <w:iCs/>
              </w:rPr>
            </w:pPr>
          </w:p>
        </w:tc>
      </w:tr>
    </w:tbl>
    <w:p w14:paraId="246810EF" w14:textId="77777777" w:rsidR="006E4E11" w:rsidRPr="00324AB8" w:rsidRDefault="006E4E11" w:rsidP="00C32416">
      <w:pPr>
        <w:framePr w:w="4400" w:h="2523" w:wrap="notBeside" w:vAnchor="page" w:hAnchor="page" w:x="6453" w:y="2445"/>
        <w:spacing w:line="276" w:lineRule="auto"/>
        <w:ind w:left="142"/>
      </w:pPr>
    </w:p>
    <w:p w14:paraId="246810F1" w14:textId="73866AB7" w:rsidR="0002288B" w:rsidRDefault="00324AB8" w:rsidP="00C32416">
      <w:pPr>
        <w:pStyle w:val="RKnormal"/>
        <w:pBdr>
          <w:bottom w:val="single" w:sz="4" w:space="1" w:color="auto"/>
        </w:pBdr>
        <w:spacing w:line="276" w:lineRule="auto"/>
        <w:rPr>
          <w:rFonts w:ascii="TradeGothic Bold" w:hAnsi="TradeGothic Bold"/>
        </w:rPr>
      </w:pPr>
      <w:r>
        <w:rPr>
          <w:rFonts w:ascii="TradeGothic Bold" w:hAnsi="TradeGothic Bold"/>
        </w:rPr>
        <w:t>Rapport från rådets möte (miljöministrarna)</w:t>
      </w:r>
      <w:r w:rsidR="008A1D5E">
        <w:rPr>
          <w:rFonts w:ascii="TradeGothic Bold" w:hAnsi="TradeGothic Bold"/>
        </w:rPr>
        <w:t xml:space="preserve"> den </w:t>
      </w:r>
      <w:r w:rsidR="003E009E">
        <w:rPr>
          <w:rFonts w:ascii="TradeGothic Bold" w:hAnsi="TradeGothic Bold"/>
        </w:rPr>
        <w:t>17 oktober</w:t>
      </w:r>
      <w:r w:rsidR="009852BC">
        <w:rPr>
          <w:rFonts w:ascii="TradeGothic Bold" w:hAnsi="TradeGothic Bold"/>
        </w:rPr>
        <w:t xml:space="preserve"> 2016</w:t>
      </w:r>
    </w:p>
    <w:p w14:paraId="246810F2" w14:textId="77777777" w:rsidR="0002288B" w:rsidRPr="006B7B54" w:rsidRDefault="0002288B" w:rsidP="00C32416">
      <w:pPr>
        <w:spacing w:line="276" w:lineRule="auto"/>
      </w:pPr>
    </w:p>
    <w:p w14:paraId="69ED10AC" w14:textId="662DBB83" w:rsidR="00A800BC" w:rsidRDefault="0002288B" w:rsidP="003E009E">
      <w:pPr>
        <w:pBdr>
          <w:top w:val="single" w:sz="4" w:space="1" w:color="auto"/>
          <w:left w:val="single" w:sz="4" w:space="1" w:color="auto"/>
          <w:bottom w:val="single" w:sz="4" w:space="1" w:color="auto"/>
          <w:right w:val="single" w:sz="4" w:space="1" w:color="auto"/>
        </w:pBdr>
        <w:spacing w:line="276" w:lineRule="auto"/>
        <w:rPr>
          <w:b/>
        </w:rPr>
      </w:pPr>
      <w:r w:rsidRPr="006B7B54">
        <w:rPr>
          <w:b/>
        </w:rPr>
        <w:t>Sammanfattning</w:t>
      </w:r>
      <w:r w:rsidR="008A74A3">
        <w:rPr>
          <w:b/>
        </w:rPr>
        <w:t>:</w:t>
      </w:r>
    </w:p>
    <w:p w14:paraId="586D7CCD" w14:textId="77777777" w:rsidR="00A800BC" w:rsidRDefault="00A800BC" w:rsidP="003E009E">
      <w:pPr>
        <w:pBdr>
          <w:top w:val="single" w:sz="4" w:space="1" w:color="auto"/>
          <w:left w:val="single" w:sz="4" w:space="1" w:color="auto"/>
          <w:bottom w:val="single" w:sz="4" w:space="1" w:color="auto"/>
          <w:right w:val="single" w:sz="4" w:space="1" w:color="auto"/>
        </w:pBdr>
        <w:spacing w:line="276" w:lineRule="auto"/>
        <w:rPr>
          <w:b/>
        </w:rPr>
      </w:pPr>
    </w:p>
    <w:p w14:paraId="2EDF28F2" w14:textId="4062D0E0" w:rsidR="007A656D" w:rsidRPr="003E009E" w:rsidRDefault="00FF679F" w:rsidP="003E009E">
      <w:pPr>
        <w:pBdr>
          <w:top w:val="single" w:sz="4" w:space="1" w:color="auto"/>
          <w:left w:val="single" w:sz="4" w:space="1" w:color="auto"/>
          <w:bottom w:val="single" w:sz="4" w:space="1" w:color="auto"/>
          <w:right w:val="single" w:sz="4" w:space="1" w:color="auto"/>
        </w:pBdr>
        <w:spacing w:line="276" w:lineRule="auto"/>
        <w:rPr>
          <w:b/>
        </w:rPr>
      </w:pPr>
      <w:r w:rsidRPr="003E009E">
        <w:rPr>
          <w:b/>
        </w:rPr>
        <w:t>D</w:t>
      </w:r>
      <w:r w:rsidR="007A656D" w:rsidRPr="003E009E">
        <w:rPr>
          <w:b/>
        </w:rPr>
        <w:t>et</w:t>
      </w:r>
      <w:r w:rsidR="003E009E" w:rsidRPr="003E009E">
        <w:rPr>
          <w:b/>
        </w:rPr>
        <w:t xml:space="preserve"> andra</w:t>
      </w:r>
      <w:r w:rsidR="007A656D" w:rsidRPr="003E009E">
        <w:rPr>
          <w:b/>
        </w:rPr>
        <w:t xml:space="preserve"> miljörådsmötet under det </w:t>
      </w:r>
      <w:r w:rsidR="003E009E" w:rsidRPr="003E009E">
        <w:rPr>
          <w:b/>
        </w:rPr>
        <w:t>slovakiska</w:t>
      </w:r>
      <w:r w:rsidR="0031747F" w:rsidRPr="003E009E">
        <w:rPr>
          <w:b/>
        </w:rPr>
        <w:t xml:space="preserve"> </w:t>
      </w:r>
      <w:r w:rsidR="007A656D" w:rsidRPr="003E009E">
        <w:rPr>
          <w:b/>
        </w:rPr>
        <w:t>ordförandeskapet</w:t>
      </w:r>
      <w:r w:rsidRPr="003E009E">
        <w:rPr>
          <w:b/>
        </w:rPr>
        <w:t xml:space="preserve"> genomfördes den</w:t>
      </w:r>
      <w:r w:rsidR="003E009E" w:rsidRPr="003E009E">
        <w:rPr>
          <w:b/>
        </w:rPr>
        <w:t xml:space="preserve"> 17 oktober </w:t>
      </w:r>
      <w:r w:rsidR="00DF01F2" w:rsidRPr="003E009E">
        <w:rPr>
          <w:b/>
        </w:rPr>
        <w:t>i Luxemburg</w:t>
      </w:r>
      <w:r w:rsidR="007A656D" w:rsidRPr="003E009E">
        <w:rPr>
          <w:b/>
        </w:rPr>
        <w:t xml:space="preserve">. </w:t>
      </w:r>
      <w:r w:rsidR="000C59A6" w:rsidRPr="003E009E">
        <w:rPr>
          <w:b/>
        </w:rPr>
        <w:t>Sverige representerades av</w:t>
      </w:r>
      <w:r w:rsidR="00A800BC" w:rsidRPr="003E009E">
        <w:rPr>
          <w:b/>
        </w:rPr>
        <w:t xml:space="preserve"> miljöminister Karolina Skog och ministern för internationellt utvecklin</w:t>
      </w:r>
      <w:r w:rsidR="00BA4206" w:rsidRPr="003E009E">
        <w:rPr>
          <w:b/>
        </w:rPr>
        <w:t>g</w:t>
      </w:r>
      <w:r w:rsidR="00A800BC" w:rsidRPr="003E009E">
        <w:rPr>
          <w:b/>
        </w:rPr>
        <w:t>ssamarbete och klimat Isabella Lövin</w:t>
      </w:r>
      <w:r w:rsidR="000C59A6" w:rsidRPr="003E009E">
        <w:rPr>
          <w:b/>
        </w:rPr>
        <w:t>.</w:t>
      </w:r>
    </w:p>
    <w:p w14:paraId="06DC48F5" w14:textId="77777777" w:rsidR="000C59A6" w:rsidRPr="006B7B54" w:rsidRDefault="000C59A6" w:rsidP="003E009E">
      <w:pPr>
        <w:pBdr>
          <w:top w:val="single" w:sz="4" w:space="1" w:color="auto"/>
          <w:left w:val="single" w:sz="4" w:space="1" w:color="auto"/>
          <w:bottom w:val="single" w:sz="4" w:space="1" w:color="auto"/>
          <w:right w:val="single" w:sz="4" w:space="1" w:color="auto"/>
        </w:pBdr>
        <w:spacing w:line="276" w:lineRule="auto"/>
        <w:rPr>
          <w:b/>
        </w:rPr>
      </w:pPr>
    </w:p>
    <w:p w14:paraId="6A9EBBF8" w14:textId="1841E910" w:rsidR="00066813" w:rsidRPr="003E009E" w:rsidRDefault="003E009E" w:rsidP="003E009E">
      <w:pPr>
        <w:pBdr>
          <w:top w:val="single" w:sz="4" w:space="1" w:color="auto"/>
          <w:left w:val="single" w:sz="4" w:space="1" w:color="auto"/>
          <w:bottom w:val="single" w:sz="4" w:space="1" w:color="auto"/>
          <w:right w:val="single" w:sz="4" w:space="1" w:color="auto"/>
        </w:pBdr>
        <w:spacing w:line="276" w:lineRule="auto"/>
        <w:rPr>
          <w:b/>
        </w:rPr>
      </w:pPr>
      <w:r w:rsidRPr="003E009E">
        <w:rPr>
          <w:b/>
        </w:rPr>
        <w:t>En riktlinjedebatt hölls om kommissionens förslag till förordningar om ansvarsfördelningen av utsläppen i den icke-handlande sektorn (ESR) och om regler för utsläpp och upptag från skog och markanvändning (LULUCF)</w:t>
      </w:r>
    </w:p>
    <w:p w14:paraId="2D64E657" w14:textId="77777777" w:rsidR="00DF01F2" w:rsidRPr="00DF01F2" w:rsidRDefault="00DF01F2" w:rsidP="003E009E">
      <w:pPr>
        <w:pBdr>
          <w:top w:val="single" w:sz="4" w:space="1" w:color="auto"/>
          <w:left w:val="single" w:sz="4" w:space="1" w:color="auto"/>
          <w:bottom w:val="single" w:sz="4" w:space="1" w:color="auto"/>
          <w:right w:val="single" w:sz="4" w:space="1" w:color="auto"/>
        </w:pBdr>
        <w:spacing w:line="276" w:lineRule="auto"/>
        <w:rPr>
          <w:b/>
        </w:rPr>
      </w:pPr>
    </w:p>
    <w:p w14:paraId="12310319" w14:textId="142C0ED9" w:rsidR="003E009E" w:rsidRPr="003E009E" w:rsidRDefault="00066813" w:rsidP="003E009E">
      <w:pPr>
        <w:pBdr>
          <w:top w:val="single" w:sz="4" w:space="1" w:color="auto"/>
          <w:left w:val="single" w:sz="4" w:space="1" w:color="auto"/>
          <w:bottom w:val="single" w:sz="4" w:space="1" w:color="auto"/>
          <w:right w:val="single" w:sz="4" w:space="1" w:color="auto"/>
        </w:pBdr>
        <w:spacing w:after="240" w:line="276" w:lineRule="auto"/>
        <w:rPr>
          <w:b/>
        </w:rPr>
      </w:pPr>
      <w:r w:rsidRPr="003E009E">
        <w:rPr>
          <w:b/>
        </w:rPr>
        <w:t>Rådet</w:t>
      </w:r>
      <w:r w:rsidR="00342ED7" w:rsidRPr="003E009E">
        <w:rPr>
          <w:b/>
        </w:rPr>
        <w:t xml:space="preserve"> </w:t>
      </w:r>
      <w:r w:rsidRPr="003E009E">
        <w:rPr>
          <w:b/>
        </w:rPr>
        <w:t>antog</w:t>
      </w:r>
      <w:r w:rsidR="00E3639E" w:rsidRPr="003E009E">
        <w:rPr>
          <w:b/>
        </w:rPr>
        <w:t xml:space="preserve"> slutsatser om </w:t>
      </w:r>
      <w:r w:rsidR="003E009E" w:rsidRPr="003E009E">
        <w:rPr>
          <w:b/>
        </w:rPr>
        <w:t>hållbar vattenförvaltning</w:t>
      </w:r>
      <w:r w:rsidR="00BF1735">
        <w:rPr>
          <w:b/>
        </w:rPr>
        <w:t>.</w:t>
      </w:r>
    </w:p>
    <w:p w14:paraId="738097F3" w14:textId="379448F8" w:rsidR="003E009E" w:rsidRPr="003E009E" w:rsidRDefault="003E009E" w:rsidP="003E009E">
      <w:pPr>
        <w:pBdr>
          <w:top w:val="single" w:sz="4" w:space="1" w:color="auto"/>
          <w:left w:val="single" w:sz="4" w:space="1" w:color="auto"/>
          <w:bottom w:val="single" w:sz="4" w:space="1" w:color="auto"/>
          <w:right w:val="single" w:sz="4" w:space="1" w:color="auto"/>
        </w:pBdr>
        <w:spacing w:after="240" w:line="276" w:lineRule="auto"/>
        <w:rPr>
          <w:b/>
        </w:rPr>
      </w:pPr>
      <w:r w:rsidRPr="003E009E">
        <w:rPr>
          <w:b/>
        </w:rPr>
        <w:t xml:space="preserve">Rådet antog </w:t>
      </w:r>
      <w:r w:rsidR="006639F5">
        <w:rPr>
          <w:b/>
        </w:rPr>
        <w:t xml:space="preserve">också </w:t>
      </w:r>
      <w:r w:rsidRPr="003E009E">
        <w:rPr>
          <w:b/>
        </w:rPr>
        <w:t xml:space="preserve">slutsatser inför det trettonde partsmötet för konventionen för biologisk mångfald (CBD) och dess två protokoll, Cartagenaprotokollet och Nagoyaprotokollet. </w:t>
      </w:r>
    </w:p>
    <w:p w14:paraId="270E1CF0" w14:textId="34DB3233" w:rsidR="00126D4D" w:rsidRDefault="003E009E" w:rsidP="003E009E">
      <w:pPr>
        <w:pBdr>
          <w:top w:val="single" w:sz="4" w:space="1" w:color="auto"/>
          <w:left w:val="single" w:sz="4" w:space="1" w:color="auto"/>
          <w:bottom w:val="single" w:sz="4" w:space="1" w:color="auto"/>
          <w:right w:val="single" w:sz="4" w:space="1" w:color="auto"/>
        </w:pBdr>
        <w:spacing w:after="240" w:line="276" w:lineRule="auto"/>
        <w:rPr>
          <w:b/>
          <w:bCs/>
        </w:rPr>
      </w:pPr>
      <w:r>
        <w:rPr>
          <w:b/>
          <w:bCs/>
        </w:rPr>
        <w:t>Ett antal övriga frå</w:t>
      </w:r>
      <w:r w:rsidR="00126D4D">
        <w:rPr>
          <w:b/>
          <w:bCs/>
        </w:rPr>
        <w:t>gor togs också upp på rådsmötet: information från den polska delegationen om förvaltningen av Bialowieskaskogen</w:t>
      </w:r>
      <w:r w:rsidR="006639F5">
        <w:rPr>
          <w:b/>
          <w:bCs/>
        </w:rPr>
        <w:t>, information från de polska, hungerska och rumänska delegationerna om</w:t>
      </w:r>
      <w:r w:rsidR="00126D4D">
        <w:rPr>
          <w:b/>
          <w:bCs/>
        </w:rPr>
        <w:t xml:space="preserve"> de avslutade förhandlingarna om takdirektivet, information från den cypriotiska delegationen om outnyttjade medel i NER300-fonden samt en presentation av kommissionens meddelande om utsläppssnål rörlighet. Sverige, Nederländerna och Danmark presenterade en not om kommissionens förslag till kriterier för hormonstörande ämnen. </w:t>
      </w:r>
    </w:p>
    <w:p w14:paraId="0AA5E475" w14:textId="33597DF0" w:rsidR="00126D4D" w:rsidRDefault="00126D4D" w:rsidP="003E009E">
      <w:pPr>
        <w:pBdr>
          <w:top w:val="single" w:sz="4" w:space="1" w:color="auto"/>
          <w:left w:val="single" w:sz="4" w:space="1" w:color="auto"/>
          <w:bottom w:val="single" w:sz="4" w:space="1" w:color="auto"/>
          <w:right w:val="single" w:sz="4" w:space="1" w:color="auto"/>
        </w:pBdr>
        <w:spacing w:after="240" w:line="276" w:lineRule="auto"/>
        <w:rPr>
          <w:b/>
          <w:bCs/>
        </w:rPr>
      </w:pPr>
      <w:r>
        <w:rPr>
          <w:b/>
          <w:bCs/>
        </w:rPr>
        <w:t>Därutöver återrapporterade kommissionen och ordförandeskapet</w:t>
      </w:r>
      <w:r w:rsidR="003E009E">
        <w:rPr>
          <w:b/>
          <w:bCs/>
        </w:rPr>
        <w:t xml:space="preserve"> från </w:t>
      </w:r>
      <w:r>
        <w:rPr>
          <w:b/>
          <w:bCs/>
        </w:rPr>
        <w:t>partsmö</w:t>
      </w:r>
      <w:r w:rsidR="006639F5">
        <w:rPr>
          <w:b/>
          <w:bCs/>
        </w:rPr>
        <w:t>ten för Montrealprotokollet, CITES (konventionen om in</w:t>
      </w:r>
      <w:r w:rsidR="001D2C03">
        <w:rPr>
          <w:b/>
          <w:bCs/>
        </w:rPr>
        <w:t>ternationell</w:t>
      </w:r>
      <w:r w:rsidR="006639F5">
        <w:rPr>
          <w:b/>
          <w:bCs/>
        </w:rPr>
        <w:t xml:space="preserve"> handel med hotade arter av</w:t>
      </w:r>
      <w:r w:rsidR="00A279EC">
        <w:rPr>
          <w:b/>
          <w:bCs/>
        </w:rPr>
        <w:t xml:space="preserve"> vilda</w:t>
      </w:r>
      <w:r w:rsidR="006639F5">
        <w:rPr>
          <w:b/>
          <w:bCs/>
        </w:rPr>
        <w:t xml:space="preserve"> djur och växter)</w:t>
      </w:r>
      <w:r>
        <w:rPr>
          <w:b/>
          <w:bCs/>
        </w:rPr>
        <w:t xml:space="preserve">, </w:t>
      </w:r>
      <w:r>
        <w:rPr>
          <w:b/>
          <w:bCs/>
        </w:rPr>
        <w:lastRenderedPageBreak/>
        <w:t xml:space="preserve">ICAO:s  </w:t>
      </w:r>
      <w:r w:rsidR="006639F5">
        <w:rPr>
          <w:b/>
          <w:bCs/>
        </w:rPr>
        <w:t xml:space="preserve">(internationella civila luftfartsorganisationen) </w:t>
      </w:r>
      <w:r>
        <w:rPr>
          <w:b/>
          <w:bCs/>
        </w:rPr>
        <w:t xml:space="preserve">generalförsamling samt IUCN:s </w:t>
      </w:r>
      <w:r w:rsidR="006639F5">
        <w:rPr>
          <w:b/>
          <w:bCs/>
        </w:rPr>
        <w:t xml:space="preserve"> (internationella naturvårdsunionen) </w:t>
      </w:r>
      <w:r>
        <w:rPr>
          <w:b/>
          <w:bCs/>
        </w:rPr>
        <w:t>kongress.</w:t>
      </w:r>
    </w:p>
    <w:p w14:paraId="5C52058C" w14:textId="77777777" w:rsidR="00C32416" w:rsidRDefault="00C32416" w:rsidP="00C32416">
      <w:pPr>
        <w:pStyle w:val="Rubrik1"/>
        <w:spacing w:before="0" w:after="0" w:line="276" w:lineRule="auto"/>
        <w:ind w:left="360"/>
      </w:pPr>
    </w:p>
    <w:p w14:paraId="246810FA" w14:textId="77777777" w:rsidR="0002288B" w:rsidRPr="00271254" w:rsidRDefault="0002288B" w:rsidP="00626464">
      <w:pPr>
        <w:pStyle w:val="Rubrik1"/>
        <w:spacing w:before="0" w:after="0" w:line="276" w:lineRule="auto"/>
      </w:pPr>
      <w:r w:rsidRPr="00271254">
        <w:t>Godkännande av A-punktslistan</w:t>
      </w:r>
    </w:p>
    <w:p w14:paraId="246810FB" w14:textId="77777777" w:rsidR="0002288B" w:rsidRDefault="0002288B" w:rsidP="00C32416">
      <w:pPr>
        <w:pStyle w:val="RKnormal"/>
        <w:spacing w:line="276" w:lineRule="auto"/>
      </w:pPr>
    </w:p>
    <w:p w14:paraId="246810FC" w14:textId="77777777" w:rsidR="0002288B" w:rsidRDefault="0002288B" w:rsidP="00C32416">
      <w:pPr>
        <w:pStyle w:val="RKnormal"/>
        <w:spacing w:line="276" w:lineRule="auto"/>
      </w:pPr>
      <w:r>
        <w:t>Rådet godkände A-punktslistan.</w:t>
      </w:r>
    </w:p>
    <w:p w14:paraId="7B78AADA" w14:textId="77777777" w:rsidR="0031747F" w:rsidRDefault="0031747F" w:rsidP="00C32416">
      <w:pPr>
        <w:pStyle w:val="RKnormal"/>
        <w:spacing w:line="276" w:lineRule="auto"/>
      </w:pPr>
    </w:p>
    <w:p w14:paraId="4F2E8A02" w14:textId="31804F9A" w:rsidR="003E009E" w:rsidRDefault="006639F5" w:rsidP="00626464">
      <w:pPr>
        <w:pStyle w:val="Rubrik1"/>
        <w:spacing w:before="0" w:after="0" w:line="276" w:lineRule="auto"/>
      </w:pPr>
      <w:r>
        <w:t xml:space="preserve">4. </w:t>
      </w:r>
      <w:r w:rsidR="00626464">
        <w:t>Riktlinjedebatt om ESR och LULUCF</w:t>
      </w:r>
    </w:p>
    <w:p w14:paraId="27EE269B" w14:textId="77777777" w:rsidR="00626464" w:rsidRDefault="00626464" w:rsidP="003E009E">
      <w:pPr>
        <w:pStyle w:val="Default"/>
        <w:rPr>
          <w:sz w:val="23"/>
          <w:szCs w:val="23"/>
        </w:rPr>
      </w:pPr>
    </w:p>
    <w:p w14:paraId="4C4470F9" w14:textId="3DC65FA0" w:rsidR="003355C6" w:rsidRDefault="00637BD1" w:rsidP="00637BD1">
      <w:r>
        <w:t>Kommissionen (Canete) inledde med en presentation av</w:t>
      </w:r>
      <w:r w:rsidR="003355C6">
        <w:t xml:space="preserve"> de aktuella</w:t>
      </w:r>
      <w:r w:rsidR="00091A5A">
        <w:t xml:space="preserve"> klimatpolitiska</w:t>
      </w:r>
      <w:r w:rsidR="003355C6">
        <w:t xml:space="preserve"> lagförslagen, nämligen ESR och LULUCF. </w:t>
      </w:r>
      <w:r w:rsidR="00DF0CB4">
        <w:t>Den så kallade ansvarsfördelningen (</w:t>
      </w:r>
      <w:r w:rsidR="003355C6">
        <w:t>ESR</w:t>
      </w:r>
      <w:r w:rsidR="00DF0CB4">
        <w:t>)</w:t>
      </w:r>
      <w:r w:rsidR="003355C6">
        <w:t xml:space="preserve"> </w:t>
      </w:r>
      <w:r w:rsidR="00DF0CB4">
        <w:t xml:space="preserve">förslås fastslå </w:t>
      </w:r>
      <w:r w:rsidR="003355C6">
        <w:t xml:space="preserve">mål om </w:t>
      </w:r>
      <w:r w:rsidR="00DF0CB4">
        <w:t xml:space="preserve">nationella </w:t>
      </w:r>
      <w:r w:rsidR="003355C6">
        <w:t>utsläppsminskningar i sektorerna utanför EU:s utsläppshandel,</w:t>
      </w:r>
      <w:r>
        <w:t xml:space="preserve"> och </w:t>
      </w:r>
      <w:r w:rsidRPr="00637BD1">
        <w:t>LULUCF</w:t>
      </w:r>
      <w:r w:rsidR="003355C6">
        <w:t xml:space="preserve"> berör utsläpp från markanvändning, förändringar i markanvändning och skogsbruk. </w:t>
      </w:r>
      <w:r>
        <w:t xml:space="preserve"> </w:t>
      </w:r>
    </w:p>
    <w:p w14:paraId="684C9805" w14:textId="77777777" w:rsidR="003355C6" w:rsidRDefault="003355C6" w:rsidP="00637BD1"/>
    <w:p w14:paraId="0F9984C1" w14:textId="7E4F4893" w:rsidR="00637BD1" w:rsidRDefault="00637BD1" w:rsidP="00637BD1">
      <w:r>
        <w:t xml:space="preserve">Därefter följde en </w:t>
      </w:r>
      <w:r w:rsidR="003355C6">
        <w:t xml:space="preserve">bordsrunda om förslagen. </w:t>
      </w:r>
      <w:r>
        <w:t xml:space="preserve">Det fanns en generell samsyn bland medlemsstaterna om att kommissionens två förslag ESR och LULUCF utgjorde en bra grund för det fortsatta arbetet. Flera medlemsstater hade </w:t>
      </w:r>
      <w:r w:rsidR="00011FEC">
        <w:t>emellertid</w:t>
      </w:r>
      <w:r>
        <w:t xml:space="preserve"> invändningar mot delar av förslagen. </w:t>
      </w:r>
      <w:r w:rsidR="00011FEC">
        <w:t xml:space="preserve">Synpunkterna </w:t>
      </w:r>
      <w:r>
        <w:t xml:space="preserve">handlade i stor utsträckning om valet av beräkningsgrunder för startpunkten för </w:t>
      </w:r>
      <w:r w:rsidR="00011FEC">
        <w:t xml:space="preserve">medlemsstaternas </w:t>
      </w:r>
      <w:r>
        <w:t xml:space="preserve">utsläppsbanor och målberäkningen. Ett flertal </w:t>
      </w:r>
      <w:r w:rsidR="00011FEC">
        <w:t xml:space="preserve">medlemsstater </w:t>
      </w:r>
      <w:r>
        <w:t xml:space="preserve">ansåg att de gällande målen för 2020 istället borde användas som startpunkt för beräkningen av </w:t>
      </w:r>
      <w:r w:rsidR="00011FEC">
        <w:t>medlemsstaternas</w:t>
      </w:r>
      <w:r>
        <w:t xml:space="preserve"> mål för att i större utsträckning belöna tidiga åtgärder och </w:t>
      </w:r>
      <w:r w:rsidR="00011FEC">
        <w:t>de länder</w:t>
      </w:r>
      <w:r>
        <w:t xml:space="preserve"> som hade </w:t>
      </w:r>
      <w:proofErr w:type="spellStart"/>
      <w:r>
        <w:t>överpresterat</w:t>
      </w:r>
      <w:proofErr w:type="spellEnd"/>
      <w:r>
        <w:t xml:space="preserve"> i förhållande till 2020-målen. Ännu fler </w:t>
      </w:r>
      <w:r w:rsidR="00011FEC">
        <w:t>medlemsstater</w:t>
      </w:r>
      <w:r>
        <w:t xml:space="preserve"> ansåg att flexibiliteten i</w:t>
      </w:r>
      <w:r w:rsidR="00011FEC">
        <w:t xml:space="preserve"> kommissionens</w:t>
      </w:r>
      <w:r>
        <w:t xml:space="preserve"> förslag var alltför begränsad och behövde utökas. </w:t>
      </w:r>
      <w:r w:rsidR="00011FEC">
        <w:t>Framförallt</w:t>
      </w:r>
      <w:r>
        <w:t xml:space="preserve"> uttryckte ett antal </w:t>
      </w:r>
      <w:r w:rsidR="00011FEC">
        <w:t>medlemsstater</w:t>
      </w:r>
      <w:r>
        <w:t xml:space="preserve"> att flexibiliteten i förhållande till LULUCF var alltför begränsad. Samtidigt underströk också många </w:t>
      </w:r>
      <w:r w:rsidR="00011FEC">
        <w:t>medlemsstater</w:t>
      </w:r>
      <w:r>
        <w:t xml:space="preserve">, även de som förespråkade ökad flexibilitet, vikten av att värna miljöintegriteten i förslagen och EU:s samlade ambitionsnivå. </w:t>
      </w:r>
    </w:p>
    <w:p w14:paraId="257B5FC1" w14:textId="77777777" w:rsidR="003355C6" w:rsidRDefault="003355C6" w:rsidP="00637BD1"/>
    <w:p w14:paraId="4614F576" w14:textId="34D62881" w:rsidR="003355C6" w:rsidRDefault="003355C6" w:rsidP="00637BD1">
      <w:r>
        <w:t xml:space="preserve">Flera medlemsstater inklusive kommissionen underströk att situationen skulle bli ohanterlig om de mål som föreslagits skulle omförhandlas, eftersom fördelningen </w:t>
      </w:r>
      <w:r w:rsidR="00091A5A">
        <w:t>av målen utgjorde ett nollsumme</w:t>
      </w:r>
      <w:r>
        <w:t>spel. Så även om många medlemsstater framhöll att de hade synpunkter på de siffror som kommissionen hade kommit fram till, uttalade en tydlig majoritet av medlemsstaterna att de ändå kunde acceptera målen för att undvika den svåra situation som en omförhandling skulle innebära.</w:t>
      </w:r>
    </w:p>
    <w:p w14:paraId="601B1227" w14:textId="77777777" w:rsidR="00F94FE4" w:rsidRDefault="00F94FE4" w:rsidP="00637BD1"/>
    <w:p w14:paraId="032802E6" w14:textId="30E3A70C" w:rsidR="00F94FE4" w:rsidRDefault="00F94FE4" w:rsidP="00637BD1">
      <w:r w:rsidRPr="00F94FE4">
        <w:rPr>
          <w:bCs/>
        </w:rPr>
        <w:t>M</w:t>
      </w:r>
      <w:r>
        <w:t xml:space="preserve">ånga medlemsstater underströk vikten av att regelverket om LULUCF beaktade förutsättningarna för, och vikten av, hållbart skogsbruk. </w:t>
      </w:r>
      <w:r>
        <w:lastRenderedPageBreak/>
        <w:t>Bokföringsreglerna i LULUCF behövde skapa tydliga incitament för hållbart skogbruk och för medlemsstaterna att öka potentialen i skogen som sänka.</w:t>
      </w:r>
    </w:p>
    <w:p w14:paraId="2DFD47FA" w14:textId="77777777" w:rsidR="00AD52A9" w:rsidRDefault="00AD52A9" w:rsidP="00637BD1"/>
    <w:p w14:paraId="2E0CF238" w14:textId="2C7FCFFB" w:rsidR="00F6492E" w:rsidRDefault="00F6492E" w:rsidP="00637BD1">
      <w:r>
        <w:t xml:space="preserve">Sr </w:t>
      </w:r>
      <w:proofErr w:type="spellStart"/>
      <w:r>
        <w:t>Lövin</w:t>
      </w:r>
      <w:proofErr w:type="spellEnd"/>
      <w:r>
        <w:t xml:space="preserve"> framförde att Sverige välkomnade kommissionens förslag till förordningar för ESR och LULUCF, och att Sverige är villigt at</w:t>
      </w:r>
      <w:r w:rsidR="00DF0CB4">
        <w:t>t visa ledarskap genom att anta ambitiösa</w:t>
      </w:r>
      <w:r>
        <w:t xml:space="preserve"> klimatmål.</w:t>
      </w:r>
      <w:r w:rsidR="0017691C">
        <w:t xml:space="preserve"> Parisavtalet måste påverka ambitionsnivån i 2030-ramverket och de två lagstiftningarnas översynsklausuler som bör anpassas efter Parisavtalets mål för utsläppsminskningar.</w:t>
      </w:r>
      <w:r>
        <w:t xml:space="preserve"> Sverige framförde att ansvarsfördelningen bör baseras </w:t>
      </w:r>
      <w:r w:rsidR="00DF0CB4">
        <w:t xml:space="preserve">på </w:t>
      </w:r>
      <w:r>
        <w:t xml:space="preserve">de principer som fastställdes i Europeiska rådets slutsatser från 2014 inklusive hänsyn taget till kostnadseffektivitet. Sverige framförde även oro över att förslaget inte </w:t>
      </w:r>
      <w:r w:rsidR="003355C6">
        <w:t>skulle leda till</w:t>
      </w:r>
      <w:r>
        <w:t xml:space="preserve"> tillräckligt</w:t>
      </w:r>
      <w:r w:rsidR="003355C6">
        <w:t xml:space="preserve"> stort</w:t>
      </w:r>
      <w:r>
        <w:t xml:space="preserve"> omställningstryck, och att det var avgörande att alla länder vidtar åtgärder som bidrar till </w:t>
      </w:r>
      <w:r w:rsidR="00DF0CB4">
        <w:t>den nödvändiga omställningen</w:t>
      </w:r>
      <w:r>
        <w:t xml:space="preserve">. Med avseende på LULUCF-förslaget framförde Sverige </w:t>
      </w:r>
      <w:r w:rsidR="00F94FE4">
        <w:t>betydelsen</w:t>
      </w:r>
      <w:r>
        <w:t xml:space="preserve"> av att respektera nationell kompetens på skogspolitikens område.</w:t>
      </w:r>
      <w:r w:rsidR="00DF0CB4">
        <w:t xml:space="preserve"> Förslaget fick inte hindra en utökad hållbar </w:t>
      </w:r>
      <w:r w:rsidR="000C08A6">
        <w:t>produkt</w:t>
      </w:r>
      <w:r w:rsidR="00091A5A">
        <w:t>ion från skogsbruk och jordbruk.</w:t>
      </w:r>
      <w:r>
        <w:t xml:space="preserve"> Sverige </w:t>
      </w:r>
      <w:r w:rsidR="00F94FE4">
        <w:t xml:space="preserve">välkomnade att referensnivåerna sätts utifrån gemensamma krav och principer. Däremot är det avgörande att </w:t>
      </w:r>
      <w:r>
        <w:t xml:space="preserve">medlemsstaterna </w:t>
      </w:r>
      <w:r w:rsidR="00F94FE4">
        <w:t xml:space="preserve">själva beslutar över sina </w:t>
      </w:r>
      <w:r w:rsidR="00E11201">
        <w:t xml:space="preserve">referensnivåer, och att dessa inte antas i delegerade akter. </w:t>
      </w:r>
    </w:p>
    <w:p w14:paraId="68BF1D75" w14:textId="77777777" w:rsidR="00AD52A9" w:rsidRDefault="00AD52A9" w:rsidP="00637BD1">
      <w:pPr>
        <w:rPr>
          <w:u w:val="single"/>
        </w:rPr>
      </w:pPr>
    </w:p>
    <w:p w14:paraId="327EC7D6" w14:textId="722EB681" w:rsidR="00637BD1" w:rsidRDefault="00F94FE4" w:rsidP="00637BD1">
      <w:r>
        <w:t xml:space="preserve">Kommissionen </w:t>
      </w:r>
      <w:r w:rsidR="00637BD1">
        <w:t xml:space="preserve">framförde i sina reflektioner över diskussionen att 2020-målen som utgångspunkt för </w:t>
      </w:r>
      <w:r w:rsidR="00BF1735">
        <w:t>medlemsta</w:t>
      </w:r>
      <w:r w:rsidR="000C08A6">
        <w:t xml:space="preserve">ternas </w:t>
      </w:r>
      <w:r w:rsidR="00637BD1">
        <w:t xml:space="preserve">mål i </w:t>
      </w:r>
      <w:r w:rsidR="000C08A6">
        <w:t xml:space="preserve">ESR </w:t>
      </w:r>
      <w:r w:rsidR="00637BD1">
        <w:t xml:space="preserve">skulle medföra en stor risk för att </w:t>
      </w:r>
      <w:r w:rsidR="000C08A6">
        <w:t xml:space="preserve">EU inte skulle nå sitt 2030-mål. Därför </w:t>
      </w:r>
      <w:r w:rsidR="00637BD1">
        <w:t xml:space="preserve">vidhöll </w:t>
      </w:r>
      <w:r w:rsidR="000C08A6">
        <w:t>kommissionen</w:t>
      </w:r>
      <w:r w:rsidR="00637BD1">
        <w:t xml:space="preserve"> förslag</w:t>
      </w:r>
      <w:r w:rsidR="000C08A6">
        <w:t>et</w:t>
      </w:r>
      <w:r w:rsidR="00637BD1">
        <w:t xml:space="preserve"> om 2016-2018 som utgångspunkt för beräkningen fortfarande innebar att</w:t>
      </w:r>
      <w:r w:rsidR="007B3915">
        <w:t xml:space="preserve"> tidiga åtgärder premierades. Kommissionen</w:t>
      </w:r>
      <w:bookmarkStart w:id="0" w:name="_GoBack"/>
      <w:bookmarkEnd w:id="0"/>
      <w:r w:rsidR="00637BD1">
        <w:t xml:space="preserve"> underströk vidare behovet av försiktighet när det gällde att utvidga de nya flexibilitetsmekanismerna, eftersom en sådan utvidgning skulle inverka negativt på miljöintegriteten. Taket för flexibilitet i förhållande till LULUCF var nödvändigt för att säkerställa miljöintegriteten och om det skulle överskridas så skulle det få mycket negativa konsekvenser. </w:t>
      </w:r>
      <w:r w:rsidR="000C08A6">
        <w:t>Kommissionen</w:t>
      </w:r>
      <w:r w:rsidR="00637BD1">
        <w:t xml:space="preserve"> höll med om att referensnivåerna för skogsbruk berörde nationell kompetens och framhöll att det var därför som </w:t>
      </w:r>
      <w:r w:rsidR="000C08A6">
        <w:t xml:space="preserve">kommissionen </w:t>
      </w:r>
      <w:r w:rsidR="00637BD1">
        <w:t xml:space="preserve">endast hade föreslagit gemensamma regler för hur referensnivåerna skulle sättas. Först när referensnivåerna hade satts enligt sådana gemensamma regler var det möjligt att eventuellt öppna för flexibilitet i förhållande till skogssektorn i framtiden. </w:t>
      </w:r>
    </w:p>
    <w:p w14:paraId="44C5317C" w14:textId="77777777" w:rsidR="00637BD1" w:rsidRDefault="00637BD1" w:rsidP="00637BD1">
      <w:pPr>
        <w:rPr>
          <w:b/>
          <w:bCs/>
        </w:rPr>
      </w:pPr>
    </w:p>
    <w:p w14:paraId="5C084C98" w14:textId="5D14CADD" w:rsidR="00637BD1" w:rsidRDefault="00F94FE4" w:rsidP="00637BD1">
      <w:r>
        <w:rPr>
          <w:bCs/>
        </w:rPr>
        <w:t xml:space="preserve">Ordförandeskapet </w:t>
      </w:r>
      <w:r w:rsidR="00637BD1" w:rsidRPr="00F94FE4">
        <w:t>sammanfattade</w:t>
      </w:r>
      <w:r w:rsidR="00637BD1">
        <w:t xml:space="preserve"> </w:t>
      </w:r>
      <w:r>
        <w:t xml:space="preserve">avslutningsvis att </w:t>
      </w:r>
      <w:r w:rsidR="00637BD1">
        <w:t>debatten hade gett värdefull vägledning inför det fortsatta arbetet</w:t>
      </w:r>
      <w:r>
        <w:t xml:space="preserve">. </w:t>
      </w:r>
      <w:r w:rsidR="00637BD1">
        <w:t>Många aspekter och frågor som hade berörds i debatt</w:t>
      </w:r>
      <w:r>
        <w:t xml:space="preserve">en behövde fortsatt förtydligas, men </w:t>
      </w:r>
      <w:r w:rsidR="00637BD1">
        <w:t xml:space="preserve">principerna från </w:t>
      </w:r>
      <w:r w:rsidR="000C08A6">
        <w:t xml:space="preserve">Europeiska rådets </w:t>
      </w:r>
      <w:r w:rsidR="00255BA8">
        <w:t>slutsatser</w:t>
      </w:r>
      <w:r w:rsidR="00637BD1">
        <w:t xml:space="preserve"> 2014 gällde för det fortsatta </w:t>
      </w:r>
      <w:r w:rsidR="00637BD1">
        <w:lastRenderedPageBreak/>
        <w:t xml:space="preserve">arbetet med förslagen. </w:t>
      </w:r>
      <w:r>
        <w:t>Ordförandeskapet</w:t>
      </w:r>
      <w:r w:rsidR="00637BD1">
        <w:t xml:space="preserve"> underströk också kopplingen till ETS och behovet av balans mellan de tre rättsakterna. </w:t>
      </w:r>
    </w:p>
    <w:p w14:paraId="2C248D06" w14:textId="77777777" w:rsidR="00626464" w:rsidRDefault="00626464" w:rsidP="003E009E">
      <w:pPr>
        <w:pStyle w:val="Default"/>
        <w:rPr>
          <w:sz w:val="23"/>
          <w:szCs w:val="23"/>
        </w:rPr>
      </w:pPr>
    </w:p>
    <w:p w14:paraId="1142D894" w14:textId="77777777" w:rsidR="00626464" w:rsidRDefault="00626464" w:rsidP="003E009E">
      <w:pPr>
        <w:pStyle w:val="Default"/>
        <w:rPr>
          <w:sz w:val="23"/>
          <w:szCs w:val="23"/>
        </w:rPr>
      </w:pPr>
    </w:p>
    <w:p w14:paraId="450F2016" w14:textId="619519BC" w:rsidR="003E009E" w:rsidRPr="00626464" w:rsidRDefault="006639F5" w:rsidP="00626464">
      <w:pPr>
        <w:pStyle w:val="Rubrik1"/>
        <w:spacing w:before="0" w:after="0" w:line="276" w:lineRule="auto"/>
      </w:pPr>
      <w:r>
        <w:t xml:space="preserve">5. </w:t>
      </w:r>
      <w:r w:rsidR="00626464" w:rsidRPr="00626464">
        <w:t>R</w:t>
      </w:r>
      <w:r w:rsidR="003E009E" w:rsidRPr="00626464">
        <w:t xml:space="preserve">ådets slutsatser om hållbar vattenförvaltning </w:t>
      </w:r>
    </w:p>
    <w:p w14:paraId="7A898AA0" w14:textId="77777777" w:rsidR="00626464" w:rsidRDefault="00626464" w:rsidP="003E009E">
      <w:pPr>
        <w:pStyle w:val="Default"/>
        <w:rPr>
          <w:sz w:val="23"/>
          <w:szCs w:val="23"/>
        </w:rPr>
      </w:pPr>
    </w:p>
    <w:p w14:paraId="111A9C7F" w14:textId="6D1B7F98" w:rsidR="00F14015" w:rsidRDefault="00AF17B4" w:rsidP="00F14015">
      <w:r>
        <w:t>Ordföranden</w:t>
      </w:r>
      <w:r w:rsidR="00F14015">
        <w:t xml:space="preserve"> presenterade förslaget till rådsslutsatser som bland annat uppmanar medlemsstaterna att genomföra det befintliga regelverket för vattenfrågor</w:t>
      </w:r>
      <w:r w:rsidR="00D54DD1">
        <w:t xml:space="preserve"> och lyfter vikten av att minska vattenförbrukningen i EU</w:t>
      </w:r>
      <w:r w:rsidR="00F14015">
        <w:t>. Ordföranden betonade den starka kopplingen mellan vattenfö</w:t>
      </w:r>
      <w:r w:rsidR="00874E6C">
        <w:t>rvaltning och genomförandet av Agenda 2030</w:t>
      </w:r>
      <w:r w:rsidR="00F14015">
        <w:t xml:space="preserve">. Slutsatserna utgjorde också ett första steg i förberedelserna inför den kommande översynen av ramdirektivet för vatten. </w:t>
      </w:r>
    </w:p>
    <w:p w14:paraId="52A2B542" w14:textId="77777777" w:rsidR="00F14015" w:rsidRPr="00340028" w:rsidRDefault="00F14015" w:rsidP="00F14015"/>
    <w:p w14:paraId="44F27A0B" w14:textId="1409187A" w:rsidR="00F14015" w:rsidRDefault="00AF17B4" w:rsidP="00F14015">
      <w:r w:rsidRPr="00AF17B4">
        <w:t>Kommissionen</w:t>
      </w:r>
      <w:r w:rsidR="00F14015" w:rsidRPr="00AF17B4">
        <w:t xml:space="preserve"> (Vella) tackade</w:t>
      </w:r>
      <w:r w:rsidR="00F14015">
        <w:t xml:space="preserve"> det slovakiska ordförandeskapet för att man lyft frågan om hållbar vattenförvaltning på rådets dagordning. Han betonade att EU:s vattenlagstiftning utgjorde </w:t>
      </w:r>
      <w:r>
        <w:t>ett globalt exempel och manade medlemsstaterna</w:t>
      </w:r>
      <w:r w:rsidR="00F14015">
        <w:t xml:space="preserve"> att genomgöra sina åtaganden ibland annat ramdirektivet för vatten. </w:t>
      </w:r>
    </w:p>
    <w:p w14:paraId="723D5D29" w14:textId="77777777" w:rsidR="00AF17B4" w:rsidRPr="003B77E8" w:rsidRDefault="00AF17B4" w:rsidP="00F14015">
      <w:pPr>
        <w:rPr>
          <w:color w:val="002060"/>
        </w:rPr>
      </w:pPr>
    </w:p>
    <w:p w14:paraId="5BF2F8C7" w14:textId="7A6ACA8A" w:rsidR="00F14015" w:rsidRDefault="00F14015" w:rsidP="00F14015">
      <w:r w:rsidRPr="00BF68F8">
        <w:t xml:space="preserve">Flertalet </w:t>
      </w:r>
      <w:r w:rsidR="00AF17B4">
        <w:t xml:space="preserve">medlemsstater </w:t>
      </w:r>
      <w:r w:rsidRPr="00BF68F8">
        <w:t>tog till orda för att belysa olika delar av texten. Många stödde ramdirektivet för vatten som grunden för EU:s arbete och behovet av att stärka geno</w:t>
      </w:r>
      <w:r w:rsidR="0086017C">
        <w:t xml:space="preserve">mförandet. De flesta pekade på </w:t>
      </w:r>
      <w:r w:rsidRPr="00BF68F8">
        <w:t xml:space="preserve">vikten om att </w:t>
      </w:r>
      <w:r w:rsidRPr="001E5899">
        <w:t>integrera vattenfrågorna i andra politikområden</w:t>
      </w:r>
      <w:r w:rsidR="0086017C">
        <w:t xml:space="preserve">, främst jordbruk, fiske och </w:t>
      </w:r>
      <w:r w:rsidRPr="001E5899">
        <w:t>turism men också</w:t>
      </w:r>
      <w:r w:rsidR="00755D23" w:rsidRPr="001E5899">
        <w:t xml:space="preserve"> fysisk planering</w:t>
      </w:r>
      <w:r w:rsidRPr="001E5899">
        <w:t xml:space="preserve">, transporter och stadsplanering. </w:t>
      </w:r>
      <w:r w:rsidR="0086017C">
        <w:t>F</w:t>
      </w:r>
      <w:r w:rsidRPr="001E5899">
        <w:t>lera efterfrågade en inkluderande process för revideringen av ramdirekti</w:t>
      </w:r>
      <w:r w:rsidR="00AF17B4" w:rsidRPr="001E5899">
        <w:t>vet för vatten och uppmannade kommissionen</w:t>
      </w:r>
      <w:r w:rsidRPr="001E5899">
        <w:t xml:space="preserve"> att påbörja arbetet utan dröjsmål. Det var också viktigt att få klarhet om vad som kommer att gälla efter 2027 när ramdirektivets krav ska vara uppfyll</w:t>
      </w:r>
      <w:r w:rsidR="004A58B7">
        <w:t>da</w:t>
      </w:r>
      <w:r w:rsidR="0086017C">
        <w:t xml:space="preserve">. </w:t>
      </w:r>
      <w:r w:rsidR="004A58B7">
        <w:t>Ett antal medlemsstater</w:t>
      </w:r>
      <w:r w:rsidR="0086017C">
        <w:t xml:space="preserve"> betonade vidare </w:t>
      </w:r>
      <w:r w:rsidRPr="001E5899">
        <w:t>behovet av fungerande samverkan och samstämmighet mellan</w:t>
      </w:r>
      <w:r w:rsidR="0086017C">
        <w:t xml:space="preserve"> all lagstiftning inom området och att f</w:t>
      </w:r>
      <w:r w:rsidRPr="001E5899">
        <w:t xml:space="preserve">lexibilitet </w:t>
      </w:r>
      <w:r w:rsidR="0086017C">
        <w:t>va</w:t>
      </w:r>
      <w:r w:rsidRPr="001E5899">
        <w:t xml:space="preserve">r nödvändigt i genomförandefasen. Flera </w:t>
      </w:r>
      <w:r w:rsidR="00AF17B4" w:rsidRPr="001E5899">
        <w:t>medlemsstater, inklusive</w:t>
      </w:r>
      <w:r w:rsidR="004A58B7">
        <w:rPr>
          <w:bCs/>
        </w:rPr>
        <w:t xml:space="preserve"> Sverige</w:t>
      </w:r>
      <w:r w:rsidR="00AF17B4" w:rsidRPr="001E5899">
        <w:rPr>
          <w:bCs/>
        </w:rPr>
        <w:t>,</w:t>
      </w:r>
      <w:r w:rsidRPr="001E5899">
        <w:t xml:space="preserve"> påpekade även vikten av att beakta att de geografiska förutsättningarna är olika inom EU och att flexibilitet behövs i genomförandet. </w:t>
      </w:r>
      <w:r w:rsidR="004A58B7">
        <w:t>Sverige</w:t>
      </w:r>
      <w:r w:rsidR="00874E6C">
        <w:t xml:space="preserve"> välkomnade i sitt anförande att slutsatserna förtydligade gemensamma mål på EU-nivå och framhöll vikten av att integrera hållbar vattenförvaltning inom andra politikområden. </w:t>
      </w:r>
    </w:p>
    <w:p w14:paraId="1E067AB4" w14:textId="77777777" w:rsidR="00874E6C" w:rsidRPr="00BF68F8" w:rsidRDefault="00874E6C" w:rsidP="00F14015"/>
    <w:p w14:paraId="7D97FB8B" w14:textId="0B4556BB" w:rsidR="00F14015" w:rsidRDefault="00F14015" w:rsidP="00F14015">
      <w:r w:rsidRPr="00BF68F8">
        <w:rPr>
          <w:bCs/>
        </w:rPr>
        <w:t xml:space="preserve">Efter </w:t>
      </w:r>
      <w:r w:rsidR="00AF17B4">
        <w:rPr>
          <w:bCs/>
        </w:rPr>
        <w:t>m</w:t>
      </w:r>
      <w:r w:rsidR="00AF17B4">
        <w:t>edlemsstaternas</w:t>
      </w:r>
      <w:r w:rsidRPr="00BF68F8">
        <w:rPr>
          <w:bCs/>
        </w:rPr>
        <w:t xml:space="preserve"> inlägg </w:t>
      </w:r>
      <w:r w:rsidRPr="00AF17B4">
        <w:rPr>
          <w:bCs/>
        </w:rPr>
        <w:t xml:space="preserve">välkomnade </w:t>
      </w:r>
      <w:r w:rsidR="00AF17B4">
        <w:rPr>
          <w:bCs/>
        </w:rPr>
        <w:t>k</w:t>
      </w:r>
      <w:r w:rsidR="00AF17B4" w:rsidRPr="00AF17B4">
        <w:rPr>
          <w:bCs/>
        </w:rPr>
        <w:t>ommissionen</w:t>
      </w:r>
      <w:r w:rsidRPr="00AF17B4">
        <w:rPr>
          <w:bCs/>
        </w:rPr>
        <w:t xml:space="preserve"> (Vella) </w:t>
      </w:r>
      <w:r w:rsidRPr="00AF17B4">
        <w:t>att</w:t>
      </w:r>
      <w:r w:rsidRPr="00BF68F8">
        <w:t xml:space="preserve"> </w:t>
      </w:r>
      <w:r w:rsidR="0086017C">
        <w:t>m</w:t>
      </w:r>
      <w:r w:rsidR="00AF17B4">
        <w:t xml:space="preserve">edlemsstaterna </w:t>
      </w:r>
      <w:r w:rsidRPr="00BF68F8">
        <w:t>framhållit vikten av genomförande eftersom detta var ett om</w:t>
      </w:r>
      <w:r w:rsidR="00874E6C">
        <w:t>råde som behövde förbättras. Kommissionen</w:t>
      </w:r>
      <w:r w:rsidRPr="00BF68F8">
        <w:t xml:space="preserve"> delade uppfattningen att vattenarbetet bör integreras med andra politikområden. Genomförandet av vattenpolitiken var en viktig förutsättning för att nå Agenda 2030-målen. </w:t>
      </w:r>
    </w:p>
    <w:p w14:paraId="2882A651" w14:textId="77777777" w:rsidR="00AF17B4" w:rsidRPr="00BF68F8" w:rsidRDefault="00AF17B4" w:rsidP="00F14015">
      <w:pPr>
        <w:rPr>
          <w:b/>
        </w:rPr>
      </w:pPr>
    </w:p>
    <w:p w14:paraId="30A1A44A" w14:textId="3F0E5EC4" w:rsidR="00F14015" w:rsidRDefault="00AF17B4" w:rsidP="00126D4D">
      <w:pPr>
        <w:rPr>
          <w:sz w:val="23"/>
          <w:szCs w:val="23"/>
        </w:rPr>
      </w:pPr>
      <w:r>
        <w:lastRenderedPageBreak/>
        <w:t>Ordföranden konstaterade att rådet antagit rådsslutsatserna</w:t>
      </w:r>
      <w:r w:rsidR="004A58B7">
        <w:t>.</w:t>
      </w:r>
    </w:p>
    <w:p w14:paraId="3C160F15" w14:textId="77777777" w:rsidR="00F14015" w:rsidRDefault="00F14015" w:rsidP="003E009E">
      <w:pPr>
        <w:pStyle w:val="Default"/>
        <w:rPr>
          <w:sz w:val="23"/>
          <w:szCs w:val="23"/>
        </w:rPr>
      </w:pPr>
    </w:p>
    <w:p w14:paraId="09982087" w14:textId="77777777" w:rsidR="00626464" w:rsidRDefault="00626464" w:rsidP="003E009E">
      <w:pPr>
        <w:pStyle w:val="Default"/>
        <w:rPr>
          <w:sz w:val="23"/>
          <w:szCs w:val="23"/>
        </w:rPr>
      </w:pPr>
    </w:p>
    <w:p w14:paraId="00E9A426" w14:textId="69D38582" w:rsidR="003E009E" w:rsidRPr="00626464" w:rsidRDefault="006639F5" w:rsidP="00626464">
      <w:pPr>
        <w:pStyle w:val="Rubrik1"/>
        <w:spacing w:before="0" w:after="0" w:line="276" w:lineRule="auto"/>
      </w:pPr>
      <w:r>
        <w:t xml:space="preserve">6. </w:t>
      </w:r>
      <w:r w:rsidR="00626464" w:rsidRPr="00626464">
        <w:t>R</w:t>
      </w:r>
      <w:r w:rsidR="003E009E" w:rsidRPr="00626464">
        <w:t xml:space="preserve">ådets slutsatser om konventionen om biologisk mångfald </w:t>
      </w:r>
    </w:p>
    <w:p w14:paraId="1E4AF264" w14:textId="76AC67D1" w:rsidR="003E009E" w:rsidRPr="0086017C" w:rsidRDefault="003E009E" w:rsidP="00626464">
      <w:pPr>
        <w:pStyle w:val="Rubrik1"/>
        <w:spacing w:before="0" w:after="0" w:line="276" w:lineRule="auto"/>
        <w:rPr>
          <w:b w:val="0"/>
        </w:rPr>
      </w:pPr>
      <w:r w:rsidRPr="0086017C">
        <w:rPr>
          <w:b w:val="0"/>
        </w:rPr>
        <w:t>a) Förberedelser inför det 13:e mötet i partskonferensen (COP 13) för konv</w:t>
      </w:r>
      <w:r w:rsidR="00626464" w:rsidRPr="0086017C">
        <w:rPr>
          <w:b w:val="0"/>
        </w:rPr>
        <w:t xml:space="preserve">entionen om biologisk mångfald </w:t>
      </w:r>
      <w:r w:rsidRPr="0086017C">
        <w:rPr>
          <w:b w:val="0"/>
        </w:rPr>
        <w:t xml:space="preserve"> </w:t>
      </w:r>
    </w:p>
    <w:p w14:paraId="3C419CBA" w14:textId="4252E082" w:rsidR="003E009E" w:rsidRPr="0086017C" w:rsidRDefault="003E009E" w:rsidP="00626464">
      <w:pPr>
        <w:pStyle w:val="Rubrik1"/>
        <w:spacing w:before="0" w:after="0" w:line="276" w:lineRule="auto"/>
        <w:rPr>
          <w:b w:val="0"/>
        </w:rPr>
      </w:pPr>
      <w:r w:rsidRPr="0086017C">
        <w:rPr>
          <w:b w:val="0"/>
        </w:rPr>
        <w:t>b) Förberedelser inför det åttonde mötet i partskonferensen för konventionen om biologisk mångfald i dess egenskap av möte mellan parterna i Cartagenaprotokollet om biosäkerhet (COP−</w:t>
      </w:r>
      <w:r w:rsidR="00626464" w:rsidRPr="0086017C">
        <w:rPr>
          <w:b w:val="0"/>
        </w:rPr>
        <w:t xml:space="preserve">MOP 8) </w:t>
      </w:r>
      <w:r w:rsidRPr="0086017C">
        <w:rPr>
          <w:b w:val="0"/>
        </w:rPr>
        <w:t xml:space="preserve"> </w:t>
      </w:r>
    </w:p>
    <w:p w14:paraId="3C266BF7" w14:textId="007BB55F" w:rsidR="003E009E" w:rsidRPr="0086017C" w:rsidRDefault="003E009E" w:rsidP="00626464">
      <w:pPr>
        <w:pStyle w:val="Rubrik1"/>
        <w:spacing w:before="0" w:after="0" w:line="276" w:lineRule="auto"/>
        <w:rPr>
          <w:b w:val="0"/>
        </w:rPr>
      </w:pPr>
      <w:r w:rsidRPr="0086017C">
        <w:rPr>
          <w:b w:val="0"/>
        </w:rPr>
        <w:t xml:space="preserve">c) Förberedelser inför det andra mötet i partskonferensen för konventionen om biologisk mångfald i dess egenskap av möte mellan parterna i Nagoyaprotokollet om tillträde och fördelning av nytta </w:t>
      </w:r>
    </w:p>
    <w:p w14:paraId="1B6ADD57" w14:textId="5E9B9978" w:rsidR="003E009E" w:rsidRDefault="003E009E" w:rsidP="003E009E">
      <w:pPr>
        <w:pStyle w:val="Default"/>
        <w:rPr>
          <w:sz w:val="23"/>
          <w:szCs w:val="23"/>
        </w:rPr>
      </w:pPr>
    </w:p>
    <w:p w14:paraId="333F4C19" w14:textId="5D383D81" w:rsidR="00D54DD1" w:rsidRDefault="00AF17B4" w:rsidP="00AF17B4">
      <w:r>
        <w:rPr>
          <w:bCs/>
        </w:rPr>
        <w:t>Ordföranden</w:t>
      </w:r>
      <w:r>
        <w:rPr>
          <w:b/>
          <w:bCs/>
        </w:rPr>
        <w:t xml:space="preserve"> </w:t>
      </w:r>
      <w:r>
        <w:t>presenterade förslaget till råd</w:t>
      </w:r>
      <w:r w:rsidR="00D54DD1">
        <w:t>s</w:t>
      </w:r>
      <w:r>
        <w:t xml:space="preserve">slutsatser vilka skulle utgöra </w:t>
      </w:r>
      <w:r w:rsidRPr="001E5899">
        <w:t xml:space="preserve">EU:s förhandlingsmandat vid de kommande partsmötena i konventionen om biologisk mångfald (CBD) samt dess protokoll, Nagoyaprotokollet och Cartagenaprotokollet. </w:t>
      </w:r>
      <w:r w:rsidR="00D54DD1">
        <w:t xml:space="preserve">Rådsslutsatserna behandlar de stora områdena som kommer att diskuteras på </w:t>
      </w:r>
      <w:proofErr w:type="spellStart"/>
      <w:r w:rsidR="00D54DD1">
        <w:t>CBD:s</w:t>
      </w:r>
      <w:proofErr w:type="spellEnd"/>
      <w:r w:rsidR="00D54DD1">
        <w:t xml:space="preserve"> partsmöte (COP 13). Dessa inkluderar bland annat i arbetet med den strategiska planen, sektorsintegrering av biologisk mångfald, koppling till klimatförändringar, arbetet med skyddade områden och ekosystemrestaurering, marin biologisk mångfald, </w:t>
      </w:r>
      <w:proofErr w:type="spellStart"/>
      <w:r w:rsidR="00D54DD1">
        <w:t>invasiva</w:t>
      </w:r>
      <w:proofErr w:type="spellEnd"/>
      <w:r w:rsidR="00D54DD1">
        <w:t xml:space="preserve"> främmande arter och frågor som rör traditionell och lokal kunskap.</w:t>
      </w:r>
    </w:p>
    <w:p w14:paraId="24EA046F" w14:textId="6EB6BE9D" w:rsidR="00AF17B4" w:rsidRPr="001E5899" w:rsidRDefault="00AF17B4" w:rsidP="00AF17B4"/>
    <w:p w14:paraId="53671353" w14:textId="3AE72C8B" w:rsidR="00AF17B4" w:rsidRDefault="00AF17B4" w:rsidP="00AF17B4">
      <w:r w:rsidRPr="001E5899">
        <w:t xml:space="preserve">Bland medlemsstaternas inlägg i diskussionen kunde </w:t>
      </w:r>
      <w:r w:rsidR="00D54DD1">
        <w:t xml:space="preserve">noteras att flera </w:t>
      </w:r>
      <w:r w:rsidR="004A58B7">
        <w:t>framhöll</w:t>
      </w:r>
      <w:r w:rsidR="00D54DD1">
        <w:t xml:space="preserve"> </w:t>
      </w:r>
      <w:r w:rsidRPr="001E5899">
        <w:t xml:space="preserve">rollen av arbetet med biologisk mångfald för </w:t>
      </w:r>
      <w:r w:rsidR="00D54DD1">
        <w:t>genomförandet av Parisavtalet om klimat och Agenda 2030</w:t>
      </w:r>
      <w:r w:rsidRPr="001E5899">
        <w:t xml:space="preserve">. </w:t>
      </w:r>
      <w:r w:rsidR="00D54DD1">
        <w:t>Flera medlemsstater</w:t>
      </w:r>
      <w:r w:rsidRPr="001E5899">
        <w:t xml:space="preserve"> underströk även vikten av att bättre involvera den privata sektorn i arbetet samt att det var angeläget att ta bort subventioner som är negativa för miljön.</w:t>
      </w:r>
      <w:r w:rsidR="00D54DD1">
        <w:t xml:space="preserve"> Sverige betonade, liksom flera andra medlemsstater, vikten av</w:t>
      </w:r>
      <w:r w:rsidRPr="001E5899">
        <w:t xml:space="preserve"> genomförandet av den strategiska planen och in</w:t>
      </w:r>
      <w:r w:rsidR="00D54DD1">
        <w:t xml:space="preserve">tegrering av biologisk mångfald. Sverige </w:t>
      </w:r>
      <w:r w:rsidRPr="001E5899">
        <w:t xml:space="preserve">välkomnade </w:t>
      </w:r>
      <w:r w:rsidR="00D54DD1">
        <w:t>även</w:t>
      </w:r>
      <w:r w:rsidRPr="001E5899">
        <w:t xml:space="preserve"> att slutsatstexten lyfte fram vikten av jämställdhet samt vikten av att fasa ut skadliga subventioner.</w:t>
      </w:r>
    </w:p>
    <w:p w14:paraId="0BD59109" w14:textId="77777777" w:rsidR="004A58B7" w:rsidRPr="00BF68F8" w:rsidRDefault="004A58B7" w:rsidP="004A58B7">
      <w:pPr>
        <w:rPr>
          <w:b/>
        </w:rPr>
      </w:pPr>
    </w:p>
    <w:p w14:paraId="1B29B2A1" w14:textId="77777777" w:rsidR="004A58B7" w:rsidRDefault="004A58B7" w:rsidP="004A58B7">
      <w:pPr>
        <w:rPr>
          <w:sz w:val="23"/>
          <w:szCs w:val="23"/>
        </w:rPr>
      </w:pPr>
      <w:r>
        <w:t>Ordföranden konstaterade att rådet antagit rådsslutsatserna.</w:t>
      </w:r>
    </w:p>
    <w:p w14:paraId="1A2174AD" w14:textId="77777777" w:rsidR="00626464" w:rsidRPr="001E5899" w:rsidRDefault="00626464" w:rsidP="003E009E">
      <w:pPr>
        <w:pStyle w:val="Default"/>
        <w:rPr>
          <w:bCs/>
          <w:sz w:val="23"/>
          <w:szCs w:val="23"/>
        </w:rPr>
      </w:pPr>
    </w:p>
    <w:p w14:paraId="2BADF8CF" w14:textId="77777777" w:rsidR="00AF17B4" w:rsidRDefault="00AF17B4" w:rsidP="003E009E">
      <w:pPr>
        <w:pStyle w:val="Default"/>
        <w:rPr>
          <w:b/>
          <w:bCs/>
          <w:sz w:val="23"/>
          <w:szCs w:val="23"/>
        </w:rPr>
      </w:pPr>
    </w:p>
    <w:p w14:paraId="6DBA1D4E" w14:textId="1945F781" w:rsidR="003E009E" w:rsidRPr="00626464" w:rsidRDefault="006639F5" w:rsidP="00626464">
      <w:pPr>
        <w:pStyle w:val="Rubrik1"/>
        <w:spacing w:before="0" w:after="0" w:line="276" w:lineRule="auto"/>
      </w:pPr>
      <w:r>
        <w:t xml:space="preserve">7. </w:t>
      </w:r>
      <w:r w:rsidR="003E009E" w:rsidRPr="00626464">
        <w:t xml:space="preserve">Övriga frågor </w:t>
      </w:r>
    </w:p>
    <w:p w14:paraId="18033D36" w14:textId="4AA3D3F1" w:rsidR="003E009E" w:rsidRPr="00626464" w:rsidRDefault="003E009E" w:rsidP="00626464">
      <w:pPr>
        <w:pStyle w:val="Rubrik1"/>
        <w:spacing w:before="0" w:after="0" w:line="276" w:lineRule="auto"/>
        <w:rPr>
          <w:b w:val="0"/>
        </w:rPr>
      </w:pPr>
      <w:r w:rsidRPr="00626464">
        <w:rPr>
          <w:b w:val="0"/>
        </w:rPr>
        <w:t xml:space="preserve">a) 28:e partsmötet (MOP 28) för Montrealprotokollet om ämnen som bryter ned ozonskiktet (Kigali, Rwanda, den 10−14 oktober 2016) </w:t>
      </w:r>
    </w:p>
    <w:p w14:paraId="72F16E5E" w14:textId="378A8E3A" w:rsidR="00626464" w:rsidRPr="001E5899" w:rsidRDefault="001E5899" w:rsidP="00626464">
      <w:r>
        <w:rPr>
          <w:bCs/>
        </w:rPr>
        <w:t>Kommissionen</w:t>
      </w:r>
      <w:r w:rsidR="00626464" w:rsidRPr="001E5899">
        <w:t xml:space="preserve"> informerade om överenskommelsen som hade nåtts om ett tillägg till Montrealprotokollet om</w:t>
      </w:r>
      <w:r w:rsidR="00681128">
        <w:t xml:space="preserve"> att fasa ut växthusgasen</w:t>
      </w:r>
      <w:r w:rsidR="00626464" w:rsidRPr="001E5899">
        <w:t xml:space="preserve"> </w:t>
      </w:r>
      <w:r w:rsidR="00626464" w:rsidRPr="00681128">
        <w:t>H</w:t>
      </w:r>
      <w:r w:rsidRPr="00681128">
        <w:t>FC.</w:t>
      </w:r>
      <w:r>
        <w:t xml:space="preserve"> EU hade enligt </w:t>
      </w:r>
      <w:r w:rsidR="00482C8C">
        <w:t>k</w:t>
      </w:r>
      <w:r>
        <w:t>ommissionen</w:t>
      </w:r>
      <w:r w:rsidR="00626464" w:rsidRPr="001E5899">
        <w:t xml:space="preserve"> spelat en nyc</w:t>
      </w:r>
      <w:r>
        <w:t xml:space="preserve">kelroll i förhandlingarna. Ordföranden </w:t>
      </w:r>
      <w:r w:rsidR="00626464" w:rsidRPr="001E5899">
        <w:t xml:space="preserve">konstaterade att resultatet innebar goda nyheter också inför </w:t>
      </w:r>
      <w:r w:rsidR="00681128">
        <w:t xml:space="preserve">klimatmötet </w:t>
      </w:r>
      <w:r w:rsidR="00626464" w:rsidRPr="001E5899">
        <w:t xml:space="preserve">COP 22. </w:t>
      </w:r>
    </w:p>
    <w:p w14:paraId="1F7552AD" w14:textId="77777777" w:rsidR="00626464" w:rsidRPr="00626464" w:rsidRDefault="00626464" w:rsidP="00626464">
      <w:pPr>
        <w:pStyle w:val="RKnormal"/>
      </w:pPr>
    </w:p>
    <w:p w14:paraId="1DFA0C63" w14:textId="77777777" w:rsidR="00626464" w:rsidRPr="00626464" w:rsidRDefault="00626464" w:rsidP="00626464">
      <w:pPr>
        <w:pStyle w:val="Rubrik1"/>
        <w:spacing w:before="0" w:after="0" w:line="276" w:lineRule="auto"/>
        <w:rPr>
          <w:b w:val="0"/>
        </w:rPr>
      </w:pPr>
    </w:p>
    <w:p w14:paraId="598A853B" w14:textId="77777777" w:rsidR="003E009E" w:rsidRPr="00626464" w:rsidRDefault="003E009E" w:rsidP="00626464">
      <w:pPr>
        <w:pStyle w:val="Rubrik1"/>
        <w:spacing w:before="0" w:after="0" w:line="276" w:lineRule="auto"/>
        <w:rPr>
          <w:b w:val="0"/>
        </w:rPr>
      </w:pPr>
      <w:r w:rsidRPr="00626464">
        <w:rPr>
          <w:b w:val="0"/>
        </w:rPr>
        <w:t xml:space="preserve">b) Outnyttjade medel från finansieringsprogrammet NER300 </w:t>
      </w:r>
    </w:p>
    <w:p w14:paraId="09B628B4" w14:textId="0E4075B4" w:rsidR="005353D4" w:rsidRDefault="005353D4" w:rsidP="00DC37FA">
      <w:r>
        <w:rPr>
          <w:bCs/>
        </w:rPr>
        <w:t>Cypern</w:t>
      </w:r>
      <w:r w:rsidR="00DC37FA" w:rsidRPr="001E5899">
        <w:t xml:space="preserve">, med stöd av </w:t>
      </w:r>
      <w:r>
        <w:t>Kroatien</w:t>
      </w:r>
      <w:r>
        <w:rPr>
          <w:bCs/>
        </w:rPr>
        <w:t>, Grekland och Ungern</w:t>
      </w:r>
      <w:r w:rsidR="00DC37FA" w:rsidRPr="001E5899">
        <w:t>, efter</w:t>
      </w:r>
      <w:r w:rsidR="001173FC">
        <w:t>frågade aktiva åtgärder från kommissionen</w:t>
      </w:r>
      <w:r w:rsidR="00DC37FA" w:rsidRPr="001E5899">
        <w:t xml:space="preserve"> för att s</w:t>
      </w:r>
      <w:r>
        <w:t>äkerställa utnyttjandet av finansieringsprogrammet</w:t>
      </w:r>
      <w:r w:rsidR="00DC37FA" w:rsidRPr="001E5899">
        <w:t xml:space="preserve"> NER300.</w:t>
      </w:r>
      <w:r>
        <w:t xml:space="preserve"> NER300-programmet ger finansiering för kommersiella demonstrationsprojekt för förnybar energi samt miljösäker avskiljning och geologisk lagring av koldioxid (CCS).</w:t>
      </w:r>
    </w:p>
    <w:p w14:paraId="0454BE86" w14:textId="12EA09E7" w:rsidR="00DC37FA" w:rsidRPr="001E5899" w:rsidRDefault="005353D4" w:rsidP="00DC37FA">
      <w:r>
        <w:rPr>
          <w:bCs/>
        </w:rPr>
        <w:t>Tyskland</w:t>
      </w:r>
      <w:r w:rsidR="001173FC">
        <w:t>, med stöd av ett antal medlemstater</w:t>
      </w:r>
      <w:r w:rsidR="00DC37FA" w:rsidRPr="001E5899">
        <w:t>, framhöll att man såg rättsliga problem som noga be</w:t>
      </w:r>
      <w:r>
        <w:t xml:space="preserve">hövde utvärderas i så fall. Kommissionen </w:t>
      </w:r>
      <w:r w:rsidR="00DC37FA" w:rsidRPr="001E5899">
        <w:t xml:space="preserve">konstaterade att det fanns outnyttjade medel i NER 300 men att det fanns rättsliga frågor om förenlighet med statsstöds- och upphandlingsreglerna som noga behövde analyseras. </w:t>
      </w:r>
      <w:r w:rsidR="001173FC">
        <w:t xml:space="preserve"> </w:t>
      </w:r>
    </w:p>
    <w:p w14:paraId="284F0393" w14:textId="77777777" w:rsidR="00626464" w:rsidRPr="00626464" w:rsidRDefault="00626464" w:rsidP="00626464">
      <w:pPr>
        <w:pStyle w:val="RKnormal"/>
      </w:pPr>
    </w:p>
    <w:p w14:paraId="3BA40253" w14:textId="77777777" w:rsidR="00626464" w:rsidRPr="00626464" w:rsidRDefault="00626464" w:rsidP="00626464">
      <w:pPr>
        <w:pStyle w:val="Rubrik1"/>
        <w:spacing w:before="0" w:after="0" w:line="276" w:lineRule="auto"/>
        <w:rPr>
          <w:b w:val="0"/>
        </w:rPr>
      </w:pPr>
    </w:p>
    <w:p w14:paraId="0DF5951D" w14:textId="77777777" w:rsidR="003E009E" w:rsidRPr="00626464" w:rsidRDefault="003E009E" w:rsidP="00626464">
      <w:pPr>
        <w:pStyle w:val="Rubrik1"/>
        <w:spacing w:before="0" w:after="0" w:line="276" w:lineRule="auto"/>
        <w:rPr>
          <w:b w:val="0"/>
        </w:rPr>
      </w:pPr>
      <w:r w:rsidRPr="00626464">
        <w:rPr>
          <w:b w:val="0"/>
        </w:rPr>
        <w:t xml:space="preserve">c) Meddelande från kommissionen om en europeisk strategi för utsläppssnål rörlighet </w:t>
      </w:r>
    </w:p>
    <w:p w14:paraId="0E6652E1" w14:textId="577A4109" w:rsidR="00E30D3B" w:rsidRDefault="00E30D3B" w:rsidP="00E30D3B">
      <w:r>
        <w:rPr>
          <w:bCs/>
        </w:rPr>
        <w:t>Kommissionen</w:t>
      </w:r>
      <w:r>
        <w:t xml:space="preserve"> presenterade meddelandet</w:t>
      </w:r>
      <w:r w:rsidR="005353D4">
        <w:t xml:space="preserve"> om en europeisk strategi för utsläppsnål rörlighet</w:t>
      </w:r>
      <w:r>
        <w:t xml:space="preserve"> som ett samlat grepp för att komma åt klimatutsläpp från transportsektorn, vilka utgjorde nästan </w:t>
      </w:r>
      <w:proofErr w:type="gramStart"/>
      <w:r>
        <w:t>25%</w:t>
      </w:r>
      <w:proofErr w:type="gramEnd"/>
      <w:r>
        <w:t xml:space="preserve"> av EU:s utsläpp av växthusgaser. Kommissionen underströk även länken till luftfrågorna. </w:t>
      </w:r>
      <w:r w:rsidR="00D85A50">
        <w:t>U</w:t>
      </w:r>
      <w:r>
        <w:t>tfasning</w:t>
      </w:r>
      <w:r w:rsidR="00D85A50">
        <w:t>en</w:t>
      </w:r>
      <w:r>
        <w:t xml:space="preserve"> av fossila bränslen</w:t>
      </w:r>
      <w:r w:rsidR="00D85A50">
        <w:t xml:space="preserve"> sågs som</w:t>
      </w:r>
      <w:r>
        <w:t xml:space="preserve"> en investering och inte en</w:t>
      </w:r>
      <w:r w:rsidR="00D85A50">
        <w:t xml:space="preserve"> kostnad för EU:s ekonomi och </w:t>
      </w:r>
      <w:r>
        <w:t>målet</w:t>
      </w:r>
      <w:r w:rsidR="00D85A50">
        <w:t xml:space="preserve"> var att minska transportsektorns utsläpp till noll fram till år</w:t>
      </w:r>
      <w:r>
        <w:t xml:space="preserve"> 2050.</w:t>
      </w:r>
    </w:p>
    <w:p w14:paraId="23CDD924" w14:textId="77777777" w:rsidR="001173FC" w:rsidRDefault="001173FC" w:rsidP="00E30D3B"/>
    <w:p w14:paraId="72BBB3E0" w14:textId="626ABF97" w:rsidR="001173FC" w:rsidRDefault="00E30D3B" w:rsidP="00E30D3B">
      <w:r>
        <w:t xml:space="preserve">Ett fåtal länder </w:t>
      </w:r>
      <w:r w:rsidRPr="00D85A50">
        <w:t xml:space="preserve">välkomnade och kommenterade meddelandet. </w:t>
      </w:r>
      <w:r w:rsidRPr="00D85A50">
        <w:rPr>
          <w:bCs/>
        </w:rPr>
        <w:t>S</w:t>
      </w:r>
      <w:r w:rsidR="004A58B7">
        <w:rPr>
          <w:bCs/>
        </w:rPr>
        <w:t>verige</w:t>
      </w:r>
      <w:r w:rsidRPr="00D85A50">
        <w:t xml:space="preserve"> </w:t>
      </w:r>
      <w:r w:rsidR="005353D4">
        <w:t>framhöll</w:t>
      </w:r>
      <w:r w:rsidRPr="00D85A50">
        <w:t xml:space="preserve"> att det borde finnas en större flexibilitet i frågan om biobränslen. </w:t>
      </w:r>
    </w:p>
    <w:p w14:paraId="2B8B1A68" w14:textId="77777777" w:rsidR="00626464" w:rsidRPr="00626464" w:rsidRDefault="00626464" w:rsidP="00626464">
      <w:pPr>
        <w:pStyle w:val="RKnormal"/>
      </w:pPr>
    </w:p>
    <w:p w14:paraId="52CDC8FA" w14:textId="77777777" w:rsidR="00626464" w:rsidRPr="00626464" w:rsidRDefault="00626464" w:rsidP="00626464">
      <w:pPr>
        <w:pStyle w:val="Rubrik1"/>
        <w:spacing w:before="0" w:after="0" w:line="276" w:lineRule="auto"/>
        <w:rPr>
          <w:b w:val="0"/>
        </w:rPr>
      </w:pPr>
    </w:p>
    <w:p w14:paraId="6220CFD3" w14:textId="77777777" w:rsidR="003E009E" w:rsidRPr="00626464" w:rsidRDefault="003E009E" w:rsidP="00626464">
      <w:pPr>
        <w:pStyle w:val="Rubrik1"/>
        <w:spacing w:before="0" w:after="0" w:line="276" w:lineRule="auto"/>
        <w:rPr>
          <w:b w:val="0"/>
        </w:rPr>
      </w:pPr>
      <w:r w:rsidRPr="00626464">
        <w:rPr>
          <w:b w:val="0"/>
        </w:rPr>
        <w:t xml:space="preserve">d) 39:e Icao-församlingen (Montreal, Kanada, den 27 september−7 oktober 2016) </w:t>
      </w:r>
    </w:p>
    <w:p w14:paraId="2E08DFB5" w14:textId="32D67DE2" w:rsidR="00B76AF7" w:rsidRDefault="001173FC" w:rsidP="00B76AF7">
      <w:r>
        <w:rPr>
          <w:bCs/>
        </w:rPr>
        <w:t xml:space="preserve">Kommissionen </w:t>
      </w:r>
      <w:r w:rsidR="00B76AF7">
        <w:t>informerade om överenskommelsen som hade nåtts om ett system för att reglera utsläpp av växthusgaser från flygsektorn</w:t>
      </w:r>
      <w:r w:rsidR="005353D4">
        <w:t xml:space="preserve"> inom den internationella civila luftfartsorganisationen (ICAO)</w:t>
      </w:r>
      <w:r w:rsidR="00B76AF7">
        <w:t>. EU hade enligt kommissionen anledning att vara nöjd med överenskommelsen, som utgjorde ett viktigt första steg</w:t>
      </w:r>
      <w:r w:rsidR="005353D4">
        <w:t xml:space="preserve"> i arbetet med att reglera utsläpp av växthusgaser från flygsektorn</w:t>
      </w:r>
      <w:r w:rsidR="00B76AF7">
        <w:t xml:space="preserve">. Ytterligare åtgärder var nödvändiga för att göra flygsektorn mer effektiv, konkurrenskraftig och miljövänlig. Kommissionen tillade att biobränslen kommer att spela en viktig roll </w:t>
      </w:r>
      <w:r>
        <w:t xml:space="preserve">i flygsektorns framtid. </w:t>
      </w:r>
    </w:p>
    <w:p w14:paraId="12B9C04E" w14:textId="77777777" w:rsidR="00626464" w:rsidRPr="00626464" w:rsidRDefault="00626464" w:rsidP="00626464">
      <w:pPr>
        <w:pStyle w:val="RKnormal"/>
      </w:pPr>
    </w:p>
    <w:p w14:paraId="21D711AC" w14:textId="77777777" w:rsidR="00626464" w:rsidRPr="00626464" w:rsidRDefault="00626464" w:rsidP="00626464">
      <w:pPr>
        <w:pStyle w:val="Rubrik1"/>
        <w:spacing w:before="0" w:after="0" w:line="276" w:lineRule="auto"/>
        <w:rPr>
          <w:b w:val="0"/>
        </w:rPr>
      </w:pPr>
    </w:p>
    <w:p w14:paraId="4BE03919" w14:textId="77777777" w:rsidR="003E009E" w:rsidRPr="00626464" w:rsidRDefault="003E009E" w:rsidP="00626464">
      <w:pPr>
        <w:pStyle w:val="Rubrik1"/>
        <w:spacing w:before="0" w:after="0" w:line="276" w:lineRule="auto"/>
        <w:rPr>
          <w:b w:val="0"/>
        </w:rPr>
      </w:pPr>
      <w:r w:rsidRPr="00626464">
        <w:rPr>
          <w:b w:val="0"/>
        </w:rPr>
        <w:t xml:space="preserve">e) 17:e mötet i partskonferensen (COP 17) för konventionen om internationell handel med utrotningshotade arter av vilda djur och växter (Cites) (Johannesburg, Sydafrika, den 24 september−5 oktober 2016) </w:t>
      </w:r>
    </w:p>
    <w:p w14:paraId="110823B6" w14:textId="329014BE" w:rsidR="00626464" w:rsidRPr="00626464" w:rsidRDefault="00626464" w:rsidP="00B76AF7">
      <w:r w:rsidRPr="00B76AF7">
        <w:rPr>
          <w:bCs/>
        </w:rPr>
        <w:t>O</w:t>
      </w:r>
      <w:r w:rsidR="00B76AF7">
        <w:rPr>
          <w:bCs/>
        </w:rPr>
        <w:t>rdföranden</w:t>
      </w:r>
      <w:r w:rsidRPr="00B76AF7">
        <w:t xml:space="preserve"> informerade om resultatet från det 17</w:t>
      </w:r>
      <w:r w:rsidR="00B76AF7">
        <w:t>:e</w:t>
      </w:r>
      <w:r w:rsidRPr="00B76AF7">
        <w:t xml:space="preserve"> part</w:t>
      </w:r>
      <w:r w:rsidR="00B76AF7">
        <w:t>smötet för</w:t>
      </w:r>
      <w:r w:rsidRPr="00B76AF7">
        <w:t xml:space="preserve"> konventionen om handel med hotade </w:t>
      </w:r>
      <w:r w:rsidR="00B76AF7">
        <w:t>arter (CITES). EU hade enligt kommissionen</w:t>
      </w:r>
      <w:r w:rsidRPr="00B76AF7">
        <w:t xml:space="preserve"> spelat en nyckelroll i förhandlingarna och fått bra genomslag för sin</w:t>
      </w:r>
      <w:r w:rsidR="00B76AF7">
        <w:t>a förslag. Ordföranden välkomnade bland annat</w:t>
      </w:r>
      <w:r w:rsidRPr="00B76AF7">
        <w:t xml:space="preserve"> att EU hade kunnat delta som part till mötet. </w:t>
      </w:r>
      <w:r w:rsidR="00B76AF7">
        <w:rPr>
          <w:bCs/>
        </w:rPr>
        <w:t>Kommissionen</w:t>
      </w:r>
      <w:r w:rsidRPr="00B76AF7">
        <w:t xml:space="preserve"> i</w:t>
      </w:r>
      <w:r w:rsidR="005353D4">
        <w:t>nstämde och konstaterade att EU:s</w:t>
      </w:r>
      <w:r w:rsidRPr="00B76AF7">
        <w:t xml:space="preserve"> position om elefanter inte var väl förstådd av alla, och </w:t>
      </w:r>
      <w:r w:rsidR="00B76AF7">
        <w:t xml:space="preserve">att </w:t>
      </w:r>
      <w:r w:rsidRPr="00B76AF7">
        <w:t>man behövde bli bättre på att kommunicera.</w:t>
      </w:r>
      <w:r w:rsidR="00B76AF7">
        <w:t xml:space="preserve"> </w:t>
      </w:r>
      <w:r w:rsidR="005353D4">
        <w:rPr>
          <w:bCs/>
        </w:rPr>
        <w:t>En medlemsstat</w:t>
      </w:r>
      <w:r w:rsidRPr="00B76AF7">
        <w:rPr>
          <w:bCs/>
        </w:rPr>
        <w:t xml:space="preserve"> </w:t>
      </w:r>
      <w:r w:rsidR="00B76AF7">
        <w:t xml:space="preserve">kommenterade </w:t>
      </w:r>
      <w:r w:rsidRPr="00B76AF7">
        <w:t>att vetenskap bör för</w:t>
      </w:r>
      <w:r w:rsidR="00B76AF7">
        <w:t>bli grunden för EU:s position</w:t>
      </w:r>
      <w:r w:rsidRPr="00B76AF7">
        <w:t>, även om den inte alltid var populär.</w:t>
      </w:r>
      <w:r w:rsidR="00B76AF7">
        <w:t xml:space="preserve"> </w:t>
      </w:r>
    </w:p>
    <w:p w14:paraId="344A4F75" w14:textId="77777777" w:rsidR="00626464" w:rsidRPr="00626464" w:rsidRDefault="00626464" w:rsidP="00626464">
      <w:pPr>
        <w:pStyle w:val="Rubrik1"/>
        <w:spacing w:before="0" w:after="0" w:line="276" w:lineRule="auto"/>
        <w:rPr>
          <w:b w:val="0"/>
        </w:rPr>
      </w:pPr>
    </w:p>
    <w:p w14:paraId="48577A51" w14:textId="744C6D7E" w:rsidR="003E009E" w:rsidRPr="00626464" w:rsidRDefault="003E009E" w:rsidP="00626464">
      <w:pPr>
        <w:pStyle w:val="Rubrik1"/>
        <w:spacing w:before="0" w:after="0" w:line="276" w:lineRule="auto"/>
        <w:rPr>
          <w:b w:val="0"/>
        </w:rPr>
      </w:pPr>
      <w:r w:rsidRPr="00626464">
        <w:rPr>
          <w:b w:val="0"/>
        </w:rPr>
        <w:t>f) Förvaltning av n</w:t>
      </w:r>
      <w:r w:rsidR="00B76AF7">
        <w:rPr>
          <w:b w:val="0"/>
        </w:rPr>
        <w:t>aturresurser, exemplet Białowies</w:t>
      </w:r>
      <w:r w:rsidRPr="00626464">
        <w:rPr>
          <w:b w:val="0"/>
        </w:rPr>
        <w:t xml:space="preserve">askogen: återverkningar för Europa </w:t>
      </w:r>
    </w:p>
    <w:p w14:paraId="2DEC74CB" w14:textId="7FC63338" w:rsidR="00626464" w:rsidRPr="001E5899" w:rsidRDefault="00626464" w:rsidP="00626464">
      <w:r w:rsidRPr="001E5899">
        <w:rPr>
          <w:bCs/>
        </w:rPr>
        <w:t>P</w:t>
      </w:r>
      <w:r w:rsidR="004A58B7">
        <w:rPr>
          <w:bCs/>
        </w:rPr>
        <w:t>olen</w:t>
      </w:r>
      <w:r w:rsidRPr="001E5899">
        <w:t xml:space="preserve"> pr</w:t>
      </w:r>
      <w:r w:rsidR="00BF1735">
        <w:t>esenterade innehållet i</w:t>
      </w:r>
      <w:r w:rsidR="005353D4">
        <w:t xml:space="preserve"> sin not</w:t>
      </w:r>
      <w:r w:rsidR="00BF1735">
        <w:t xml:space="preserve"> om</w:t>
      </w:r>
      <w:r w:rsidR="005353D4">
        <w:t xml:space="preserve"> sin nationella</w:t>
      </w:r>
      <w:r w:rsidR="00BF1735">
        <w:t xml:space="preserve"> </w:t>
      </w:r>
      <w:r w:rsidR="005353D4">
        <w:t>skötselplan för den del av Bialowiezaskogen som ligger i Polen.</w:t>
      </w:r>
      <w:r w:rsidRPr="001E5899">
        <w:t xml:space="preserve"> </w:t>
      </w:r>
      <w:r w:rsidR="005353D4">
        <w:rPr>
          <w:bCs/>
        </w:rPr>
        <w:t>Kommissionen</w:t>
      </w:r>
      <w:r w:rsidRPr="001E5899">
        <w:t xml:space="preserve"> kommenterade kort och konstaterade att denna skog var en av de bäst</w:t>
      </w:r>
      <w:r w:rsidR="001173FC">
        <w:t xml:space="preserve"> bevarade gamme</w:t>
      </w:r>
      <w:r w:rsidRPr="001E5899">
        <w:t xml:space="preserve">lskogarna i EU och </w:t>
      </w:r>
      <w:r w:rsidR="001173FC">
        <w:t xml:space="preserve">att </w:t>
      </w:r>
      <w:r w:rsidRPr="001E5899">
        <w:t>den spelade e</w:t>
      </w:r>
      <w:r w:rsidR="001173FC">
        <w:t>n mycket viktig roll för EU:s biologiska mångfald</w:t>
      </w:r>
      <w:r w:rsidR="004A58B7">
        <w:t xml:space="preserve">. Kommissionen berömde </w:t>
      </w:r>
      <w:r w:rsidR="005353D4">
        <w:t xml:space="preserve">även Polen </w:t>
      </w:r>
      <w:r w:rsidRPr="001E5899">
        <w:t>för</w:t>
      </w:r>
      <w:r w:rsidR="005353D4">
        <w:t xml:space="preserve"> arbetet med att skydda arten visent.</w:t>
      </w:r>
    </w:p>
    <w:p w14:paraId="3B00EF63" w14:textId="77777777" w:rsidR="00626464" w:rsidRPr="00626464" w:rsidRDefault="00626464" w:rsidP="00626464">
      <w:pPr>
        <w:pStyle w:val="RKnormal"/>
      </w:pPr>
    </w:p>
    <w:p w14:paraId="0E0D6E3A" w14:textId="77777777" w:rsidR="00626464" w:rsidRPr="00626464" w:rsidRDefault="00626464" w:rsidP="00626464">
      <w:pPr>
        <w:pStyle w:val="Rubrik1"/>
        <w:spacing w:before="0" w:after="0" w:line="276" w:lineRule="auto"/>
        <w:rPr>
          <w:b w:val="0"/>
        </w:rPr>
      </w:pPr>
    </w:p>
    <w:p w14:paraId="6187DF0A" w14:textId="77777777" w:rsidR="003E009E" w:rsidRPr="00626464" w:rsidRDefault="003E009E" w:rsidP="00626464">
      <w:pPr>
        <w:pStyle w:val="Rubrik1"/>
        <w:spacing w:before="0" w:after="0" w:line="276" w:lineRule="auto"/>
        <w:rPr>
          <w:b w:val="0"/>
        </w:rPr>
      </w:pPr>
      <w:r w:rsidRPr="00626464">
        <w:rPr>
          <w:b w:val="0"/>
        </w:rPr>
        <w:t xml:space="preserve">g) Förslag till Europaparlamentets och rådets direktiv om minskning av nationella utsläpp av vissa luftföroreningar och om ändring av direktiv 2003/35/EG (NEC-direktivet) − lärdomar </w:t>
      </w:r>
    </w:p>
    <w:p w14:paraId="75D89E1C" w14:textId="0FA27485" w:rsidR="00626464" w:rsidRDefault="00626464" w:rsidP="00626464">
      <w:r w:rsidRPr="00B76AF7">
        <w:rPr>
          <w:bCs/>
        </w:rPr>
        <w:t>P</w:t>
      </w:r>
      <w:r w:rsidR="005353D4">
        <w:rPr>
          <w:bCs/>
        </w:rPr>
        <w:t>olen, Rumänien och Ungern</w:t>
      </w:r>
      <w:r w:rsidRPr="00B76AF7">
        <w:t xml:space="preserve"> presenterade sin not som kritisera</w:t>
      </w:r>
      <w:r w:rsidR="00B76AF7">
        <w:t>de</w:t>
      </w:r>
      <w:r w:rsidRPr="00B76AF7">
        <w:t xml:space="preserve"> arbetet med framtagandet</w:t>
      </w:r>
      <w:r w:rsidR="00B76AF7">
        <w:t xml:space="preserve"> av takdirektivet om luftkvalitet</w:t>
      </w:r>
      <w:r w:rsidR="001E5899">
        <w:t xml:space="preserve">, både gällande underlaget </w:t>
      </w:r>
      <w:r w:rsidRPr="00B76AF7">
        <w:t xml:space="preserve">och processen. </w:t>
      </w:r>
      <w:r w:rsidR="001E5899">
        <w:t>Dessa medlemsstater riktade hård kritik mot kommissionen</w:t>
      </w:r>
      <w:r w:rsidRPr="00B76AF7">
        <w:t xml:space="preserve"> och</w:t>
      </w:r>
      <w:r w:rsidR="001E5899">
        <w:t xml:space="preserve"> det föregående ordförandeskapet</w:t>
      </w:r>
      <w:r w:rsidR="005353D4">
        <w:t>. Länderna</w:t>
      </w:r>
      <w:r w:rsidRPr="00B76AF7">
        <w:t xml:space="preserve"> tyckte at</w:t>
      </w:r>
      <w:r w:rsidR="001E5899">
        <w:t>t beräkningsmetoderna och börde</w:t>
      </w:r>
      <w:r w:rsidRPr="00B76AF7">
        <w:t xml:space="preserve">fördelningen hade behövts förklaras bättre och att förhandlingsprocessen borde ha varit mer transparent. </w:t>
      </w:r>
      <w:r w:rsidR="005353D4">
        <w:rPr>
          <w:bCs/>
        </w:rPr>
        <w:t>Litauen</w:t>
      </w:r>
      <w:r w:rsidR="001E5899">
        <w:rPr>
          <w:bCs/>
        </w:rPr>
        <w:t xml:space="preserve"> och</w:t>
      </w:r>
      <w:r w:rsidR="005353D4">
        <w:rPr>
          <w:bCs/>
        </w:rPr>
        <w:t xml:space="preserve"> Italien</w:t>
      </w:r>
      <w:r w:rsidR="001E5899">
        <w:t xml:space="preserve"> gav visst stöd </w:t>
      </w:r>
      <w:r w:rsidRPr="00B76AF7">
        <w:t>gällande</w:t>
      </w:r>
      <w:r w:rsidR="001E5899">
        <w:t xml:space="preserve"> kritiken mot</w:t>
      </w:r>
      <w:r w:rsidRPr="00B76AF7">
        <w:t xml:space="preserve"> förhandlingsprocessen. </w:t>
      </w:r>
    </w:p>
    <w:p w14:paraId="199F4EE5" w14:textId="77777777" w:rsidR="005353D4" w:rsidRPr="00B76AF7" w:rsidRDefault="005353D4" w:rsidP="00626464"/>
    <w:p w14:paraId="12369348" w14:textId="07B291A2" w:rsidR="00626464" w:rsidRPr="00B76AF7" w:rsidRDefault="001E5899" w:rsidP="00626464">
      <w:r>
        <w:rPr>
          <w:bCs/>
        </w:rPr>
        <w:t>Kommissionen</w:t>
      </w:r>
      <w:r w:rsidR="00626464" w:rsidRPr="00B76AF7">
        <w:t xml:space="preserve"> välkomnade återkopplingen och medgav att processen kanske kunde förbättras, men underströk att man hade åstadkommit ett mycket bra resultat som det var nu dags att genomföra. </w:t>
      </w:r>
    </w:p>
    <w:p w14:paraId="22DF915F" w14:textId="77777777" w:rsidR="00626464" w:rsidRPr="00626464" w:rsidRDefault="00626464" w:rsidP="00626464">
      <w:pPr>
        <w:pStyle w:val="RKnormal"/>
      </w:pPr>
    </w:p>
    <w:p w14:paraId="176031BB" w14:textId="77777777" w:rsidR="003E009E" w:rsidRPr="00626464" w:rsidRDefault="003E009E" w:rsidP="00626464">
      <w:pPr>
        <w:pStyle w:val="Rubrik1"/>
        <w:spacing w:before="0" w:after="0" w:line="276" w:lineRule="auto"/>
        <w:rPr>
          <w:b w:val="0"/>
        </w:rPr>
      </w:pPr>
    </w:p>
    <w:p w14:paraId="190A58C0" w14:textId="77777777" w:rsidR="003E009E" w:rsidRPr="00626464" w:rsidRDefault="003E009E" w:rsidP="00626464">
      <w:pPr>
        <w:pStyle w:val="Rubrik1"/>
        <w:spacing w:before="0" w:after="0" w:line="276" w:lineRule="auto"/>
        <w:rPr>
          <w:b w:val="0"/>
        </w:rPr>
      </w:pPr>
      <w:r w:rsidRPr="00626464">
        <w:rPr>
          <w:b w:val="0"/>
        </w:rPr>
        <w:t xml:space="preserve">h) Fastställande av hormonstörande ämnen </w:t>
      </w:r>
    </w:p>
    <w:p w14:paraId="3CFB726D" w14:textId="77777777" w:rsidR="003E009E" w:rsidRDefault="003E009E" w:rsidP="00626464">
      <w:pPr>
        <w:pStyle w:val="Rubrik1"/>
        <w:spacing w:before="0" w:after="0" w:line="276" w:lineRule="auto"/>
        <w:rPr>
          <w:b w:val="0"/>
        </w:rPr>
      </w:pPr>
      <w:r w:rsidRPr="00626464">
        <w:rPr>
          <w:b w:val="0"/>
        </w:rPr>
        <w:t xml:space="preserve">= Information från den danska, nederländska och svenska delegationen, med stöd av den luxemburgska delegationen </w:t>
      </w:r>
    </w:p>
    <w:p w14:paraId="4CFAA55C" w14:textId="717EB1F5" w:rsidR="00626464" w:rsidRDefault="00A76965" w:rsidP="00626464">
      <w:r>
        <w:rPr>
          <w:bCs/>
        </w:rPr>
        <w:t>Nederländerna</w:t>
      </w:r>
      <w:r w:rsidR="00626464" w:rsidRPr="001E5899">
        <w:t xml:space="preserve"> introducerade noten som </w:t>
      </w:r>
      <w:r>
        <w:t xml:space="preserve">de </w:t>
      </w:r>
      <w:r w:rsidR="00626464" w:rsidRPr="001E5899">
        <w:t>had</w:t>
      </w:r>
      <w:r>
        <w:t>e tagit fram tillsammans med Sverige och Danmark.</w:t>
      </w:r>
      <w:r w:rsidR="00626464" w:rsidRPr="001E5899">
        <w:t xml:space="preserve"> </w:t>
      </w:r>
      <w:r>
        <w:t>Nederländerna</w:t>
      </w:r>
      <w:r w:rsidR="00626464" w:rsidRPr="001E5899">
        <w:t xml:space="preserve"> välkomnade att </w:t>
      </w:r>
      <w:r w:rsidR="00B60979">
        <w:lastRenderedPageBreak/>
        <w:t>kommissionen</w:t>
      </w:r>
      <w:r w:rsidR="00626464" w:rsidRPr="001E5899">
        <w:t xml:space="preserve"> hade presenterats ett förslag till kriterier </w:t>
      </w:r>
      <w:r>
        <w:t xml:space="preserve">för identifiering av hormonstörande ämnen </w:t>
      </w:r>
      <w:r w:rsidR="00B60979">
        <w:t xml:space="preserve">men lyfte fram </w:t>
      </w:r>
      <w:r w:rsidR="00626464" w:rsidRPr="001E5899">
        <w:t>att dessa inte var tillräckliga</w:t>
      </w:r>
      <w:r w:rsidR="00B60979">
        <w:t xml:space="preserve">. </w:t>
      </w:r>
      <w:r w:rsidR="00626464" w:rsidRPr="001E5899">
        <w:rPr>
          <w:bCs/>
        </w:rPr>
        <w:t>S</w:t>
      </w:r>
      <w:r>
        <w:rPr>
          <w:bCs/>
        </w:rPr>
        <w:t>verige</w:t>
      </w:r>
      <w:r w:rsidR="00B60979">
        <w:rPr>
          <w:bCs/>
        </w:rPr>
        <w:t xml:space="preserve"> förde fram juridiska invändningar i att kommissionen gått utanför sitt mandat</w:t>
      </w:r>
      <w:r w:rsidR="00626464" w:rsidRPr="001E5899">
        <w:rPr>
          <w:bCs/>
        </w:rPr>
        <w:t xml:space="preserve"> och</w:t>
      </w:r>
      <w:r w:rsidR="00B60979">
        <w:rPr>
          <w:bCs/>
        </w:rPr>
        <w:t xml:space="preserve"> att de föreslagna kriterierna skulle sänka skyddet för hälsa och miljö gentemot vad som avsetts i lagstiftningen. </w:t>
      </w:r>
      <w:r>
        <w:rPr>
          <w:bCs/>
        </w:rPr>
        <w:t>Danmark</w:t>
      </w:r>
      <w:r w:rsidR="00626464" w:rsidRPr="001E5899">
        <w:t xml:space="preserve"> kompletterade genom att säga att man hade gått från en farobaserad till riskbaserad approach och gått ifrån försiktighetsprincipen vilket var en väsentlig ä</w:t>
      </w:r>
      <w:r w:rsidR="00B60979">
        <w:t>ndring, av politisk karaktär.</w:t>
      </w:r>
      <w:r w:rsidR="00626464" w:rsidRPr="001E5899">
        <w:t xml:space="preserve"> </w:t>
      </w:r>
      <w:r w:rsidR="002B6960">
        <w:t>Flera medlemsländer</w:t>
      </w:r>
      <w:r>
        <w:t xml:space="preserve"> (Luxemburg</w:t>
      </w:r>
      <w:r w:rsidRPr="001E5899">
        <w:t>,</w:t>
      </w:r>
      <w:r>
        <w:t xml:space="preserve"> Frankrike, Belgien och Österrike</w:t>
      </w:r>
      <w:r w:rsidR="00626464" w:rsidRPr="001E5899">
        <w:t xml:space="preserve">) tog till orda för att stödja initiativet. </w:t>
      </w:r>
      <w:r w:rsidR="00626464" w:rsidRPr="001E5899">
        <w:rPr>
          <w:bCs/>
        </w:rPr>
        <w:t>F</w:t>
      </w:r>
      <w:r>
        <w:rPr>
          <w:bCs/>
        </w:rPr>
        <w:t>rankrike</w:t>
      </w:r>
      <w:r w:rsidR="00626464" w:rsidRPr="001E5899">
        <w:t xml:space="preserve"> </w:t>
      </w:r>
      <w:r w:rsidR="00B60979">
        <w:t>anslöt</w:t>
      </w:r>
      <w:r w:rsidR="00626464" w:rsidRPr="001E5899">
        <w:t xml:space="preserve"> sig </w:t>
      </w:r>
      <w:r w:rsidR="00B60979">
        <w:t xml:space="preserve">formellt till noten. </w:t>
      </w:r>
      <w:r w:rsidR="00626464" w:rsidRPr="001E5899">
        <w:rPr>
          <w:bCs/>
        </w:rPr>
        <w:t>B</w:t>
      </w:r>
      <w:r>
        <w:rPr>
          <w:bCs/>
        </w:rPr>
        <w:t>elgien</w:t>
      </w:r>
      <w:r w:rsidR="00626464" w:rsidRPr="001E5899">
        <w:t xml:space="preserve"> sade att </w:t>
      </w:r>
      <w:r w:rsidR="00B01413">
        <w:t xml:space="preserve">de </w:t>
      </w:r>
      <w:r w:rsidR="00626464" w:rsidRPr="001E5899">
        <w:t xml:space="preserve">väntade på ett nytt förslag så snart som möjligt </w:t>
      </w:r>
      <w:r w:rsidR="00B01413">
        <w:t>som förväntas</w:t>
      </w:r>
      <w:r w:rsidR="00626464" w:rsidRPr="001E5899">
        <w:t xml:space="preserve"> omhänderta de kommentarer som framförts.</w:t>
      </w:r>
    </w:p>
    <w:p w14:paraId="3E1C86DC" w14:textId="77777777" w:rsidR="00B01413" w:rsidRPr="001E5899" w:rsidRDefault="00B01413" w:rsidP="00626464"/>
    <w:p w14:paraId="0FB9221A" w14:textId="08244232" w:rsidR="00626464" w:rsidRPr="00626464" w:rsidRDefault="00B60979" w:rsidP="00A76965">
      <w:r>
        <w:rPr>
          <w:bCs/>
        </w:rPr>
        <w:t>Kommissionen</w:t>
      </w:r>
      <w:r w:rsidR="00626464" w:rsidRPr="001E5899">
        <w:t xml:space="preserve"> svarade att kriterierna är baserade på WHO-definitionen och även </w:t>
      </w:r>
      <w:r w:rsidR="00B01413">
        <w:t>går lite längre</w:t>
      </w:r>
      <w:r w:rsidR="00626464" w:rsidRPr="001E5899">
        <w:t xml:space="preserve"> eftersom de visar på hur definitionen ska tolkas. </w:t>
      </w:r>
      <w:r w:rsidR="00A76965">
        <w:t>Kommissionen berättade att f</w:t>
      </w:r>
      <w:r>
        <w:t xml:space="preserve">ör att </w:t>
      </w:r>
      <w:r w:rsidR="00A76965">
        <w:t>komma snabbt framåt kommer</w:t>
      </w:r>
      <w:r w:rsidR="00626464" w:rsidRPr="001E5899">
        <w:t xml:space="preserve"> kriterierna att tillämpas direkt </w:t>
      </w:r>
      <w:r w:rsidR="002B6960">
        <w:t>för växtskyddsmedel</w:t>
      </w:r>
      <w:r w:rsidR="00626464" w:rsidRPr="001E5899">
        <w:t xml:space="preserve"> och b</w:t>
      </w:r>
      <w:r>
        <w:t>iocider när de har antagits. Kommissionen</w:t>
      </w:r>
      <w:r w:rsidR="00626464" w:rsidRPr="001E5899">
        <w:t xml:space="preserve"> </w:t>
      </w:r>
      <w:r>
        <w:t>informerade vidare om att</w:t>
      </w:r>
      <w:r w:rsidR="00626464" w:rsidRPr="001E5899">
        <w:t xml:space="preserve"> alla kommentarer som kommit in</w:t>
      </w:r>
      <w:r w:rsidR="002B6960">
        <w:t xml:space="preserve"> analyseras</w:t>
      </w:r>
      <w:r>
        <w:t xml:space="preserve"> och</w:t>
      </w:r>
      <w:r w:rsidR="00626464" w:rsidRPr="001E5899">
        <w:t xml:space="preserve"> att </w:t>
      </w:r>
      <w:r w:rsidRPr="001E5899">
        <w:t xml:space="preserve">WTO </w:t>
      </w:r>
      <w:r>
        <w:t xml:space="preserve">har </w:t>
      </w:r>
      <w:r w:rsidR="00626464" w:rsidRPr="001E5899">
        <w:t>notifierat</w:t>
      </w:r>
      <w:r>
        <w:t>s om förslagen</w:t>
      </w:r>
      <w:r w:rsidR="00626464" w:rsidRPr="001E5899">
        <w:t xml:space="preserve">. </w:t>
      </w:r>
      <w:r>
        <w:t xml:space="preserve">Ett nytt förslag till kriterier kommer att presenteras för den expertgrupp som </w:t>
      </w:r>
      <w:r w:rsidR="002B6960">
        <w:t>diskuterar</w:t>
      </w:r>
      <w:r>
        <w:t xml:space="preserve"> utkasten. </w:t>
      </w:r>
      <w:r w:rsidR="00626464" w:rsidRPr="001E5899">
        <w:t xml:space="preserve">Vidare sade </w:t>
      </w:r>
      <w:r>
        <w:t>kommissionen</w:t>
      </w:r>
      <w:r w:rsidR="00626464" w:rsidRPr="001E5899">
        <w:t xml:space="preserve"> att </w:t>
      </w:r>
      <w:r>
        <w:t>ett arbete</w:t>
      </w:r>
      <w:r w:rsidR="00626464" w:rsidRPr="001E5899">
        <w:t xml:space="preserve"> med en vägledning, tillsammans med </w:t>
      </w:r>
      <w:r w:rsidR="00A76965">
        <w:t>den</w:t>
      </w:r>
      <w:r w:rsidR="00A76965" w:rsidRPr="00A76965">
        <w:t xml:space="preserve"> europeiska myndigheten för livsmedelssäkerhet</w:t>
      </w:r>
      <w:r w:rsidR="00223F02">
        <w:t xml:space="preserve"> (Efsa) </w:t>
      </w:r>
      <w:r w:rsidR="00626464" w:rsidRPr="001E5899">
        <w:t xml:space="preserve">och </w:t>
      </w:r>
      <w:r w:rsidR="00A76965">
        <w:t>den e</w:t>
      </w:r>
      <w:r w:rsidR="00A76965" w:rsidRPr="00A76965">
        <w:t>uropeiska kemikaliemyndigheten</w:t>
      </w:r>
      <w:r w:rsidR="00223F02">
        <w:t xml:space="preserve"> (Echa)</w:t>
      </w:r>
      <w:r>
        <w:t xml:space="preserve">, har </w:t>
      </w:r>
      <w:r w:rsidR="00A76965">
        <w:t>satt igång</w:t>
      </w:r>
      <w:r>
        <w:t xml:space="preserve"> för att kriterierna ska kunna</w:t>
      </w:r>
      <w:r w:rsidR="00626464" w:rsidRPr="001E5899">
        <w:t xml:space="preserve"> börja användas så </w:t>
      </w:r>
      <w:r w:rsidR="002B6960">
        <w:t>snart</w:t>
      </w:r>
      <w:r w:rsidR="00626464" w:rsidRPr="001E5899">
        <w:t xml:space="preserve"> de </w:t>
      </w:r>
      <w:r w:rsidR="002B6960">
        <w:t>är</w:t>
      </w:r>
      <w:r w:rsidR="00626464" w:rsidRPr="001E5899">
        <w:t xml:space="preserve"> </w:t>
      </w:r>
      <w:r>
        <w:t>antagna</w:t>
      </w:r>
      <w:r w:rsidR="00626464" w:rsidRPr="001E5899">
        <w:rPr>
          <w:i/>
          <w:iCs/>
        </w:rPr>
        <w:t xml:space="preserve">. </w:t>
      </w:r>
    </w:p>
    <w:p w14:paraId="6652F3CF" w14:textId="77777777" w:rsidR="003E009E" w:rsidRPr="00626464" w:rsidRDefault="003E009E" w:rsidP="00626464">
      <w:pPr>
        <w:pStyle w:val="Rubrik1"/>
        <w:spacing w:before="0" w:after="0" w:line="276" w:lineRule="auto"/>
        <w:rPr>
          <w:b w:val="0"/>
        </w:rPr>
      </w:pPr>
    </w:p>
    <w:p w14:paraId="5A84E3AA" w14:textId="77777777" w:rsidR="003E009E" w:rsidRPr="00626464" w:rsidRDefault="003E009E" w:rsidP="00626464">
      <w:pPr>
        <w:pStyle w:val="Rubrik1"/>
        <w:spacing w:before="0" w:after="0" w:line="276" w:lineRule="auto"/>
        <w:rPr>
          <w:b w:val="0"/>
        </w:rPr>
      </w:pPr>
      <w:r w:rsidRPr="00626464">
        <w:rPr>
          <w:b w:val="0"/>
        </w:rPr>
        <w:t xml:space="preserve">i) Internationella naturvårdsunionens (IUCN) World Conservation Congress 2016 (Hawaii, den 1−10 september 2016) </w:t>
      </w:r>
    </w:p>
    <w:p w14:paraId="4F55A1D2" w14:textId="4F4AC238" w:rsidR="00626464" w:rsidRPr="001E5899" w:rsidRDefault="00626464" w:rsidP="00626464">
      <w:r w:rsidRPr="001E5899">
        <w:rPr>
          <w:bCs/>
        </w:rPr>
        <w:t>O</w:t>
      </w:r>
      <w:r w:rsidR="001E5899" w:rsidRPr="001E5899">
        <w:rPr>
          <w:bCs/>
        </w:rPr>
        <w:t>rdföranden</w:t>
      </w:r>
      <w:r w:rsidRPr="001E5899">
        <w:t xml:space="preserve"> rapporterade mycket kort från IUCN:s kongress som ägde rum i Hawaii i september</w:t>
      </w:r>
      <w:r w:rsidR="005353D4">
        <w:t xml:space="preserve"> enligt den cirkulerade noten. </w:t>
      </w:r>
    </w:p>
    <w:p w14:paraId="43E2238F" w14:textId="399B4DB9" w:rsidR="00543CAB" w:rsidRPr="0002288B" w:rsidRDefault="00543CAB" w:rsidP="00626464">
      <w:pPr>
        <w:pStyle w:val="RKnormal"/>
        <w:spacing w:line="276" w:lineRule="auto"/>
      </w:pPr>
    </w:p>
    <w:sectPr w:rsidR="00543CAB" w:rsidRPr="0002288B" w:rsidSect="007B7CDA">
      <w:headerReference w:type="even" r:id="rId15"/>
      <w:headerReference w:type="default" r:id="rId16"/>
      <w:headerReference w:type="first" r:id="rId17"/>
      <w:type w:val="continuous"/>
      <w:pgSz w:w="11907" w:h="16840" w:code="9"/>
      <w:pgMar w:top="567" w:right="1701" w:bottom="993"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59344" w14:textId="77777777" w:rsidR="00026EA1" w:rsidRDefault="00026EA1">
      <w:r>
        <w:separator/>
      </w:r>
    </w:p>
  </w:endnote>
  <w:endnote w:type="continuationSeparator" w:id="0">
    <w:p w14:paraId="471AF459" w14:textId="77777777" w:rsidR="00026EA1" w:rsidRDefault="00026EA1">
      <w:r>
        <w:continuationSeparator/>
      </w:r>
    </w:p>
  </w:endnote>
  <w:endnote w:type="continuationNotice" w:id="1">
    <w:p w14:paraId="1DC22520" w14:textId="77777777" w:rsidR="00026EA1" w:rsidRDefault="00026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panose1 w:val="000006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2E9CF" w14:textId="77777777" w:rsidR="00026EA1" w:rsidRDefault="00026EA1">
      <w:r>
        <w:separator/>
      </w:r>
    </w:p>
  </w:footnote>
  <w:footnote w:type="continuationSeparator" w:id="0">
    <w:p w14:paraId="2D116FAB" w14:textId="77777777" w:rsidR="00026EA1" w:rsidRDefault="00026EA1">
      <w:r>
        <w:continuationSeparator/>
      </w:r>
    </w:p>
  </w:footnote>
  <w:footnote w:type="continuationNotice" w:id="1">
    <w:p w14:paraId="3F605B13" w14:textId="77777777" w:rsidR="00026EA1" w:rsidRDefault="00026EA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1155" w14:textId="77777777" w:rsidR="00026EA1" w:rsidRDefault="00026EA1" w:rsidP="00324AB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B3915">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26EA1" w14:paraId="24681159" w14:textId="77777777">
      <w:trPr>
        <w:cantSplit/>
      </w:trPr>
      <w:tc>
        <w:tcPr>
          <w:tcW w:w="3119" w:type="dxa"/>
        </w:tcPr>
        <w:p w14:paraId="24681156" w14:textId="77777777" w:rsidR="00026EA1" w:rsidRDefault="00026EA1" w:rsidP="00324AB8">
          <w:pPr>
            <w:pStyle w:val="Sidhuvud"/>
            <w:spacing w:line="200" w:lineRule="atLeast"/>
            <w:ind w:right="360" w:firstLine="360"/>
            <w:rPr>
              <w:rFonts w:ascii="TradeGothic" w:hAnsi="TradeGothic"/>
              <w:b/>
              <w:bCs/>
              <w:sz w:val="16"/>
            </w:rPr>
          </w:pPr>
        </w:p>
      </w:tc>
      <w:tc>
        <w:tcPr>
          <w:tcW w:w="4111" w:type="dxa"/>
          <w:tcMar>
            <w:left w:w="567" w:type="dxa"/>
          </w:tcMar>
        </w:tcPr>
        <w:p w14:paraId="24681157" w14:textId="77777777" w:rsidR="00026EA1" w:rsidRDefault="00026EA1">
          <w:pPr>
            <w:pStyle w:val="Sidhuvud"/>
            <w:ind w:right="360"/>
          </w:pPr>
        </w:p>
      </w:tc>
      <w:tc>
        <w:tcPr>
          <w:tcW w:w="1525" w:type="dxa"/>
        </w:tcPr>
        <w:p w14:paraId="24681158" w14:textId="77777777" w:rsidR="00026EA1" w:rsidRDefault="00026EA1">
          <w:pPr>
            <w:pStyle w:val="Sidhuvud"/>
            <w:ind w:right="360"/>
          </w:pPr>
        </w:p>
      </w:tc>
    </w:tr>
  </w:tbl>
  <w:p w14:paraId="2468115A" w14:textId="77777777" w:rsidR="00026EA1" w:rsidRDefault="00026EA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115B" w14:textId="77777777" w:rsidR="00026EA1" w:rsidRDefault="00026EA1" w:rsidP="00324AB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B391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26EA1" w14:paraId="2468115F" w14:textId="77777777">
      <w:trPr>
        <w:cantSplit/>
      </w:trPr>
      <w:tc>
        <w:tcPr>
          <w:tcW w:w="3119" w:type="dxa"/>
        </w:tcPr>
        <w:p w14:paraId="2468115C" w14:textId="77777777" w:rsidR="00026EA1" w:rsidRDefault="00026EA1" w:rsidP="00324AB8">
          <w:pPr>
            <w:pStyle w:val="Sidhuvud"/>
            <w:spacing w:line="200" w:lineRule="atLeast"/>
            <w:ind w:right="360" w:firstLine="360"/>
            <w:rPr>
              <w:rFonts w:ascii="TradeGothic" w:hAnsi="TradeGothic"/>
              <w:b/>
              <w:bCs/>
              <w:sz w:val="16"/>
            </w:rPr>
          </w:pPr>
        </w:p>
      </w:tc>
      <w:tc>
        <w:tcPr>
          <w:tcW w:w="4111" w:type="dxa"/>
          <w:tcMar>
            <w:left w:w="567" w:type="dxa"/>
          </w:tcMar>
        </w:tcPr>
        <w:p w14:paraId="2468115D" w14:textId="77777777" w:rsidR="00026EA1" w:rsidRDefault="00026EA1">
          <w:pPr>
            <w:pStyle w:val="Sidhuvud"/>
            <w:ind w:right="360"/>
          </w:pPr>
        </w:p>
      </w:tc>
      <w:tc>
        <w:tcPr>
          <w:tcW w:w="1525" w:type="dxa"/>
        </w:tcPr>
        <w:p w14:paraId="2468115E" w14:textId="77777777" w:rsidR="00026EA1" w:rsidRDefault="00026EA1">
          <w:pPr>
            <w:pStyle w:val="Sidhuvud"/>
            <w:ind w:right="360"/>
          </w:pPr>
        </w:p>
      </w:tc>
    </w:tr>
  </w:tbl>
  <w:p w14:paraId="24681160" w14:textId="77777777" w:rsidR="00026EA1" w:rsidRDefault="00026EA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1161" w14:textId="77777777" w:rsidR="00026EA1" w:rsidRDefault="00026EA1">
    <w:pPr>
      <w:framePr w:w="2948" w:h="1321" w:hRule="exact" w:wrap="notBeside" w:vAnchor="page" w:hAnchor="page" w:x="1362" w:y="653"/>
    </w:pPr>
    <w:r>
      <w:rPr>
        <w:noProof/>
        <w:lang w:eastAsia="sv-SE"/>
      </w:rPr>
      <w:drawing>
        <wp:inline distT="0" distB="0" distL="0" distR="0" wp14:anchorId="24681166" wp14:editId="24681167">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4681162" w14:textId="77777777" w:rsidR="00026EA1" w:rsidRPr="00324AB8" w:rsidRDefault="00026EA1">
    <w:pPr>
      <w:pStyle w:val="RKrubrik"/>
      <w:keepNext w:val="0"/>
      <w:tabs>
        <w:tab w:val="clear" w:pos="1134"/>
        <w:tab w:val="clear" w:pos="2835"/>
      </w:tabs>
      <w:spacing w:before="0" w:after="0" w:line="320" w:lineRule="atLeast"/>
      <w:rPr>
        <w:bCs/>
      </w:rPr>
    </w:pPr>
  </w:p>
  <w:p w14:paraId="24681163" w14:textId="77777777" w:rsidR="00026EA1" w:rsidRPr="00324AB8" w:rsidRDefault="00026EA1">
    <w:pPr>
      <w:rPr>
        <w:rFonts w:ascii="TradeGothic" w:hAnsi="TradeGothic"/>
        <w:b/>
        <w:bCs/>
        <w:spacing w:val="12"/>
        <w:sz w:val="22"/>
      </w:rPr>
    </w:pPr>
  </w:p>
  <w:p w14:paraId="24681164" w14:textId="77777777" w:rsidR="00026EA1" w:rsidRPr="00324AB8" w:rsidRDefault="00026EA1">
    <w:pPr>
      <w:pStyle w:val="RKrubrik"/>
      <w:keepNext w:val="0"/>
      <w:tabs>
        <w:tab w:val="clear" w:pos="1134"/>
        <w:tab w:val="clear" w:pos="2835"/>
      </w:tabs>
      <w:spacing w:before="0" w:after="0" w:line="320" w:lineRule="atLeast"/>
      <w:rPr>
        <w:bCs/>
      </w:rPr>
    </w:pPr>
  </w:p>
  <w:p w14:paraId="24681165" w14:textId="77777777" w:rsidR="00026EA1" w:rsidRPr="00324AB8" w:rsidRDefault="00026EA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B2D"/>
    <w:multiLevelType w:val="hybridMultilevel"/>
    <w:tmpl w:val="AA6A536E"/>
    <w:lvl w:ilvl="0" w:tplc="5C188D32">
      <w:start w:val="6"/>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EB1747"/>
    <w:multiLevelType w:val="hybridMultilevel"/>
    <w:tmpl w:val="DF74FE3A"/>
    <w:lvl w:ilvl="0" w:tplc="99A001C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32573E"/>
    <w:multiLevelType w:val="hybridMultilevel"/>
    <w:tmpl w:val="CB96BF3E"/>
    <w:lvl w:ilvl="0" w:tplc="041D0019">
      <w:start w:val="1"/>
      <w:numFmt w:val="lowerLetter"/>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nsid w:val="19BF59BA"/>
    <w:multiLevelType w:val="hybridMultilevel"/>
    <w:tmpl w:val="2376D35E"/>
    <w:lvl w:ilvl="0" w:tplc="3C0AC236">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E8A0FCF"/>
    <w:multiLevelType w:val="hybridMultilevel"/>
    <w:tmpl w:val="FA2400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5D16005"/>
    <w:multiLevelType w:val="hybridMultilevel"/>
    <w:tmpl w:val="09FC77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639697B"/>
    <w:multiLevelType w:val="hybridMultilevel"/>
    <w:tmpl w:val="E67E16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alibri" w:hAnsi="Calibri" w:hint="default"/>
      </w:rPr>
    </w:lvl>
    <w:lvl w:ilvl="2" w:tplc="041D0005">
      <w:start w:val="1"/>
      <w:numFmt w:val="bullet"/>
      <w:lvlText w:val=""/>
      <w:lvlJc w:val="left"/>
      <w:pPr>
        <w:ind w:left="2160" w:hanging="360"/>
      </w:pPr>
      <w:rPr>
        <w:rFonts w:ascii="Calibri" w:hAnsi="Calibri"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alibri" w:hAnsi="Calibri" w:hint="default"/>
      </w:rPr>
    </w:lvl>
    <w:lvl w:ilvl="5" w:tplc="041D0005">
      <w:start w:val="1"/>
      <w:numFmt w:val="bullet"/>
      <w:lvlText w:val=""/>
      <w:lvlJc w:val="left"/>
      <w:pPr>
        <w:ind w:left="4320" w:hanging="360"/>
      </w:pPr>
      <w:rPr>
        <w:rFonts w:ascii="Calibri" w:hAnsi="Calibri"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alibri" w:hAnsi="Calibri" w:hint="default"/>
      </w:rPr>
    </w:lvl>
    <w:lvl w:ilvl="8" w:tplc="041D0005">
      <w:start w:val="1"/>
      <w:numFmt w:val="bullet"/>
      <w:lvlText w:val=""/>
      <w:lvlJc w:val="left"/>
      <w:pPr>
        <w:ind w:left="6480" w:hanging="360"/>
      </w:pPr>
      <w:rPr>
        <w:rFonts w:ascii="Calibri" w:hAnsi="Calibri" w:hint="default"/>
      </w:rPr>
    </w:lvl>
  </w:abstractNum>
  <w:abstractNum w:abstractNumId="7">
    <w:nsid w:val="3A5050CA"/>
    <w:multiLevelType w:val="hybridMultilevel"/>
    <w:tmpl w:val="4A225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BDC3533"/>
    <w:multiLevelType w:val="hybridMultilevel"/>
    <w:tmpl w:val="5EB014F0"/>
    <w:lvl w:ilvl="0" w:tplc="041D000F">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nsid w:val="3C7D53C7"/>
    <w:multiLevelType w:val="hybridMultilevel"/>
    <w:tmpl w:val="FA2400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5F510FA"/>
    <w:multiLevelType w:val="hybridMultilevel"/>
    <w:tmpl w:val="A104812E"/>
    <w:lvl w:ilvl="0" w:tplc="3C1C901A">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57E07C6"/>
    <w:multiLevelType w:val="hybridMultilevel"/>
    <w:tmpl w:val="64FA69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91A727A"/>
    <w:multiLevelType w:val="hybridMultilevel"/>
    <w:tmpl w:val="8EBA00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alibri" w:hAnsi="Calibri" w:hint="default"/>
      </w:rPr>
    </w:lvl>
    <w:lvl w:ilvl="2" w:tplc="041D0005">
      <w:start w:val="1"/>
      <w:numFmt w:val="bullet"/>
      <w:lvlText w:val=""/>
      <w:lvlJc w:val="left"/>
      <w:pPr>
        <w:ind w:left="2160" w:hanging="360"/>
      </w:pPr>
      <w:rPr>
        <w:rFonts w:ascii="Calibri" w:hAnsi="Calibri"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alibri" w:hAnsi="Calibri" w:hint="default"/>
      </w:rPr>
    </w:lvl>
    <w:lvl w:ilvl="5" w:tplc="041D0005">
      <w:start w:val="1"/>
      <w:numFmt w:val="bullet"/>
      <w:lvlText w:val=""/>
      <w:lvlJc w:val="left"/>
      <w:pPr>
        <w:ind w:left="4320" w:hanging="360"/>
      </w:pPr>
      <w:rPr>
        <w:rFonts w:ascii="Calibri" w:hAnsi="Calibri"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alibri" w:hAnsi="Calibri" w:hint="default"/>
      </w:rPr>
    </w:lvl>
    <w:lvl w:ilvl="8" w:tplc="041D0005">
      <w:start w:val="1"/>
      <w:numFmt w:val="bullet"/>
      <w:lvlText w:val=""/>
      <w:lvlJc w:val="left"/>
      <w:pPr>
        <w:ind w:left="6480" w:hanging="360"/>
      </w:pPr>
      <w:rPr>
        <w:rFonts w:ascii="Calibri" w:hAnsi="Calibri" w:hint="default"/>
      </w:rPr>
    </w:lvl>
  </w:abstractNum>
  <w:abstractNum w:abstractNumId="13">
    <w:nsid w:val="60154777"/>
    <w:multiLevelType w:val="hybridMultilevel"/>
    <w:tmpl w:val="560805DC"/>
    <w:lvl w:ilvl="0" w:tplc="5C188D32">
      <w:start w:val="6"/>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79673CD6"/>
    <w:multiLevelType w:val="hybridMultilevel"/>
    <w:tmpl w:val="07E8C6A2"/>
    <w:lvl w:ilvl="0" w:tplc="8306FDC0">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DE476AC"/>
    <w:multiLevelType w:val="hybridMultilevel"/>
    <w:tmpl w:val="36BC23C2"/>
    <w:lvl w:ilvl="0" w:tplc="7F80B36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8"/>
  </w:num>
  <w:num w:numId="4">
    <w:abstractNumId w:val="3"/>
  </w:num>
  <w:num w:numId="5">
    <w:abstractNumId w:val="13"/>
  </w:num>
  <w:num w:numId="6">
    <w:abstractNumId w:val="0"/>
  </w:num>
  <w:num w:numId="7">
    <w:abstractNumId w:val="2"/>
  </w:num>
  <w:num w:numId="8">
    <w:abstractNumId w:val="14"/>
  </w:num>
  <w:num w:numId="9">
    <w:abstractNumId w:val="1"/>
  </w:num>
  <w:num w:numId="10">
    <w:abstractNumId w:val="4"/>
  </w:num>
  <w:num w:numId="11">
    <w:abstractNumId w:val="11"/>
  </w:num>
  <w:num w:numId="12">
    <w:abstractNumId w:val="9"/>
  </w:num>
  <w:num w:numId="13">
    <w:abstractNumId w:val="7"/>
  </w:num>
  <w:num w:numId="14">
    <w:abstractNumId w:val="12"/>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60"/>
    <w:docVar w:name="docDep" w:val="11"/>
    <w:docVar w:name="docSprak" w:val="0"/>
  </w:docVars>
  <w:rsids>
    <w:rsidRoot w:val="00324AB8"/>
    <w:rsid w:val="000105BD"/>
    <w:rsid w:val="00011FEC"/>
    <w:rsid w:val="00013E61"/>
    <w:rsid w:val="000201CC"/>
    <w:rsid w:val="00020475"/>
    <w:rsid w:val="00021D0A"/>
    <w:rsid w:val="00022096"/>
    <w:rsid w:val="00022637"/>
    <w:rsid w:val="0002288B"/>
    <w:rsid w:val="00026EA1"/>
    <w:rsid w:val="00027582"/>
    <w:rsid w:val="00034CB8"/>
    <w:rsid w:val="00047A1F"/>
    <w:rsid w:val="000574E5"/>
    <w:rsid w:val="000647E8"/>
    <w:rsid w:val="00066813"/>
    <w:rsid w:val="000701AB"/>
    <w:rsid w:val="00075989"/>
    <w:rsid w:val="00076E6B"/>
    <w:rsid w:val="00077459"/>
    <w:rsid w:val="0008071C"/>
    <w:rsid w:val="00081149"/>
    <w:rsid w:val="000874B1"/>
    <w:rsid w:val="00087CB7"/>
    <w:rsid w:val="00091A5A"/>
    <w:rsid w:val="0009581F"/>
    <w:rsid w:val="000A7C9A"/>
    <w:rsid w:val="000B31D3"/>
    <w:rsid w:val="000C08A6"/>
    <w:rsid w:val="000C13C8"/>
    <w:rsid w:val="000C59A6"/>
    <w:rsid w:val="000D43BB"/>
    <w:rsid w:val="000E73CC"/>
    <w:rsid w:val="000F131D"/>
    <w:rsid w:val="00100E87"/>
    <w:rsid w:val="001173FC"/>
    <w:rsid w:val="00117E01"/>
    <w:rsid w:val="00126D4D"/>
    <w:rsid w:val="00130BD5"/>
    <w:rsid w:val="00136706"/>
    <w:rsid w:val="001419AC"/>
    <w:rsid w:val="00141D72"/>
    <w:rsid w:val="00147FC5"/>
    <w:rsid w:val="00150384"/>
    <w:rsid w:val="00152B94"/>
    <w:rsid w:val="00155B41"/>
    <w:rsid w:val="001567E4"/>
    <w:rsid w:val="00157631"/>
    <w:rsid w:val="00160901"/>
    <w:rsid w:val="00164917"/>
    <w:rsid w:val="00165654"/>
    <w:rsid w:val="00172A11"/>
    <w:rsid w:val="0017691C"/>
    <w:rsid w:val="00177616"/>
    <w:rsid w:val="001805B7"/>
    <w:rsid w:val="001828FF"/>
    <w:rsid w:val="00184AEF"/>
    <w:rsid w:val="00185C55"/>
    <w:rsid w:val="0019155D"/>
    <w:rsid w:val="0019502A"/>
    <w:rsid w:val="001A241A"/>
    <w:rsid w:val="001A3E60"/>
    <w:rsid w:val="001A5364"/>
    <w:rsid w:val="001A60BC"/>
    <w:rsid w:val="001C7042"/>
    <w:rsid w:val="001D2C03"/>
    <w:rsid w:val="001E5899"/>
    <w:rsid w:val="001E7A41"/>
    <w:rsid w:val="001F1C93"/>
    <w:rsid w:val="001F3A06"/>
    <w:rsid w:val="001F5675"/>
    <w:rsid w:val="00200253"/>
    <w:rsid w:val="002162A7"/>
    <w:rsid w:val="00221D0F"/>
    <w:rsid w:val="00223F02"/>
    <w:rsid w:val="0023527B"/>
    <w:rsid w:val="00236291"/>
    <w:rsid w:val="00240F3C"/>
    <w:rsid w:val="00243999"/>
    <w:rsid w:val="0024681E"/>
    <w:rsid w:val="00247076"/>
    <w:rsid w:val="002527A1"/>
    <w:rsid w:val="00255BA8"/>
    <w:rsid w:val="002578FE"/>
    <w:rsid w:val="002621A4"/>
    <w:rsid w:val="0026400B"/>
    <w:rsid w:val="0026748D"/>
    <w:rsid w:val="002770CF"/>
    <w:rsid w:val="00281258"/>
    <w:rsid w:val="002842E6"/>
    <w:rsid w:val="00290F6B"/>
    <w:rsid w:val="002921F9"/>
    <w:rsid w:val="002944FB"/>
    <w:rsid w:val="002A3D3E"/>
    <w:rsid w:val="002A5C5F"/>
    <w:rsid w:val="002A6E1A"/>
    <w:rsid w:val="002B6960"/>
    <w:rsid w:val="002C570C"/>
    <w:rsid w:val="002D2DA2"/>
    <w:rsid w:val="002D498F"/>
    <w:rsid w:val="002E3542"/>
    <w:rsid w:val="002F01CF"/>
    <w:rsid w:val="002F641E"/>
    <w:rsid w:val="003002AB"/>
    <w:rsid w:val="003016FB"/>
    <w:rsid w:val="00301FF9"/>
    <w:rsid w:val="00307DC1"/>
    <w:rsid w:val="003137AE"/>
    <w:rsid w:val="0031545A"/>
    <w:rsid w:val="00316394"/>
    <w:rsid w:val="0031747F"/>
    <w:rsid w:val="00324AB8"/>
    <w:rsid w:val="00324E24"/>
    <w:rsid w:val="00327ABE"/>
    <w:rsid w:val="00332783"/>
    <w:rsid w:val="003355C6"/>
    <w:rsid w:val="003366DB"/>
    <w:rsid w:val="00341445"/>
    <w:rsid w:val="00342ED7"/>
    <w:rsid w:val="00361CA9"/>
    <w:rsid w:val="0036583A"/>
    <w:rsid w:val="00366629"/>
    <w:rsid w:val="00367B1C"/>
    <w:rsid w:val="003821D8"/>
    <w:rsid w:val="00382BAD"/>
    <w:rsid w:val="00384311"/>
    <w:rsid w:val="00384F94"/>
    <w:rsid w:val="0038519A"/>
    <w:rsid w:val="00391E8B"/>
    <w:rsid w:val="003A04D5"/>
    <w:rsid w:val="003B0027"/>
    <w:rsid w:val="003B357F"/>
    <w:rsid w:val="003D3FA4"/>
    <w:rsid w:val="003E009E"/>
    <w:rsid w:val="003E0DEB"/>
    <w:rsid w:val="003F79F7"/>
    <w:rsid w:val="00401694"/>
    <w:rsid w:val="004144F4"/>
    <w:rsid w:val="00415F4D"/>
    <w:rsid w:val="00417E15"/>
    <w:rsid w:val="00427651"/>
    <w:rsid w:val="00436462"/>
    <w:rsid w:val="004432CE"/>
    <w:rsid w:val="00445FA8"/>
    <w:rsid w:val="00450655"/>
    <w:rsid w:val="00461B29"/>
    <w:rsid w:val="00466F7F"/>
    <w:rsid w:val="004703C9"/>
    <w:rsid w:val="0047543E"/>
    <w:rsid w:val="00475763"/>
    <w:rsid w:val="00477F80"/>
    <w:rsid w:val="00482C8C"/>
    <w:rsid w:val="0048544C"/>
    <w:rsid w:val="004A328D"/>
    <w:rsid w:val="004A425E"/>
    <w:rsid w:val="004A58B7"/>
    <w:rsid w:val="004B268C"/>
    <w:rsid w:val="004C01D1"/>
    <w:rsid w:val="004C5D43"/>
    <w:rsid w:val="004D02BC"/>
    <w:rsid w:val="004D2AC0"/>
    <w:rsid w:val="004F5DC0"/>
    <w:rsid w:val="004F7945"/>
    <w:rsid w:val="0050152B"/>
    <w:rsid w:val="00510144"/>
    <w:rsid w:val="005128FE"/>
    <w:rsid w:val="00516D60"/>
    <w:rsid w:val="005353D4"/>
    <w:rsid w:val="00543CAB"/>
    <w:rsid w:val="005450D4"/>
    <w:rsid w:val="00554833"/>
    <w:rsid w:val="00554BB1"/>
    <w:rsid w:val="00564B12"/>
    <w:rsid w:val="005706AB"/>
    <w:rsid w:val="00571DAF"/>
    <w:rsid w:val="00572993"/>
    <w:rsid w:val="00577A4B"/>
    <w:rsid w:val="0058158A"/>
    <w:rsid w:val="0058762B"/>
    <w:rsid w:val="005918C3"/>
    <w:rsid w:val="0059704F"/>
    <w:rsid w:val="0059783A"/>
    <w:rsid w:val="005A60F2"/>
    <w:rsid w:val="005A6DF9"/>
    <w:rsid w:val="005C1CE1"/>
    <w:rsid w:val="005C3B08"/>
    <w:rsid w:val="005C4CB7"/>
    <w:rsid w:val="005C644B"/>
    <w:rsid w:val="005D427B"/>
    <w:rsid w:val="005F0B5F"/>
    <w:rsid w:val="00607D4F"/>
    <w:rsid w:val="00621579"/>
    <w:rsid w:val="00622B2F"/>
    <w:rsid w:val="00622F6B"/>
    <w:rsid w:val="00626464"/>
    <w:rsid w:val="006341C0"/>
    <w:rsid w:val="00637BD1"/>
    <w:rsid w:val="00644214"/>
    <w:rsid w:val="00646BE8"/>
    <w:rsid w:val="00646DA9"/>
    <w:rsid w:val="0065024B"/>
    <w:rsid w:val="006550CD"/>
    <w:rsid w:val="00660FF6"/>
    <w:rsid w:val="006610C0"/>
    <w:rsid w:val="006620C5"/>
    <w:rsid w:val="006639F5"/>
    <w:rsid w:val="006658D6"/>
    <w:rsid w:val="00674ADB"/>
    <w:rsid w:val="00681128"/>
    <w:rsid w:val="0068217B"/>
    <w:rsid w:val="006B3E11"/>
    <w:rsid w:val="006B5225"/>
    <w:rsid w:val="006B53E8"/>
    <w:rsid w:val="006B5CEB"/>
    <w:rsid w:val="006B7B54"/>
    <w:rsid w:val="006C18DB"/>
    <w:rsid w:val="006C2B9E"/>
    <w:rsid w:val="006D0B94"/>
    <w:rsid w:val="006D5F94"/>
    <w:rsid w:val="006E4ACF"/>
    <w:rsid w:val="006E4E11"/>
    <w:rsid w:val="006F3232"/>
    <w:rsid w:val="006F71F4"/>
    <w:rsid w:val="0070577B"/>
    <w:rsid w:val="00722315"/>
    <w:rsid w:val="007242A3"/>
    <w:rsid w:val="00734ED2"/>
    <w:rsid w:val="00745F28"/>
    <w:rsid w:val="00746785"/>
    <w:rsid w:val="00755D23"/>
    <w:rsid w:val="00762089"/>
    <w:rsid w:val="0077227C"/>
    <w:rsid w:val="00776033"/>
    <w:rsid w:val="00776E97"/>
    <w:rsid w:val="00777098"/>
    <w:rsid w:val="00787DE0"/>
    <w:rsid w:val="007914C8"/>
    <w:rsid w:val="007959A4"/>
    <w:rsid w:val="007A0AC2"/>
    <w:rsid w:val="007A656D"/>
    <w:rsid w:val="007A6855"/>
    <w:rsid w:val="007A7B27"/>
    <w:rsid w:val="007B1487"/>
    <w:rsid w:val="007B3915"/>
    <w:rsid w:val="007B7CDA"/>
    <w:rsid w:val="007C0154"/>
    <w:rsid w:val="007C3A59"/>
    <w:rsid w:val="007C5D56"/>
    <w:rsid w:val="007D1E85"/>
    <w:rsid w:val="007D40A7"/>
    <w:rsid w:val="007E2A3A"/>
    <w:rsid w:val="007E5089"/>
    <w:rsid w:val="007E5F91"/>
    <w:rsid w:val="007E6DEF"/>
    <w:rsid w:val="007E753A"/>
    <w:rsid w:val="007F2543"/>
    <w:rsid w:val="007F440C"/>
    <w:rsid w:val="00803676"/>
    <w:rsid w:val="00814277"/>
    <w:rsid w:val="00815956"/>
    <w:rsid w:val="00820637"/>
    <w:rsid w:val="0082433F"/>
    <w:rsid w:val="00827DD9"/>
    <w:rsid w:val="008366DB"/>
    <w:rsid w:val="00837DCD"/>
    <w:rsid w:val="008575D8"/>
    <w:rsid w:val="0086017C"/>
    <w:rsid w:val="008672B3"/>
    <w:rsid w:val="00870821"/>
    <w:rsid w:val="0087324A"/>
    <w:rsid w:val="00874E6C"/>
    <w:rsid w:val="008908D7"/>
    <w:rsid w:val="00891B4D"/>
    <w:rsid w:val="00894B0F"/>
    <w:rsid w:val="008A16D4"/>
    <w:rsid w:val="008A1D5E"/>
    <w:rsid w:val="008A74A3"/>
    <w:rsid w:val="008C041E"/>
    <w:rsid w:val="008C29E8"/>
    <w:rsid w:val="008C77D2"/>
    <w:rsid w:val="008D3386"/>
    <w:rsid w:val="008D4742"/>
    <w:rsid w:val="008D6C3F"/>
    <w:rsid w:val="008F1F12"/>
    <w:rsid w:val="00913D4F"/>
    <w:rsid w:val="00916669"/>
    <w:rsid w:val="0092027A"/>
    <w:rsid w:val="009211FD"/>
    <w:rsid w:val="00925510"/>
    <w:rsid w:val="00925F6E"/>
    <w:rsid w:val="00955E31"/>
    <w:rsid w:val="0097601C"/>
    <w:rsid w:val="00976AB1"/>
    <w:rsid w:val="009818F9"/>
    <w:rsid w:val="00984BBA"/>
    <w:rsid w:val="009852BC"/>
    <w:rsid w:val="00986C6E"/>
    <w:rsid w:val="00987E87"/>
    <w:rsid w:val="00992E72"/>
    <w:rsid w:val="0099351A"/>
    <w:rsid w:val="00993D1F"/>
    <w:rsid w:val="009A15FD"/>
    <w:rsid w:val="009B3194"/>
    <w:rsid w:val="009B4B74"/>
    <w:rsid w:val="009B5F9F"/>
    <w:rsid w:val="009B702E"/>
    <w:rsid w:val="009C60A0"/>
    <w:rsid w:val="009C70A8"/>
    <w:rsid w:val="009E4330"/>
    <w:rsid w:val="009E6A6C"/>
    <w:rsid w:val="009E7AB6"/>
    <w:rsid w:val="009F0CBE"/>
    <w:rsid w:val="009F3EA4"/>
    <w:rsid w:val="00A0688E"/>
    <w:rsid w:val="00A06B6E"/>
    <w:rsid w:val="00A0738D"/>
    <w:rsid w:val="00A12A4B"/>
    <w:rsid w:val="00A21B91"/>
    <w:rsid w:val="00A279EC"/>
    <w:rsid w:val="00A3783A"/>
    <w:rsid w:val="00A42114"/>
    <w:rsid w:val="00A52F0E"/>
    <w:rsid w:val="00A54080"/>
    <w:rsid w:val="00A549D0"/>
    <w:rsid w:val="00A7367B"/>
    <w:rsid w:val="00A76965"/>
    <w:rsid w:val="00A77384"/>
    <w:rsid w:val="00A800BC"/>
    <w:rsid w:val="00A87FFE"/>
    <w:rsid w:val="00A91197"/>
    <w:rsid w:val="00A91C4F"/>
    <w:rsid w:val="00A92103"/>
    <w:rsid w:val="00A956FC"/>
    <w:rsid w:val="00AA5060"/>
    <w:rsid w:val="00AA693B"/>
    <w:rsid w:val="00AA7BE7"/>
    <w:rsid w:val="00AC0EB6"/>
    <w:rsid w:val="00AC29E9"/>
    <w:rsid w:val="00AD1B08"/>
    <w:rsid w:val="00AD52A9"/>
    <w:rsid w:val="00AD73B2"/>
    <w:rsid w:val="00AF17B4"/>
    <w:rsid w:val="00AF26D1"/>
    <w:rsid w:val="00B01413"/>
    <w:rsid w:val="00B04F1F"/>
    <w:rsid w:val="00B101E0"/>
    <w:rsid w:val="00B10D3D"/>
    <w:rsid w:val="00B128F2"/>
    <w:rsid w:val="00B1609F"/>
    <w:rsid w:val="00B17FC4"/>
    <w:rsid w:val="00B20A0C"/>
    <w:rsid w:val="00B3689D"/>
    <w:rsid w:val="00B3791C"/>
    <w:rsid w:val="00B5224A"/>
    <w:rsid w:val="00B60979"/>
    <w:rsid w:val="00B643D4"/>
    <w:rsid w:val="00B76AF7"/>
    <w:rsid w:val="00B92ED6"/>
    <w:rsid w:val="00B94234"/>
    <w:rsid w:val="00BA12E8"/>
    <w:rsid w:val="00BA4206"/>
    <w:rsid w:val="00BC342A"/>
    <w:rsid w:val="00BC7C08"/>
    <w:rsid w:val="00BD62E0"/>
    <w:rsid w:val="00BE347B"/>
    <w:rsid w:val="00BE4DF2"/>
    <w:rsid w:val="00BF1735"/>
    <w:rsid w:val="00BF5A9B"/>
    <w:rsid w:val="00C00742"/>
    <w:rsid w:val="00C07DBB"/>
    <w:rsid w:val="00C25003"/>
    <w:rsid w:val="00C32416"/>
    <w:rsid w:val="00C32DC6"/>
    <w:rsid w:val="00C34353"/>
    <w:rsid w:val="00C417F6"/>
    <w:rsid w:val="00C51259"/>
    <w:rsid w:val="00C51766"/>
    <w:rsid w:val="00C55F76"/>
    <w:rsid w:val="00C67DB7"/>
    <w:rsid w:val="00C72696"/>
    <w:rsid w:val="00C878D9"/>
    <w:rsid w:val="00CA6BA7"/>
    <w:rsid w:val="00CB2964"/>
    <w:rsid w:val="00CC4744"/>
    <w:rsid w:val="00CD1E2A"/>
    <w:rsid w:val="00CD4902"/>
    <w:rsid w:val="00CD4AD2"/>
    <w:rsid w:val="00CE0D00"/>
    <w:rsid w:val="00CE1C9B"/>
    <w:rsid w:val="00CE414E"/>
    <w:rsid w:val="00CE540C"/>
    <w:rsid w:val="00CF4AB6"/>
    <w:rsid w:val="00D03072"/>
    <w:rsid w:val="00D03AC1"/>
    <w:rsid w:val="00D133D7"/>
    <w:rsid w:val="00D1735A"/>
    <w:rsid w:val="00D20468"/>
    <w:rsid w:val="00D22370"/>
    <w:rsid w:val="00D25D20"/>
    <w:rsid w:val="00D3063C"/>
    <w:rsid w:val="00D31229"/>
    <w:rsid w:val="00D42DF6"/>
    <w:rsid w:val="00D517B6"/>
    <w:rsid w:val="00D54DD1"/>
    <w:rsid w:val="00D56C23"/>
    <w:rsid w:val="00D63816"/>
    <w:rsid w:val="00D77263"/>
    <w:rsid w:val="00D85A50"/>
    <w:rsid w:val="00D87E37"/>
    <w:rsid w:val="00DA1C33"/>
    <w:rsid w:val="00DA4926"/>
    <w:rsid w:val="00DB39D4"/>
    <w:rsid w:val="00DC37FA"/>
    <w:rsid w:val="00DF01F2"/>
    <w:rsid w:val="00DF0CB4"/>
    <w:rsid w:val="00DF5853"/>
    <w:rsid w:val="00DF5F72"/>
    <w:rsid w:val="00E0379B"/>
    <w:rsid w:val="00E11201"/>
    <w:rsid w:val="00E148B3"/>
    <w:rsid w:val="00E14D39"/>
    <w:rsid w:val="00E218F4"/>
    <w:rsid w:val="00E30D3B"/>
    <w:rsid w:val="00E355C7"/>
    <w:rsid w:val="00E3639E"/>
    <w:rsid w:val="00E43C33"/>
    <w:rsid w:val="00E46BE7"/>
    <w:rsid w:val="00E51F1E"/>
    <w:rsid w:val="00E70543"/>
    <w:rsid w:val="00E72202"/>
    <w:rsid w:val="00E80146"/>
    <w:rsid w:val="00E904D0"/>
    <w:rsid w:val="00E928B3"/>
    <w:rsid w:val="00E93526"/>
    <w:rsid w:val="00E9482C"/>
    <w:rsid w:val="00EA203B"/>
    <w:rsid w:val="00EB01DB"/>
    <w:rsid w:val="00EB74C3"/>
    <w:rsid w:val="00EC1853"/>
    <w:rsid w:val="00EC25F9"/>
    <w:rsid w:val="00ED583F"/>
    <w:rsid w:val="00EE0FBC"/>
    <w:rsid w:val="00EF0687"/>
    <w:rsid w:val="00EF0A62"/>
    <w:rsid w:val="00EF61A8"/>
    <w:rsid w:val="00F00182"/>
    <w:rsid w:val="00F14015"/>
    <w:rsid w:val="00F174B8"/>
    <w:rsid w:val="00F1750B"/>
    <w:rsid w:val="00F21126"/>
    <w:rsid w:val="00F278AF"/>
    <w:rsid w:val="00F31F61"/>
    <w:rsid w:val="00F325F5"/>
    <w:rsid w:val="00F336FD"/>
    <w:rsid w:val="00F43B10"/>
    <w:rsid w:val="00F60309"/>
    <w:rsid w:val="00F61229"/>
    <w:rsid w:val="00F62BE8"/>
    <w:rsid w:val="00F6492E"/>
    <w:rsid w:val="00F65900"/>
    <w:rsid w:val="00F6737E"/>
    <w:rsid w:val="00F676E2"/>
    <w:rsid w:val="00F7269C"/>
    <w:rsid w:val="00F83618"/>
    <w:rsid w:val="00F90E16"/>
    <w:rsid w:val="00F94FE4"/>
    <w:rsid w:val="00F96673"/>
    <w:rsid w:val="00F96851"/>
    <w:rsid w:val="00FA1A27"/>
    <w:rsid w:val="00FA2154"/>
    <w:rsid w:val="00FD5A80"/>
    <w:rsid w:val="00FF34E6"/>
    <w:rsid w:val="00FF679F"/>
    <w:rsid w:val="00FF7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8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8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88B"/>
    <w:rPr>
      <w:rFonts w:ascii="Tahoma" w:hAnsi="Tahoma" w:cs="Tahoma"/>
      <w:sz w:val="16"/>
      <w:szCs w:val="16"/>
      <w:lang w:eastAsia="en-US"/>
    </w:rPr>
  </w:style>
  <w:style w:type="paragraph" w:styleId="Liststycke">
    <w:name w:val="List Paragraph"/>
    <w:basedOn w:val="Normal"/>
    <w:uiPriority w:val="34"/>
    <w:qFormat/>
    <w:rsid w:val="0002288B"/>
    <w:pPr>
      <w:ind w:left="720"/>
      <w:contextualSpacing/>
    </w:pPr>
  </w:style>
  <w:style w:type="character" w:customStyle="1" w:styleId="RKnormalChar">
    <w:name w:val="RKnormal Char"/>
    <w:link w:val="RKnormal"/>
    <w:locked/>
    <w:rsid w:val="0002288B"/>
    <w:rPr>
      <w:rFonts w:ascii="OrigGarmnd BT" w:hAnsi="OrigGarmnd BT"/>
      <w:sz w:val="24"/>
      <w:lang w:eastAsia="en-US"/>
    </w:rPr>
  </w:style>
  <w:style w:type="character" w:styleId="Kommentarsreferens">
    <w:name w:val="annotation reference"/>
    <w:basedOn w:val="Standardstycketeckensnitt"/>
    <w:rsid w:val="007914C8"/>
    <w:rPr>
      <w:sz w:val="16"/>
      <w:szCs w:val="16"/>
    </w:rPr>
  </w:style>
  <w:style w:type="paragraph" w:styleId="Kommentarer">
    <w:name w:val="annotation text"/>
    <w:basedOn w:val="Normal"/>
    <w:link w:val="KommentarerChar"/>
    <w:rsid w:val="007914C8"/>
    <w:pPr>
      <w:spacing w:line="240" w:lineRule="auto"/>
    </w:pPr>
    <w:rPr>
      <w:sz w:val="20"/>
    </w:rPr>
  </w:style>
  <w:style w:type="character" w:customStyle="1" w:styleId="KommentarerChar">
    <w:name w:val="Kommentarer Char"/>
    <w:basedOn w:val="Standardstycketeckensnitt"/>
    <w:link w:val="Kommentarer"/>
    <w:rsid w:val="007914C8"/>
    <w:rPr>
      <w:rFonts w:ascii="OrigGarmnd BT" w:hAnsi="OrigGarmnd BT"/>
      <w:lang w:eastAsia="en-US"/>
    </w:rPr>
  </w:style>
  <w:style w:type="paragraph" w:styleId="Kommentarsmne">
    <w:name w:val="annotation subject"/>
    <w:basedOn w:val="Kommentarer"/>
    <w:next w:val="Kommentarer"/>
    <w:link w:val="KommentarsmneChar"/>
    <w:rsid w:val="007914C8"/>
    <w:rPr>
      <w:b/>
      <w:bCs/>
    </w:rPr>
  </w:style>
  <w:style w:type="character" w:customStyle="1" w:styleId="KommentarsmneChar">
    <w:name w:val="Kommentarsämne Char"/>
    <w:basedOn w:val="KommentarerChar"/>
    <w:link w:val="Kommentarsmne"/>
    <w:rsid w:val="007914C8"/>
    <w:rPr>
      <w:rFonts w:ascii="OrigGarmnd BT" w:hAnsi="OrigGarmnd BT"/>
      <w:b/>
      <w:bCs/>
      <w:lang w:eastAsia="en-US"/>
    </w:rPr>
  </w:style>
  <w:style w:type="character" w:customStyle="1" w:styleId="SidfotChar">
    <w:name w:val="Sidfot Char"/>
    <w:basedOn w:val="Standardstycketeckensnitt"/>
    <w:link w:val="Sidfot"/>
    <w:rsid w:val="00E93526"/>
    <w:rPr>
      <w:rFonts w:ascii="TradeGothic" w:hAnsi="TradeGothic"/>
      <w:sz w:val="12"/>
      <w:lang w:eastAsia="en-US"/>
    </w:rPr>
  </w:style>
  <w:style w:type="paragraph" w:styleId="Fotnotstext">
    <w:name w:val="footnote text"/>
    <w:basedOn w:val="Normal"/>
    <w:link w:val="FotnotstextChar"/>
    <w:rsid w:val="006B3E11"/>
    <w:pPr>
      <w:spacing w:line="240" w:lineRule="auto"/>
    </w:pPr>
    <w:rPr>
      <w:sz w:val="20"/>
    </w:rPr>
  </w:style>
  <w:style w:type="character" w:customStyle="1" w:styleId="FotnotstextChar">
    <w:name w:val="Fotnotstext Char"/>
    <w:basedOn w:val="Standardstycketeckensnitt"/>
    <w:link w:val="Fotnotstext"/>
    <w:rsid w:val="006B3E11"/>
    <w:rPr>
      <w:rFonts w:ascii="OrigGarmnd BT" w:hAnsi="OrigGarmnd BT"/>
      <w:lang w:eastAsia="en-US"/>
    </w:rPr>
  </w:style>
  <w:style w:type="character" w:styleId="Fotnotsreferens">
    <w:name w:val="footnote reference"/>
    <w:basedOn w:val="Standardstycketeckensnitt"/>
    <w:rsid w:val="006B3E11"/>
    <w:rPr>
      <w:vertAlign w:val="superscript"/>
    </w:rPr>
  </w:style>
  <w:style w:type="paragraph" w:customStyle="1" w:styleId="Default">
    <w:name w:val="Default"/>
    <w:rsid w:val="003E009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8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88B"/>
    <w:rPr>
      <w:rFonts w:ascii="Tahoma" w:hAnsi="Tahoma" w:cs="Tahoma"/>
      <w:sz w:val="16"/>
      <w:szCs w:val="16"/>
      <w:lang w:eastAsia="en-US"/>
    </w:rPr>
  </w:style>
  <w:style w:type="paragraph" w:styleId="Liststycke">
    <w:name w:val="List Paragraph"/>
    <w:basedOn w:val="Normal"/>
    <w:uiPriority w:val="34"/>
    <w:qFormat/>
    <w:rsid w:val="0002288B"/>
    <w:pPr>
      <w:ind w:left="720"/>
      <w:contextualSpacing/>
    </w:pPr>
  </w:style>
  <w:style w:type="character" w:customStyle="1" w:styleId="RKnormalChar">
    <w:name w:val="RKnormal Char"/>
    <w:link w:val="RKnormal"/>
    <w:locked/>
    <w:rsid w:val="0002288B"/>
    <w:rPr>
      <w:rFonts w:ascii="OrigGarmnd BT" w:hAnsi="OrigGarmnd BT"/>
      <w:sz w:val="24"/>
      <w:lang w:eastAsia="en-US"/>
    </w:rPr>
  </w:style>
  <w:style w:type="character" w:styleId="Kommentarsreferens">
    <w:name w:val="annotation reference"/>
    <w:basedOn w:val="Standardstycketeckensnitt"/>
    <w:rsid w:val="007914C8"/>
    <w:rPr>
      <w:sz w:val="16"/>
      <w:szCs w:val="16"/>
    </w:rPr>
  </w:style>
  <w:style w:type="paragraph" w:styleId="Kommentarer">
    <w:name w:val="annotation text"/>
    <w:basedOn w:val="Normal"/>
    <w:link w:val="KommentarerChar"/>
    <w:rsid w:val="007914C8"/>
    <w:pPr>
      <w:spacing w:line="240" w:lineRule="auto"/>
    </w:pPr>
    <w:rPr>
      <w:sz w:val="20"/>
    </w:rPr>
  </w:style>
  <w:style w:type="character" w:customStyle="1" w:styleId="KommentarerChar">
    <w:name w:val="Kommentarer Char"/>
    <w:basedOn w:val="Standardstycketeckensnitt"/>
    <w:link w:val="Kommentarer"/>
    <w:rsid w:val="007914C8"/>
    <w:rPr>
      <w:rFonts w:ascii="OrigGarmnd BT" w:hAnsi="OrigGarmnd BT"/>
      <w:lang w:eastAsia="en-US"/>
    </w:rPr>
  </w:style>
  <w:style w:type="paragraph" w:styleId="Kommentarsmne">
    <w:name w:val="annotation subject"/>
    <w:basedOn w:val="Kommentarer"/>
    <w:next w:val="Kommentarer"/>
    <w:link w:val="KommentarsmneChar"/>
    <w:rsid w:val="007914C8"/>
    <w:rPr>
      <w:b/>
      <w:bCs/>
    </w:rPr>
  </w:style>
  <w:style w:type="character" w:customStyle="1" w:styleId="KommentarsmneChar">
    <w:name w:val="Kommentarsämne Char"/>
    <w:basedOn w:val="KommentarerChar"/>
    <w:link w:val="Kommentarsmne"/>
    <w:rsid w:val="007914C8"/>
    <w:rPr>
      <w:rFonts w:ascii="OrigGarmnd BT" w:hAnsi="OrigGarmnd BT"/>
      <w:b/>
      <w:bCs/>
      <w:lang w:eastAsia="en-US"/>
    </w:rPr>
  </w:style>
  <w:style w:type="character" w:customStyle="1" w:styleId="SidfotChar">
    <w:name w:val="Sidfot Char"/>
    <w:basedOn w:val="Standardstycketeckensnitt"/>
    <w:link w:val="Sidfot"/>
    <w:rsid w:val="00E93526"/>
    <w:rPr>
      <w:rFonts w:ascii="TradeGothic" w:hAnsi="TradeGothic"/>
      <w:sz w:val="12"/>
      <w:lang w:eastAsia="en-US"/>
    </w:rPr>
  </w:style>
  <w:style w:type="paragraph" w:styleId="Fotnotstext">
    <w:name w:val="footnote text"/>
    <w:basedOn w:val="Normal"/>
    <w:link w:val="FotnotstextChar"/>
    <w:rsid w:val="006B3E11"/>
    <w:pPr>
      <w:spacing w:line="240" w:lineRule="auto"/>
    </w:pPr>
    <w:rPr>
      <w:sz w:val="20"/>
    </w:rPr>
  </w:style>
  <w:style w:type="character" w:customStyle="1" w:styleId="FotnotstextChar">
    <w:name w:val="Fotnotstext Char"/>
    <w:basedOn w:val="Standardstycketeckensnitt"/>
    <w:link w:val="Fotnotstext"/>
    <w:rsid w:val="006B3E11"/>
    <w:rPr>
      <w:rFonts w:ascii="OrigGarmnd BT" w:hAnsi="OrigGarmnd BT"/>
      <w:lang w:eastAsia="en-US"/>
    </w:rPr>
  </w:style>
  <w:style w:type="character" w:styleId="Fotnotsreferens">
    <w:name w:val="footnote reference"/>
    <w:basedOn w:val="Standardstycketeckensnitt"/>
    <w:rsid w:val="006B3E11"/>
    <w:rPr>
      <w:vertAlign w:val="superscript"/>
    </w:rPr>
  </w:style>
  <w:style w:type="paragraph" w:customStyle="1" w:styleId="Default">
    <w:name w:val="Default"/>
    <w:rsid w:val="003E00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296">
      <w:bodyDiv w:val="1"/>
      <w:marLeft w:val="0"/>
      <w:marRight w:val="0"/>
      <w:marTop w:val="0"/>
      <w:marBottom w:val="0"/>
      <w:divBdr>
        <w:top w:val="none" w:sz="0" w:space="0" w:color="auto"/>
        <w:left w:val="none" w:sz="0" w:space="0" w:color="auto"/>
        <w:bottom w:val="none" w:sz="0" w:space="0" w:color="auto"/>
        <w:right w:val="none" w:sz="0" w:space="0" w:color="auto"/>
      </w:divBdr>
    </w:div>
    <w:div w:id="128087716">
      <w:bodyDiv w:val="1"/>
      <w:marLeft w:val="0"/>
      <w:marRight w:val="0"/>
      <w:marTop w:val="0"/>
      <w:marBottom w:val="0"/>
      <w:divBdr>
        <w:top w:val="none" w:sz="0" w:space="0" w:color="auto"/>
        <w:left w:val="none" w:sz="0" w:space="0" w:color="auto"/>
        <w:bottom w:val="none" w:sz="0" w:space="0" w:color="auto"/>
        <w:right w:val="none" w:sz="0" w:space="0" w:color="auto"/>
      </w:divBdr>
    </w:div>
    <w:div w:id="292030718">
      <w:bodyDiv w:val="1"/>
      <w:marLeft w:val="0"/>
      <w:marRight w:val="0"/>
      <w:marTop w:val="0"/>
      <w:marBottom w:val="0"/>
      <w:divBdr>
        <w:top w:val="none" w:sz="0" w:space="0" w:color="auto"/>
        <w:left w:val="none" w:sz="0" w:space="0" w:color="auto"/>
        <w:bottom w:val="none" w:sz="0" w:space="0" w:color="auto"/>
        <w:right w:val="none" w:sz="0" w:space="0" w:color="auto"/>
      </w:divBdr>
    </w:div>
    <w:div w:id="303657355">
      <w:bodyDiv w:val="1"/>
      <w:marLeft w:val="0"/>
      <w:marRight w:val="0"/>
      <w:marTop w:val="0"/>
      <w:marBottom w:val="0"/>
      <w:divBdr>
        <w:top w:val="none" w:sz="0" w:space="0" w:color="auto"/>
        <w:left w:val="none" w:sz="0" w:space="0" w:color="auto"/>
        <w:bottom w:val="none" w:sz="0" w:space="0" w:color="auto"/>
        <w:right w:val="none" w:sz="0" w:space="0" w:color="auto"/>
      </w:divBdr>
    </w:div>
    <w:div w:id="373506707">
      <w:bodyDiv w:val="1"/>
      <w:marLeft w:val="0"/>
      <w:marRight w:val="0"/>
      <w:marTop w:val="0"/>
      <w:marBottom w:val="0"/>
      <w:divBdr>
        <w:top w:val="none" w:sz="0" w:space="0" w:color="auto"/>
        <w:left w:val="none" w:sz="0" w:space="0" w:color="auto"/>
        <w:bottom w:val="none" w:sz="0" w:space="0" w:color="auto"/>
        <w:right w:val="none" w:sz="0" w:space="0" w:color="auto"/>
      </w:divBdr>
    </w:div>
    <w:div w:id="434524030">
      <w:bodyDiv w:val="1"/>
      <w:marLeft w:val="0"/>
      <w:marRight w:val="0"/>
      <w:marTop w:val="0"/>
      <w:marBottom w:val="0"/>
      <w:divBdr>
        <w:top w:val="none" w:sz="0" w:space="0" w:color="auto"/>
        <w:left w:val="none" w:sz="0" w:space="0" w:color="auto"/>
        <w:bottom w:val="none" w:sz="0" w:space="0" w:color="auto"/>
        <w:right w:val="none" w:sz="0" w:space="0" w:color="auto"/>
      </w:divBdr>
    </w:div>
    <w:div w:id="448404109">
      <w:bodyDiv w:val="1"/>
      <w:marLeft w:val="0"/>
      <w:marRight w:val="0"/>
      <w:marTop w:val="0"/>
      <w:marBottom w:val="0"/>
      <w:divBdr>
        <w:top w:val="none" w:sz="0" w:space="0" w:color="auto"/>
        <w:left w:val="none" w:sz="0" w:space="0" w:color="auto"/>
        <w:bottom w:val="none" w:sz="0" w:space="0" w:color="auto"/>
        <w:right w:val="none" w:sz="0" w:space="0" w:color="auto"/>
      </w:divBdr>
    </w:div>
    <w:div w:id="489639862">
      <w:bodyDiv w:val="1"/>
      <w:marLeft w:val="0"/>
      <w:marRight w:val="0"/>
      <w:marTop w:val="0"/>
      <w:marBottom w:val="0"/>
      <w:divBdr>
        <w:top w:val="none" w:sz="0" w:space="0" w:color="auto"/>
        <w:left w:val="none" w:sz="0" w:space="0" w:color="auto"/>
        <w:bottom w:val="none" w:sz="0" w:space="0" w:color="auto"/>
        <w:right w:val="none" w:sz="0" w:space="0" w:color="auto"/>
      </w:divBdr>
    </w:div>
    <w:div w:id="623391603">
      <w:bodyDiv w:val="1"/>
      <w:marLeft w:val="0"/>
      <w:marRight w:val="0"/>
      <w:marTop w:val="0"/>
      <w:marBottom w:val="0"/>
      <w:divBdr>
        <w:top w:val="none" w:sz="0" w:space="0" w:color="auto"/>
        <w:left w:val="none" w:sz="0" w:space="0" w:color="auto"/>
        <w:bottom w:val="none" w:sz="0" w:space="0" w:color="auto"/>
        <w:right w:val="none" w:sz="0" w:space="0" w:color="auto"/>
      </w:divBdr>
    </w:div>
    <w:div w:id="713382105">
      <w:bodyDiv w:val="1"/>
      <w:marLeft w:val="0"/>
      <w:marRight w:val="0"/>
      <w:marTop w:val="0"/>
      <w:marBottom w:val="0"/>
      <w:divBdr>
        <w:top w:val="none" w:sz="0" w:space="0" w:color="auto"/>
        <w:left w:val="none" w:sz="0" w:space="0" w:color="auto"/>
        <w:bottom w:val="none" w:sz="0" w:space="0" w:color="auto"/>
        <w:right w:val="none" w:sz="0" w:space="0" w:color="auto"/>
      </w:divBdr>
    </w:div>
    <w:div w:id="785467133">
      <w:bodyDiv w:val="1"/>
      <w:marLeft w:val="0"/>
      <w:marRight w:val="0"/>
      <w:marTop w:val="0"/>
      <w:marBottom w:val="0"/>
      <w:divBdr>
        <w:top w:val="none" w:sz="0" w:space="0" w:color="auto"/>
        <w:left w:val="none" w:sz="0" w:space="0" w:color="auto"/>
        <w:bottom w:val="none" w:sz="0" w:space="0" w:color="auto"/>
        <w:right w:val="none" w:sz="0" w:space="0" w:color="auto"/>
      </w:divBdr>
    </w:div>
    <w:div w:id="827289844">
      <w:bodyDiv w:val="1"/>
      <w:marLeft w:val="0"/>
      <w:marRight w:val="0"/>
      <w:marTop w:val="0"/>
      <w:marBottom w:val="0"/>
      <w:divBdr>
        <w:top w:val="none" w:sz="0" w:space="0" w:color="auto"/>
        <w:left w:val="none" w:sz="0" w:space="0" w:color="auto"/>
        <w:bottom w:val="none" w:sz="0" w:space="0" w:color="auto"/>
        <w:right w:val="none" w:sz="0" w:space="0" w:color="auto"/>
      </w:divBdr>
    </w:div>
    <w:div w:id="848907830">
      <w:bodyDiv w:val="1"/>
      <w:marLeft w:val="0"/>
      <w:marRight w:val="0"/>
      <w:marTop w:val="0"/>
      <w:marBottom w:val="0"/>
      <w:divBdr>
        <w:top w:val="none" w:sz="0" w:space="0" w:color="auto"/>
        <w:left w:val="none" w:sz="0" w:space="0" w:color="auto"/>
        <w:bottom w:val="none" w:sz="0" w:space="0" w:color="auto"/>
        <w:right w:val="none" w:sz="0" w:space="0" w:color="auto"/>
      </w:divBdr>
    </w:div>
    <w:div w:id="916205319">
      <w:bodyDiv w:val="1"/>
      <w:marLeft w:val="0"/>
      <w:marRight w:val="0"/>
      <w:marTop w:val="0"/>
      <w:marBottom w:val="0"/>
      <w:divBdr>
        <w:top w:val="none" w:sz="0" w:space="0" w:color="auto"/>
        <w:left w:val="none" w:sz="0" w:space="0" w:color="auto"/>
        <w:bottom w:val="none" w:sz="0" w:space="0" w:color="auto"/>
        <w:right w:val="none" w:sz="0" w:space="0" w:color="auto"/>
      </w:divBdr>
    </w:div>
    <w:div w:id="1026104108">
      <w:bodyDiv w:val="1"/>
      <w:marLeft w:val="0"/>
      <w:marRight w:val="0"/>
      <w:marTop w:val="0"/>
      <w:marBottom w:val="0"/>
      <w:divBdr>
        <w:top w:val="none" w:sz="0" w:space="0" w:color="auto"/>
        <w:left w:val="none" w:sz="0" w:space="0" w:color="auto"/>
        <w:bottom w:val="none" w:sz="0" w:space="0" w:color="auto"/>
        <w:right w:val="none" w:sz="0" w:space="0" w:color="auto"/>
      </w:divBdr>
    </w:div>
    <w:div w:id="1149319775">
      <w:bodyDiv w:val="1"/>
      <w:marLeft w:val="0"/>
      <w:marRight w:val="0"/>
      <w:marTop w:val="0"/>
      <w:marBottom w:val="0"/>
      <w:divBdr>
        <w:top w:val="none" w:sz="0" w:space="0" w:color="auto"/>
        <w:left w:val="none" w:sz="0" w:space="0" w:color="auto"/>
        <w:bottom w:val="none" w:sz="0" w:space="0" w:color="auto"/>
        <w:right w:val="none" w:sz="0" w:space="0" w:color="auto"/>
      </w:divBdr>
    </w:div>
    <w:div w:id="1164390581">
      <w:bodyDiv w:val="1"/>
      <w:marLeft w:val="0"/>
      <w:marRight w:val="0"/>
      <w:marTop w:val="0"/>
      <w:marBottom w:val="0"/>
      <w:divBdr>
        <w:top w:val="none" w:sz="0" w:space="0" w:color="auto"/>
        <w:left w:val="none" w:sz="0" w:space="0" w:color="auto"/>
        <w:bottom w:val="none" w:sz="0" w:space="0" w:color="auto"/>
        <w:right w:val="none" w:sz="0" w:space="0" w:color="auto"/>
      </w:divBdr>
    </w:div>
    <w:div w:id="1294674294">
      <w:bodyDiv w:val="1"/>
      <w:marLeft w:val="0"/>
      <w:marRight w:val="0"/>
      <w:marTop w:val="0"/>
      <w:marBottom w:val="0"/>
      <w:divBdr>
        <w:top w:val="none" w:sz="0" w:space="0" w:color="auto"/>
        <w:left w:val="none" w:sz="0" w:space="0" w:color="auto"/>
        <w:bottom w:val="none" w:sz="0" w:space="0" w:color="auto"/>
        <w:right w:val="none" w:sz="0" w:space="0" w:color="auto"/>
      </w:divBdr>
    </w:div>
    <w:div w:id="1558668437">
      <w:bodyDiv w:val="1"/>
      <w:marLeft w:val="0"/>
      <w:marRight w:val="0"/>
      <w:marTop w:val="0"/>
      <w:marBottom w:val="0"/>
      <w:divBdr>
        <w:top w:val="none" w:sz="0" w:space="0" w:color="auto"/>
        <w:left w:val="none" w:sz="0" w:space="0" w:color="auto"/>
        <w:bottom w:val="none" w:sz="0" w:space="0" w:color="auto"/>
        <w:right w:val="none" w:sz="0" w:space="0" w:color="auto"/>
      </w:divBdr>
    </w:div>
    <w:div w:id="1601986440">
      <w:bodyDiv w:val="1"/>
      <w:marLeft w:val="0"/>
      <w:marRight w:val="0"/>
      <w:marTop w:val="0"/>
      <w:marBottom w:val="0"/>
      <w:divBdr>
        <w:top w:val="none" w:sz="0" w:space="0" w:color="auto"/>
        <w:left w:val="none" w:sz="0" w:space="0" w:color="auto"/>
        <w:bottom w:val="none" w:sz="0" w:space="0" w:color="auto"/>
        <w:right w:val="none" w:sz="0" w:space="0" w:color="auto"/>
      </w:divBdr>
    </w:div>
    <w:div w:id="1635793618">
      <w:bodyDiv w:val="1"/>
      <w:marLeft w:val="0"/>
      <w:marRight w:val="0"/>
      <w:marTop w:val="0"/>
      <w:marBottom w:val="0"/>
      <w:divBdr>
        <w:top w:val="none" w:sz="0" w:space="0" w:color="auto"/>
        <w:left w:val="none" w:sz="0" w:space="0" w:color="auto"/>
        <w:bottom w:val="none" w:sz="0" w:space="0" w:color="auto"/>
        <w:right w:val="none" w:sz="0" w:space="0" w:color="auto"/>
      </w:divBdr>
    </w:div>
    <w:div w:id="1649899816">
      <w:bodyDiv w:val="1"/>
      <w:marLeft w:val="0"/>
      <w:marRight w:val="0"/>
      <w:marTop w:val="0"/>
      <w:marBottom w:val="0"/>
      <w:divBdr>
        <w:top w:val="none" w:sz="0" w:space="0" w:color="auto"/>
        <w:left w:val="none" w:sz="0" w:space="0" w:color="auto"/>
        <w:bottom w:val="none" w:sz="0" w:space="0" w:color="auto"/>
        <w:right w:val="none" w:sz="0" w:space="0" w:color="auto"/>
      </w:divBdr>
    </w:div>
    <w:div w:id="1679498134">
      <w:bodyDiv w:val="1"/>
      <w:marLeft w:val="0"/>
      <w:marRight w:val="0"/>
      <w:marTop w:val="0"/>
      <w:marBottom w:val="0"/>
      <w:divBdr>
        <w:top w:val="none" w:sz="0" w:space="0" w:color="auto"/>
        <w:left w:val="none" w:sz="0" w:space="0" w:color="auto"/>
        <w:bottom w:val="none" w:sz="0" w:space="0" w:color="auto"/>
        <w:right w:val="none" w:sz="0" w:space="0" w:color="auto"/>
      </w:divBdr>
    </w:div>
    <w:div w:id="20068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9a02b82-0149-4869-ba24-42fe85dbfa9a">CQDMZ4KVUQXP-7-21430</_dlc_DocId>
    <_dlc_DocIdUrl xmlns="19a02b82-0149-4869-ba24-42fe85dbfa9a">
      <Url>http://rkdhs-m/enhet/Is/_layouts/DocIdRedir.aspx?ID=CQDMZ4KVUQXP-7-21430</Url>
      <Description>CQDMZ4KVUQXP-7-21430</Description>
    </_dlc_DocIdUrl>
    <Diarienummer xmlns="19a02b82-0149-4869-ba24-42fe85dbfa9a" xsi:nil="true"/>
    <c9cd366cc722410295b9eacffbd73909 xmlns="19a02b82-0149-4869-ba24-42fe85dbfa9a">
      <Terms xmlns="http://schemas.microsoft.com/office/infopath/2007/PartnerControls"/>
    </c9cd366cc722410295b9eacffbd73909>
    <TaxCatchAll xmlns="19a02b82-0149-4869-ba24-42fe85dbfa9a"/>
    <Nyckelord xmlns="19a02b82-0149-4869-ba24-42fe85dbfa9a" xsi:nil="true"/>
    <k46d94c0acf84ab9a79866a9d8b1905f xmlns="19a02b82-0149-4869-ba24-42fe85dbfa9a">
      <Terms xmlns="http://schemas.microsoft.com/office/infopath/2007/PartnerControls"/>
    </k46d94c0acf84ab9a79866a9d8b1905f>
    <RKOrdnaClass xmlns="d7f5250a-df8d-4ed2-8468-9bb69e679191" xsi:nil="true"/>
    <Sekretess_x0020_m.m. xmlns="19a02b82-0149-4869-ba24-42fe85dbfa9a" xsi:nil="true"/>
    <RKOrdnaCheckInComment xmlns="d7f5250a-df8d-4ed2-8468-9bb69e679191"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ExcelDokument" ma:contentTypeID="0x01010053E1D612BA3F4E21AA250ECD751942B3001FE4AE7A789B4F8C9C02BEDEBE65BB7D0072314C904490604DA256003892267FA3" ma:contentTypeVersion="13" ma:contentTypeDescription="Skapa ett nytt dokument." ma:contentTypeScope="" ma:versionID="24796f4453d5b9f4154b4e71399a6a70">
  <xsd:schema xmlns:xsd="http://www.w3.org/2001/XMLSchema" xmlns:xs="http://www.w3.org/2001/XMLSchema" xmlns:p="http://schemas.microsoft.com/office/2006/metadata/properties" xmlns:ns2="19a02b82-0149-4869-ba24-42fe85dbfa9a" xmlns:ns3="d7f5250a-df8d-4ed2-8468-9bb69e679191" targetNamespace="http://schemas.microsoft.com/office/2006/metadata/properties" ma:root="true" ma:fieldsID="092e3f7c09dfe79f521794754bf288eb" ns2:_="" ns3:_="">
    <xsd:import namespace="19a02b82-0149-4869-ba24-42fe85dbfa9a"/>
    <xsd:import namespace="d7f5250a-df8d-4ed2-8468-9bb69e6791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2b82-0149-4869-ba24-42fe85dbfa9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hidden="true" ma:list="{9b565ec7-34e1-450b-a0b8-553d756d5be5}" ma:internalName="TaxCatchAll" ma:showField="CatchAllData"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hidden="true" ma:list="{9b565ec7-34e1-450b-a0b8-553d756d5be5}" ma:internalName="TaxCatchAllLabel" ma:readOnly="true" ma:showField="CatchAllDataLabel"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5250a-df8d-4ed2-8468-9bb69e6791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757A-4CF7-4DA5-9A1B-EB49F5CFB901}">
  <ds:schemaRefs>
    <ds:schemaRef ds:uri="http://schemas.microsoft.com/office/2006/metadata/customXsn"/>
  </ds:schemaRefs>
</ds:datastoreItem>
</file>

<file path=customXml/itemProps2.xml><?xml version="1.0" encoding="utf-8"?>
<ds:datastoreItem xmlns:ds="http://schemas.openxmlformats.org/officeDocument/2006/customXml" ds:itemID="{EFCBA00F-4141-4A9E-B050-8717EF9609EA}">
  <ds:schemaRefs>
    <ds:schemaRef ds:uri="http://schemas.microsoft.com/sharepoint/events"/>
  </ds:schemaRefs>
</ds:datastoreItem>
</file>

<file path=customXml/itemProps3.xml><?xml version="1.0" encoding="utf-8"?>
<ds:datastoreItem xmlns:ds="http://schemas.openxmlformats.org/officeDocument/2006/customXml" ds:itemID="{1C3A2F9E-7A4F-4B39-8278-8E7B047C1977}">
  <ds:schemaRefs>
    <ds:schemaRef ds:uri="http://schemas.microsoft.com/office/infopath/2007/PartnerControls"/>
    <ds:schemaRef ds:uri="http://www.w3.org/XML/1998/namespace"/>
    <ds:schemaRef ds:uri="http://schemas.microsoft.com/office/2006/documentManagement/types"/>
    <ds:schemaRef ds:uri="d7f5250a-df8d-4ed2-8468-9bb69e679191"/>
    <ds:schemaRef ds:uri="http://purl.org/dc/elements/1.1/"/>
    <ds:schemaRef ds:uri="http://purl.org/dc/dcmitype/"/>
    <ds:schemaRef ds:uri="19a02b82-0149-4869-ba24-42fe85dbfa9a"/>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8CDD985-8C9A-4A51-8D6E-61FE0BFCA9DF}">
  <ds:schemaRefs>
    <ds:schemaRef ds:uri="http://schemas.microsoft.com/sharepoint/v3/contenttype/forms/url"/>
  </ds:schemaRefs>
</ds:datastoreItem>
</file>

<file path=customXml/itemProps5.xml><?xml version="1.0" encoding="utf-8"?>
<ds:datastoreItem xmlns:ds="http://schemas.openxmlformats.org/officeDocument/2006/customXml" ds:itemID="{E5A48D09-3570-4738-A264-5C9FD3086E6B}">
  <ds:schemaRefs>
    <ds:schemaRef ds:uri="http://schemas.microsoft.com/sharepoint/v3/contenttype/forms"/>
  </ds:schemaRefs>
</ds:datastoreItem>
</file>

<file path=customXml/itemProps6.xml><?xml version="1.0" encoding="utf-8"?>
<ds:datastoreItem xmlns:ds="http://schemas.openxmlformats.org/officeDocument/2006/customXml" ds:itemID="{05AD9625-AD4B-4F58-9F63-871E1021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2b82-0149-4869-ba24-42fe85dbfa9a"/>
    <ds:schemaRef ds:uri="d7f5250a-df8d-4ed2-8468-9bb69e679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85F803-6117-4BFE-A076-F08239D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2329</Words>
  <Characters>15342</Characters>
  <Application>Microsoft Office Word</Application>
  <DocSecurity>0</DocSecurity>
  <Lines>127</Lines>
  <Paragraphs>35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van der Meijden</dc:creator>
  <cp:lastModifiedBy>Lena Herder</cp:lastModifiedBy>
  <cp:revision>6</cp:revision>
  <cp:lastPrinted>2016-03-08T10:46:00Z</cp:lastPrinted>
  <dcterms:created xsi:type="dcterms:W3CDTF">2016-10-24T13:25:00Z</dcterms:created>
  <dcterms:modified xsi:type="dcterms:W3CDTF">2016-10-24T13:27:00Z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_dlc_DocIdItemGuid">
    <vt:lpwstr>aff666e5-d9af-4afd-af76-965f0afa92db</vt:lpwstr>
  </property>
  <property fmtid="{D5CDD505-2E9C-101B-9397-08002B2CF9AE}" pid="6" name="ContentTypeId">
    <vt:lpwstr>0x01010053E1D612BA3F4E21AA250ECD751942B3001FE4AE7A789B4F8C9C02BEDEBE65BB7D0072314C904490604DA256003892267FA3</vt:lpwstr>
  </property>
  <property fmtid="{D5CDD505-2E9C-101B-9397-08002B2CF9AE}" pid="7" name="Departementsenhet">
    <vt:lpwstr/>
  </property>
  <property fmtid="{D5CDD505-2E9C-101B-9397-08002B2CF9AE}" pid="8" name="Aktivitetskategori">
    <vt:lpwstr/>
  </property>
  <property fmtid="{D5CDD505-2E9C-101B-9397-08002B2CF9AE}" pid="9" name="RKDepartementsenhet">
    <vt:lpwstr/>
  </property>
  <property fmtid="{D5CDD505-2E9C-101B-9397-08002B2CF9AE}" pid="10" name="RKAktivitetskategori">
    <vt:lpwstr/>
  </property>
</Properties>
</file>