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2092B">
        <w:tblPrEx>
          <w:tblCellMar>
            <w:top w:w="0" w:type="dxa"/>
            <w:bottom w:w="0" w:type="dxa"/>
          </w:tblCellMar>
        </w:tblPrEx>
        <w:trPr>
          <w:cantSplit/>
          <w:trHeight w:val="1720"/>
        </w:trPr>
        <w:tc>
          <w:tcPr>
            <w:tcW w:w="6024" w:type="dxa"/>
            <w:gridSpan w:val="2"/>
          </w:tcPr>
          <w:p w:rsidR="005F425D" w:rsidRPr="0082092B" w:rsidRDefault="005F425D">
            <w:pPr>
              <w:pStyle w:val="HuvudRubrik"/>
            </w:pPr>
            <w:r w:rsidRPr="0082092B">
              <w:t>Finansutskottets yttrande</w:t>
            </w:r>
          </w:p>
          <w:p w:rsidR="005F425D" w:rsidRPr="0082092B" w:rsidRDefault="005F425D">
            <w:pPr>
              <w:pStyle w:val="HuvudRubrikRad2"/>
            </w:pPr>
            <w:bookmarkStart w:id="0" w:name="BetänkandeNr"/>
            <w:bookmarkEnd w:id="0"/>
            <w:r w:rsidRPr="0082092B">
              <w:t>2001/02:FiU7y</w:t>
            </w:r>
          </w:p>
        </w:tc>
        <w:tc>
          <w:tcPr>
            <w:tcW w:w="1418" w:type="dxa"/>
            <w:tcBorders>
              <w:bottom w:val="nil"/>
            </w:tcBorders>
          </w:tcPr>
          <w:p w:rsidR="005F425D" w:rsidRPr="0082092B" w:rsidRDefault="0082092B">
            <w:pPr>
              <w:spacing w:line="230" w:lineRule="auto"/>
              <w:jc w:val="center"/>
            </w:pPr>
            <w:r w:rsidRPr="0082092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F425D" w:rsidRPr="0082092B" w:rsidRDefault="005F425D">
            <w:pPr>
              <w:pStyle w:val="Normaltindrag"/>
              <w:jc w:val="center"/>
            </w:pPr>
          </w:p>
          <w:p w:rsidR="005F425D" w:rsidRPr="0082092B" w:rsidRDefault="005F425D">
            <w:pPr>
              <w:pStyle w:val="StatusSida1"/>
            </w:pPr>
          </w:p>
          <w:p w:rsidR="005F425D" w:rsidRPr="0082092B" w:rsidRDefault="005F425D">
            <w:pPr>
              <w:pStyle w:val="UtskriftsdatumSida1"/>
              <w:framePr w:wrap="around"/>
            </w:pPr>
          </w:p>
        </w:tc>
      </w:tr>
      <w:tr w:rsidR="00000000" w:rsidRPr="0082092B">
        <w:tblPrEx>
          <w:tblCellMar>
            <w:top w:w="0" w:type="dxa"/>
            <w:bottom w:w="0" w:type="dxa"/>
          </w:tblCellMar>
        </w:tblPrEx>
        <w:trPr>
          <w:cantSplit/>
        </w:trPr>
        <w:tc>
          <w:tcPr>
            <w:tcW w:w="6024" w:type="dxa"/>
            <w:gridSpan w:val="2"/>
            <w:tcBorders>
              <w:bottom w:val="single" w:sz="4" w:space="0" w:color="auto"/>
            </w:tcBorders>
          </w:tcPr>
          <w:p w:rsidR="005F425D" w:rsidRPr="0082092B" w:rsidRDefault="005F425D">
            <w:pPr>
              <w:pStyle w:val="DokumentRubrik"/>
              <w:rPr>
                <w:noProof w:val="0"/>
              </w:rPr>
            </w:pPr>
            <w:bookmarkStart w:id="1" w:name="Huvudrubrik"/>
            <w:bookmarkEnd w:id="1"/>
            <w:r w:rsidRPr="0082092B">
              <w:rPr>
                <w:noProof w:val="0"/>
              </w:rPr>
              <w:t>Verksamheten inom EU 2001 samt det svenska ordförandeskapet första halvåret 2001</w:t>
            </w:r>
          </w:p>
          <w:p w:rsidR="005F425D" w:rsidRPr="0082092B" w:rsidRDefault="005F425D">
            <w:pPr>
              <w:pStyle w:val="DokumentRubrik"/>
              <w:rPr>
                <w:noProof w:val="0"/>
                <w:sz w:val="28"/>
              </w:rPr>
            </w:pPr>
            <w:r w:rsidRPr="0082092B">
              <w:rPr>
                <w:noProof w:val="0"/>
                <w:sz w:val="28"/>
              </w:rPr>
              <w:t>(skr. 2001/02:160 och 2001/02:105)</w:t>
            </w:r>
          </w:p>
        </w:tc>
        <w:tc>
          <w:tcPr>
            <w:tcW w:w="1418" w:type="dxa"/>
            <w:tcBorders>
              <w:bottom w:val="nil"/>
            </w:tcBorders>
          </w:tcPr>
          <w:p w:rsidR="005F425D" w:rsidRPr="0082092B" w:rsidRDefault="005F425D"/>
        </w:tc>
      </w:tr>
      <w:tr w:rsidR="00000000" w:rsidRPr="0082092B">
        <w:tblPrEx>
          <w:tblCellMar>
            <w:top w:w="0" w:type="dxa"/>
            <w:bottom w:w="0" w:type="dxa"/>
          </w:tblCellMar>
        </w:tblPrEx>
        <w:trPr>
          <w:cantSplit/>
          <w:trHeight w:hRule="exact" w:val="360"/>
        </w:trPr>
        <w:tc>
          <w:tcPr>
            <w:tcW w:w="3012" w:type="dxa"/>
          </w:tcPr>
          <w:p w:rsidR="005F425D" w:rsidRPr="0082092B" w:rsidRDefault="005F425D"/>
        </w:tc>
        <w:tc>
          <w:tcPr>
            <w:tcW w:w="3012" w:type="dxa"/>
          </w:tcPr>
          <w:p w:rsidR="005F425D" w:rsidRPr="0082092B" w:rsidRDefault="005F425D"/>
        </w:tc>
        <w:tc>
          <w:tcPr>
            <w:tcW w:w="1418" w:type="dxa"/>
          </w:tcPr>
          <w:p w:rsidR="005F425D" w:rsidRPr="0082092B" w:rsidRDefault="005F425D"/>
        </w:tc>
      </w:tr>
    </w:tbl>
    <w:p w:rsidR="005F425D" w:rsidRPr="0082092B" w:rsidRDefault="005F425D">
      <w:pPr>
        <w:pStyle w:val="Rubrik1"/>
        <w:spacing w:after="0"/>
        <w:rPr>
          <w:noProof w:val="0"/>
          <w:sz w:val="6"/>
        </w:rPr>
      </w:pPr>
    </w:p>
    <w:p w:rsidR="005F425D" w:rsidRPr="0082092B" w:rsidRDefault="005F425D">
      <w:pPr>
        <w:pStyle w:val="R1"/>
        <w:outlineLvl w:val="0"/>
      </w:pPr>
      <w:r w:rsidRPr="0082092B">
        <w:t>Till utrikesutskottet</w:t>
      </w:r>
    </w:p>
    <w:p w:rsidR="005F425D" w:rsidRPr="0082092B" w:rsidRDefault="005F425D">
      <w:bookmarkStart w:id="2" w:name="TextStart"/>
      <w:bookmarkEnd w:id="2"/>
      <w:r w:rsidRPr="0082092B">
        <w:t xml:space="preserve">Utrikesutskottet har den 9 april 2002 beslutat att bereda bl.a. finansutskottet tillfälle att yttra sig över regeringens skrivelser om verksamheten inom EU 2001 (skr. 2001/02:160) samt det svenska ordförandeskapet första halvåret 2001 (skr. 2001/02:105) jämte motioner. </w:t>
      </w:r>
    </w:p>
    <w:p w:rsidR="005F425D" w:rsidRPr="0082092B" w:rsidRDefault="005F425D">
      <w:pPr>
        <w:pStyle w:val="Normaltindrag"/>
        <w:ind w:right="-1"/>
        <w:rPr>
          <w:snapToGrid w:val="0"/>
          <w:lang w:eastAsia="sv-SE"/>
        </w:rPr>
      </w:pPr>
      <w:r w:rsidRPr="0082092B">
        <w:t xml:space="preserve">Finansutskottet yttrar sig över en motion (v) från allmänna motionstiden 2000/01 om </w:t>
      </w:r>
      <w:r w:rsidRPr="0082092B">
        <w:rPr>
          <w:snapToGrid w:val="0"/>
          <w:lang w:eastAsia="sv-SE"/>
        </w:rPr>
        <w:t>initiativ för att se över relationerna mellan EMU-medlemmar och icke-EMU-medlemmar i EU. Vidare yttrar sig utskottet över tre motioner från allmänna motionstiden 2001/02; om EU:s budget (m), om gröna räkenskaper och gröna nyckeltal (mp) samt om Europeiska centralbankens ställning, Ma</w:t>
      </w:r>
      <w:r w:rsidRPr="0082092B">
        <w:rPr>
          <w:snapToGrid w:val="0"/>
          <w:lang w:eastAsia="sv-SE"/>
        </w:rPr>
        <w:t>a</w:t>
      </w:r>
      <w:r w:rsidRPr="0082092B">
        <w:rPr>
          <w:snapToGrid w:val="0"/>
          <w:lang w:eastAsia="sv-SE"/>
        </w:rPr>
        <w:t>strich</w:t>
      </w:r>
      <w:r w:rsidRPr="0082092B">
        <w:rPr>
          <w:snapToGrid w:val="0"/>
          <w:lang w:eastAsia="sv-SE"/>
        </w:rPr>
        <w:t>t</w:t>
      </w:r>
      <w:r w:rsidRPr="0082092B">
        <w:rPr>
          <w:snapToGrid w:val="0"/>
          <w:lang w:eastAsia="sv-SE"/>
        </w:rPr>
        <w:t>fördraget och Sveriges inflytande i EU (mp).</w:t>
      </w:r>
    </w:p>
    <w:p w:rsidR="005F425D" w:rsidRPr="0082092B" w:rsidRDefault="005F425D">
      <w:pPr>
        <w:pStyle w:val="Normaltindrag"/>
        <w:ind w:right="-1"/>
      </w:pPr>
      <w:r w:rsidRPr="0082092B">
        <w:rPr>
          <w:snapToGrid w:val="0"/>
          <w:lang w:eastAsia="sv-SE"/>
        </w:rPr>
        <w:t>Utskottet redovisar vad som sker på de olika områdena som berörs i m</w:t>
      </w:r>
      <w:r w:rsidRPr="0082092B">
        <w:rPr>
          <w:snapToGrid w:val="0"/>
          <w:lang w:eastAsia="sv-SE"/>
        </w:rPr>
        <w:t>o</w:t>
      </w:r>
      <w:r w:rsidRPr="0082092B">
        <w:rPr>
          <w:snapToGrid w:val="0"/>
          <w:lang w:eastAsia="sv-SE"/>
        </w:rPr>
        <w:t>tionerna och finner inte någon åtgärd påkallad från riksdagens sida. Till yt</w:t>
      </w:r>
      <w:r w:rsidRPr="0082092B">
        <w:rPr>
          <w:snapToGrid w:val="0"/>
          <w:lang w:eastAsia="sv-SE"/>
        </w:rPr>
        <w:t>t</w:t>
      </w:r>
      <w:r w:rsidRPr="0082092B">
        <w:rPr>
          <w:snapToGrid w:val="0"/>
          <w:lang w:eastAsia="sv-SE"/>
        </w:rPr>
        <w:t>randet har fogats 7 avvikande meningar (m, v, fp, mp) och 3 särskilda yttra</w:t>
      </w:r>
      <w:r w:rsidRPr="0082092B">
        <w:rPr>
          <w:snapToGrid w:val="0"/>
          <w:lang w:eastAsia="sv-SE"/>
        </w:rPr>
        <w:t>n</w:t>
      </w:r>
      <w:r w:rsidRPr="0082092B">
        <w:rPr>
          <w:snapToGrid w:val="0"/>
          <w:lang w:eastAsia="sv-SE"/>
        </w:rPr>
        <w:t>den (v, kd, c, fp).</w:t>
      </w:r>
    </w:p>
    <w:p w:rsidR="005F425D" w:rsidRPr="0082092B" w:rsidRDefault="005F425D">
      <w:pPr>
        <w:pStyle w:val="Rubrik2"/>
        <w:rPr>
          <w:snapToGrid w:val="0"/>
          <w:lang w:eastAsia="sv-SE"/>
        </w:rPr>
      </w:pPr>
      <w:bookmarkStart w:id="3" w:name="_Toc4833584"/>
      <w:bookmarkStart w:id="4" w:name="_Toc4916165"/>
      <w:bookmarkStart w:id="5" w:name="_Toc6281772"/>
      <w:bookmarkStart w:id="6" w:name="_Toc6911437"/>
      <w:bookmarkStart w:id="7" w:name="_Toc7596367"/>
      <w:r w:rsidRPr="0082092B">
        <w:rPr>
          <w:snapToGrid w:val="0"/>
          <w:lang w:eastAsia="sv-SE"/>
        </w:rPr>
        <w:t>Regeringens skrivelser</w:t>
      </w:r>
      <w:bookmarkEnd w:id="3"/>
      <w:bookmarkEnd w:id="4"/>
      <w:bookmarkEnd w:id="5"/>
      <w:bookmarkEnd w:id="6"/>
      <w:bookmarkEnd w:id="7"/>
    </w:p>
    <w:p w:rsidR="005F425D" w:rsidRPr="0082092B" w:rsidRDefault="005F425D">
      <w:r w:rsidRPr="0082092B">
        <w:t>Skrivelse 2001/02:105 innehåller en kortfattad redogörelse för det svenska ordförandeskapet i Europeiska unionens ministerråd 2001. I skrivelsen b</w:t>
      </w:r>
      <w:r w:rsidRPr="0082092B">
        <w:t>e</w:t>
      </w:r>
      <w:r w:rsidRPr="0082092B">
        <w:t>skrivs hur ordförandeskapet har förberetts inom Regeringskansliet, hur det genomförts, vilka resultat som uppnåtts samt kostnaderna för ordförandesk</w:t>
      </w:r>
      <w:r w:rsidRPr="0082092B">
        <w:t>a</w:t>
      </w:r>
      <w:r w:rsidRPr="0082092B">
        <w:t xml:space="preserve">pet. Två avsnitt faller inom finansutskottets område. I avsnitt 5.2 </w:t>
      </w:r>
      <w:r w:rsidRPr="0082092B">
        <w:rPr>
          <w:i/>
        </w:rPr>
        <w:t>Full sysse</w:t>
      </w:r>
      <w:r w:rsidRPr="0082092B">
        <w:rPr>
          <w:i/>
        </w:rPr>
        <w:t>l</w:t>
      </w:r>
      <w:r w:rsidRPr="0082092B">
        <w:rPr>
          <w:i/>
        </w:rPr>
        <w:t>sättning och hög tillväxt i en konkurrenskraftig union</w:t>
      </w:r>
      <w:r w:rsidRPr="0082092B">
        <w:t xml:space="preserve"> behandlas bl.a. Eur</w:t>
      </w:r>
      <w:r w:rsidRPr="0082092B">
        <w:t>o</w:t>
      </w:r>
      <w:r w:rsidRPr="0082092B">
        <w:t xml:space="preserve">peiska rådets möte i Stockholm i mars 2001. I avsnitt 5.7.4 </w:t>
      </w:r>
      <w:r w:rsidRPr="0082092B">
        <w:rPr>
          <w:i/>
        </w:rPr>
        <w:t>Effektiv använ</w:t>
      </w:r>
      <w:r w:rsidRPr="0082092B">
        <w:rPr>
          <w:i/>
        </w:rPr>
        <w:t>d</w:t>
      </w:r>
      <w:r w:rsidRPr="0082092B">
        <w:rPr>
          <w:i/>
        </w:rPr>
        <w:t xml:space="preserve">ning av </w:t>
      </w:r>
      <w:r w:rsidRPr="0082092B">
        <w:rPr>
          <w:i/>
        </w:rPr>
        <w:lastRenderedPageBreak/>
        <w:t>EU:s budgetmedel</w:t>
      </w:r>
      <w:r w:rsidRPr="0082092B">
        <w:t xml:space="preserve"> redovisas arbetet med att tillförsäkra EU en effe</w:t>
      </w:r>
      <w:r w:rsidRPr="0082092B">
        <w:t>k</w:t>
      </w:r>
      <w:r w:rsidRPr="0082092B">
        <w:t>tivare användning av budgetmedlen.</w:t>
      </w:r>
    </w:p>
    <w:p w:rsidR="005F425D" w:rsidRPr="0082092B" w:rsidRDefault="005F425D">
      <w:pPr>
        <w:pStyle w:val="Normaltindrag"/>
        <w:ind w:right="-1"/>
      </w:pPr>
      <w:r w:rsidRPr="0082092B">
        <w:t>I skrivelse 2001/02:160</w:t>
      </w:r>
      <w:r w:rsidRPr="0082092B">
        <w:t xml:space="preserve"> redogör regeringen för verksamheten i EU under 2001. Skrivelsen behandlar EU:s övergripande utveckling, det ekonomiska och sociala samarbetet, unionens förbindelser med omvärlden, polissamarb</w:t>
      </w:r>
      <w:r w:rsidRPr="0082092B">
        <w:t>e</w:t>
      </w:r>
      <w:r w:rsidRPr="0082092B">
        <w:t xml:space="preserve">te, straffrättsligt samarbete, tullsamarbete samt unionens institutioner. </w:t>
      </w:r>
    </w:p>
    <w:p w:rsidR="005F425D" w:rsidRPr="0082092B" w:rsidRDefault="005F425D">
      <w:r w:rsidRPr="0082092B">
        <w:t>Följande avsnitt i skrivelsen om verksamheten i EU under 2001 berör finan</w:t>
      </w:r>
      <w:r w:rsidRPr="0082092B">
        <w:t>s</w:t>
      </w:r>
      <w:r w:rsidRPr="0082092B">
        <w:t>utskottets bere</w:t>
      </w:r>
      <w:r w:rsidRPr="0082092B">
        <w:t>d</w:t>
      </w:r>
      <w:r w:rsidRPr="0082092B">
        <w:t>ningsområde:</w:t>
      </w:r>
    </w:p>
    <w:p w:rsidR="005F425D" w:rsidRPr="0082092B" w:rsidRDefault="005F425D">
      <w:pPr>
        <w:outlineLvl w:val="0"/>
      </w:pPr>
      <w:r w:rsidRPr="0082092B">
        <w:t>3 EU:s utvidgning, i vad avser</w:t>
      </w:r>
    </w:p>
    <w:p w:rsidR="005F425D" w:rsidRPr="0082092B" w:rsidRDefault="005F425D">
      <w:pPr>
        <w:pStyle w:val="Normaltindrag"/>
        <w:ind w:right="-1" w:firstLine="426"/>
      </w:pPr>
      <w:r w:rsidRPr="0082092B">
        <w:t>3.1.2 Förmedlemskapsstrategin: Europaavtalen och de finansiella i</w:t>
      </w:r>
      <w:r w:rsidRPr="0082092B">
        <w:t>n</w:t>
      </w:r>
      <w:r w:rsidRPr="0082092B">
        <w:t>strumenten (s. 33 f.)</w:t>
      </w:r>
    </w:p>
    <w:p w:rsidR="005F425D" w:rsidRPr="0082092B" w:rsidRDefault="005F425D">
      <w:pPr>
        <w:pStyle w:val="Normaltindrag"/>
        <w:ind w:right="-1" w:firstLine="426"/>
      </w:pPr>
      <w:r w:rsidRPr="0082092B">
        <w:t>3.1.3 Den ekonomisk-politiska dialogen med kandida</w:t>
      </w:r>
      <w:r w:rsidRPr="0082092B">
        <w:t>t</w:t>
      </w:r>
      <w:r w:rsidRPr="0082092B">
        <w:t>länderna (s. 35)</w:t>
      </w:r>
    </w:p>
    <w:p w:rsidR="005F425D" w:rsidRPr="0082092B" w:rsidRDefault="005F425D">
      <w:r w:rsidRPr="0082092B">
        <w:t>4 Den ekonomiska och monetära unionen – EMU (s. 35 f.)</w:t>
      </w:r>
    </w:p>
    <w:p w:rsidR="005F425D" w:rsidRPr="0082092B" w:rsidRDefault="005F425D">
      <w:r w:rsidRPr="0082092B">
        <w:t>7 Tillväxt och sysselsättning (s. 49 f.)</w:t>
      </w:r>
    </w:p>
    <w:p w:rsidR="005F425D" w:rsidRPr="0082092B" w:rsidRDefault="005F425D">
      <w:r w:rsidRPr="0082092B">
        <w:t>8 Inre marknadens utveckling, i vad avser</w:t>
      </w:r>
    </w:p>
    <w:p w:rsidR="005F425D" w:rsidRPr="0082092B" w:rsidRDefault="005F425D">
      <w:pPr>
        <w:pStyle w:val="Normaltindrag"/>
        <w:ind w:right="-1"/>
      </w:pPr>
      <w:r w:rsidRPr="0082092B">
        <w:t>8.7 Offentlig upphandling (s. 61)</w:t>
      </w:r>
    </w:p>
    <w:p w:rsidR="005F425D" w:rsidRPr="0082092B" w:rsidRDefault="005F425D">
      <w:pPr>
        <w:outlineLvl w:val="0"/>
      </w:pPr>
      <w:r w:rsidRPr="0082092B">
        <w:t>11 Fri rörlighet för tjänster och kapital, i vad avser</w:t>
      </w:r>
    </w:p>
    <w:p w:rsidR="005F425D" w:rsidRPr="0082092B" w:rsidRDefault="005F425D">
      <w:pPr>
        <w:pStyle w:val="Normaltindrag"/>
        <w:ind w:right="-1"/>
      </w:pPr>
      <w:r w:rsidRPr="0082092B">
        <w:t>11.2 Finansiella tjänster (s. 75 f.)</w:t>
      </w:r>
    </w:p>
    <w:p w:rsidR="005F425D" w:rsidRPr="0082092B" w:rsidRDefault="005F425D">
      <w:pPr>
        <w:outlineLvl w:val="0"/>
      </w:pPr>
      <w:r w:rsidRPr="0082092B">
        <w:t xml:space="preserve">17 Konsumentpolitik, i vad avser </w:t>
      </w:r>
    </w:p>
    <w:p w:rsidR="005F425D" w:rsidRPr="0082092B" w:rsidRDefault="005F425D">
      <w:pPr>
        <w:pStyle w:val="Normaltindrag"/>
        <w:ind w:right="-1"/>
      </w:pPr>
      <w:r w:rsidRPr="0082092B">
        <w:t>17.2 Finansiella tjänster till konsumenter (s. 130 f.)</w:t>
      </w:r>
    </w:p>
    <w:p w:rsidR="005F425D" w:rsidRPr="0082092B" w:rsidRDefault="005F425D">
      <w:pPr>
        <w:pStyle w:val="Normaltindrag"/>
        <w:ind w:right="-1"/>
      </w:pPr>
      <w:r w:rsidRPr="0082092B">
        <w:t>17.7 Övriga konsumentfrågor (eurons införande) (s. 133)</w:t>
      </w:r>
    </w:p>
    <w:p w:rsidR="005F425D" w:rsidRPr="0082092B" w:rsidRDefault="005F425D">
      <w:r w:rsidRPr="0082092B">
        <w:t>34 Statistik (s. 249 f.)</w:t>
      </w:r>
    </w:p>
    <w:p w:rsidR="005F425D" w:rsidRPr="0082092B" w:rsidRDefault="005F425D">
      <w:r w:rsidRPr="0082092B">
        <w:t>35 EU:s budget (s. 251 f.)</w:t>
      </w:r>
    </w:p>
    <w:p w:rsidR="005F425D" w:rsidRPr="0082092B" w:rsidRDefault="005F425D">
      <w:r w:rsidRPr="0082092B">
        <w:t>36 Åtgärder mot fusk och andra oegentligheter (s. 256 f.)</w:t>
      </w:r>
    </w:p>
    <w:p w:rsidR="005F425D" w:rsidRPr="0082092B" w:rsidRDefault="005F425D">
      <w:pPr>
        <w:outlineLvl w:val="0"/>
      </w:pPr>
      <w:r w:rsidRPr="0082092B">
        <w:t>42 Institutionernas verksamhet, i vad avser</w:t>
      </w:r>
    </w:p>
    <w:p w:rsidR="005F425D" w:rsidRPr="0082092B" w:rsidRDefault="005F425D">
      <w:pPr>
        <w:pStyle w:val="Normaltindrag"/>
        <w:ind w:right="-1"/>
      </w:pPr>
      <w:r w:rsidRPr="0082092B">
        <w:t>42.5 Europeiska revisionsrätten (s. 375)</w:t>
      </w:r>
    </w:p>
    <w:p w:rsidR="005F425D" w:rsidRPr="0082092B" w:rsidRDefault="005F425D">
      <w:pPr>
        <w:pStyle w:val="Normaltindrag"/>
        <w:ind w:right="-1"/>
      </w:pPr>
      <w:r w:rsidRPr="0082092B">
        <w:t>42.8 Europeiska centralbanken (s. 377)</w:t>
      </w:r>
    </w:p>
    <w:p w:rsidR="005F425D" w:rsidRPr="0082092B" w:rsidRDefault="005F425D">
      <w:pPr>
        <w:pStyle w:val="Normaltindrag"/>
        <w:ind w:right="-1"/>
      </w:pPr>
      <w:r w:rsidRPr="0082092B">
        <w:t>42.9 Europeiska investeringsbanken stöder integrati</w:t>
      </w:r>
      <w:r w:rsidRPr="0082092B">
        <w:t>o</w:t>
      </w:r>
      <w:r w:rsidRPr="0082092B">
        <w:t>nen i Europa</w:t>
      </w:r>
    </w:p>
    <w:p w:rsidR="005F425D" w:rsidRPr="0082092B" w:rsidRDefault="005F425D">
      <w:pPr>
        <w:pStyle w:val="Normaltindrag"/>
        <w:ind w:right="-1"/>
      </w:pPr>
      <w:r w:rsidRPr="0082092B">
        <w:t xml:space="preserve">        (s. 377 f.)</w:t>
      </w:r>
    </w:p>
    <w:p w:rsidR="005F425D" w:rsidRPr="0082092B" w:rsidRDefault="005F425D">
      <w:pPr>
        <w:pStyle w:val="Normaltindrag"/>
        <w:ind w:right="-1"/>
      </w:pPr>
      <w:r w:rsidRPr="0082092B">
        <w:t>42.10 Europeiska investeringsfonden förstärks (s. 378)</w:t>
      </w:r>
    </w:p>
    <w:p w:rsidR="005F425D" w:rsidRPr="0082092B" w:rsidRDefault="005F425D">
      <w:r w:rsidRPr="0082092B">
        <w:t>Bilaga 8 EU-budgeten 2001 (s. 459)</w:t>
      </w:r>
    </w:p>
    <w:p w:rsidR="005F425D" w:rsidRPr="0082092B" w:rsidRDefault="005F425D"/>
    <w:p w:rsidR="005F425D" w:rsidRPr="0082092B" w:rsidRDefault="005F425D"/>
    <w:p w:rsidR="005F425D" w:rsidRPr="0082092B" w:rsidRDefault="005F425D">
      <w:pPr>
        <w:pStyle w:val="Normaltindrag"/>
        <w:sectPr w:rsidR="00000000" w:rsidRPr="0082092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F425D" w:rsidRPr="0082092B" w:rsidRDefault="005F425D">
      <w:pPr>
        <w:pStyle w:val="Rubrik1"/>
        <w:ind w:right="1417"/>
        <w:rPr>
          <w:noProof w:val="0"/>
          <w:snapToGrid w:val="0"/>
          <w:lang w:eastAsia="sv-SE"/>
        </w:rPr>
      </w:pPr>
      <w:bookmarkStart w:id="8" w:name="_Toc6911438"/>
      <w:bookmarkStart w:id="9" w:name="_Toc7596368"/>
      <w:r w:rsidRPr="0082092B">
        <w:rPr>
          <w:noProof w:val="0"/>
          <w:snapToGrid w:val="0"/>
          <w:lang w:eastAsia="sv-SE"/>
        </w:rPr>
        <w:t>Utskottet</w:t>
      </w:r>
      <w:bookmarkEnd w:id="8"/>
      <w:bookmarkEnd w:id="9"/>
    </w:p>
    <w:p w:rsidR="005F425D" w:rsidRPr="0082092B" w:rsidRDefault="005F425D">
      <w:r w:rsidRPr="0082092B">
        <w:t>Utskottet konstaterade i sitt yttrande över skrivelsen avseende 1999 att rege</w:t>
      </w:r>
      <w:r w:rsidRPr="0082092B">
        <w:t>r</w:t>
      </w:r>
      <w:r w:rsidRPr="0082092B">
        <w:t>ingen redovisade sina ställningstaganden på huvuddelen av de områden som rör utskottet. Utskottet välkomnade detta. Utskottet framhöll att redovisnin</w:t>
      </w:r>
      <w:r w:rsidRPr="0082092B">
        <w:t>g</w:t>
      </w:r>
      <w:r w:rsidRPr="0082092B">
        <w:t>en fyller både ett uppföljande syfte och ett framåtblickande syfte. Dels kan riksdagen följa upp regeringens agerande under det gångna året, dels kan riksdagen i sitt löpande arbete med EU-frågor utnyttja skrivelsen för de många frågor i skrivelsen som kommer att vara aktuella också under ko</w:t>
      </w:r>
      <w:r w:rsidRPr="0082092B">
        <w:t>m</w:t>
      </w:r>
      <w:r w:rsidRPr="0082092B">
        <w:t xml:space="preserve">mande år (yttr. 1999/2000:FiU3y). </w:t>
      </w:r>
    </w:p>
    <w:p w:rsidR="005F425D" w:rsidRPr="0082092B" w:rsidRDefault="005F425D">
      <w:pPr>
        <w:pStyle w:val="Normaltindrag"/>
      </w:pPr>
      <w:r w:rsidRPr="0082092B">
        <w:t>Utskottet kan konstatera att rege</w:t>
      </w:r>
      <w:r w:rsidRPr="0082092B">
        <w:t>ringen också i skrivelsen om verksamh</w:t>
      </w:r>
      <w:r w:rsidRPr="0082092B">
        <w:t>e</w:t>
      </w:r>
      <w:r w:rsidRPr="0082092B">
        <w:t>ten i EU under 2001 i stor utsträckning redovisar sina ställningstaganden. Beträffande statistik (avsnitt 34, s. 249 f.) finns till och med ett särskilt avsnitt om svenskt agerande på området. Utskottet välkomnar detta och förutsätter att regeringen även framdeles redovisar sin syn på de frågor som behandlas i skrivelsen.</w:t>
      </w:r>
    </w:p>
    <w:p w:rsidR="005F425D" w:rsidRPr="0082092B" w:rsidRDefault="005F425D">
      <w:r w:rsidRPr="0082092B">
        <w:t>Utskottet övergår nu till att behandla de motionsyrkanden som berör utsko</w:t>
      </w:r>
      <w:r w:rsidRPr="0082092B">
        <w:t>t</w:t>
      </w:r>
      <w:r w:rsidRPr="0082092B">
        <w:t xml:space="preserve">tets område. </w:t>
      </w:r>
    </w:p>
    <w:p w:rsidR="005F425D" w:rsidRPr="0082092B" w:rsidRDefault="005F425D">
      <w:pPr>
        <w:pStyle w:val="Rubrik2"/>
        <w:rPr>
          <w:snapToGrid w:val="0"/>
          <w:lang w:eastAsia="sv-SE"/>
        </w:rPr>
      </w:pPr>
      <w:bookmarkStart w:id="10" w:name="_Toc6281774"/>
      <w:bookmarkStart w:id="11" w:name="_Toc6911439"/>
      <w:bookmarkStart w:id="12" w:name="_Toc7596369"/>
      <w:r w:rsidRPr="0082092B">
        <w:rPr>
          <w:snapToGrid w:val="0"/>
          <w:lang w:eastAsia="sv-SE"/>
        </w:rPr>
        <w:t>Relationerna mellan EMU-medlemmar och icke-EMU-medlemmar</w:t>
      </w:r>
      <w:bookmarkEnd w:id="10"/>
      <w:bookmarkEnd w:id="11"/>
      <w:bookmarkEnd w:id="12"/>
    </w:p>
    <w:p w:rsidR="005F425D" w:rsidRPr="0082092B" w:rsidRDefault="005F425D">
      <w:pPr>
        <w:pStyle w:val="R3"/>
        <w:spacing w:before="235"/>
        <w:outlineLvl w:val="0"/>
      </w:pPr>
      <w:r w:rsidRPr="0082092B">
        <w:t>Motionen</w:t>
      </w:r>
    </w:p>
    <w:p w:rsidR="005F425D" w:rsidRPr="0082092B" w:rsidRDefault="005F425D">
      <w:pPr>
        <w:rPr>
          <w:snapToGrid w:val="0"/>
          <w:lang w:eastAsia="sv-SE"/>
        </w:rPr>
      </w:pPr>
      <w:r w:rsidRPr="0082092B">
        <w:t>I m</w:t>
      </w:r>
      <w:r w:rsidRPr="0082092B">
        <w:rPr>
          <w:snapToGrid w:val="0"/>
          <w:lang w:eastAsia="sv-SE"/>
        </w:rPr>
        <w:t>otion 2000/01:U505 av Gudrun Schyman m.fl. (v) från allmänna motion</w:t>
      </w:r>
      <w:r w:rsidRPr="0082092B">
        <w:rPr>
          <w:snapToGrid w:val="0"/>
          <w:lang w:eastAsia="sv-SE"/>
        </w:rPr>
        <w:t>s</w:t>
      </w:r>
      <w:r w:rsidRPr="0082092B">
        <w:rPr>
          <w:snapToGrid w:val="0"/>
          <w:lang w:eastAsia="sv-SE"/>
        </w:rPr>
        <w:t>tiden hösten 2000 påpekas att efter den danska folkomröstningen om EMU står det klart att minst ett EU-land kommer att stå utanför den gemensamma valutan under ett antal år. Mycket talar också för att avgöranden i Sverige och Storbritannien kan komma att dröja. Det finns ett antal oklarheter när det gäller icke-EMU-medlemmars – och särskilt Sveriges – ställning i EU som behöver redas ut. En sådan fråga är relationen mellan Ekofin (de 15) oc</w:t>
      </w:r>
      <w:r w:rsidRPr="0082092B">
        <w:rPr>
          <w:snapToGrid w:val="0"/>
          <w:lang w:eastAsia="sv-SE"/>
        </w:rPr>
        <w:t>h eurogruppen (EU12). Det ligger i Sveriges intresse att behålla Ekofin som den överordnade i</w:t>
      </w:r>
      <w:r w:rsidRPr="0082092B">
        <w:rPr>
          <w:snapToGrid w:val="0"/>
          <w:lang w:eastAsia="sv-SE"/>
        </w:rPr>
        <w:t>n</w:t>
      </w:r>
      <w:r w:rsidRPr="0082092B">
        <w:rPr>
          <w:snapToGrid w:val="0"/>
          <w:lang w:eastAsia="sv-SE"/>
        </w:rPr>
        <w:t xml:space="preserve">stansen. </w:t>
      </w:r>
    </w:p>
    <w:p w:rsidR="005F425D" w:rsidRPr="0082092B" w:rsidRDefault="005F425D">
      <w:pPr>
        <w:pStyle w:val="Normaltindrag"/>
        <w:rPr>
          <w:snapToGrid w:val="0"/>
          <w:lang w:eastAsia="sv-SE"/>
        </w:rPr>
      </w:pPr>
      <w:r w:rsidRPr="0082092B">
        <w:rPr>
          <w:snapToGrid w:val="0"/>
          <w:lang w:eastAsia="sv-SE"/>
        </w:rPr>
        <w:t>Sveriges anknytning till EMU är nu en fördragsmässig anomali. Juridiskt – enligt bokstaven i Maastricht – måste Sverige gå med om vi uppfyller kriter</w:t>
      </w:r>
      <w:r w:rsidRPr="0082092B">
        <w:rPr>
          <w:snapToGrid w:val="0"/>
          <w:lang w:eastAsia="sv-SE"/>
        </w:rPr>
        <w:t>i</w:t>
      </w:r>
      <w:r w:rsidRPr="0082092B">
        <w:rPr>
          <w:snapToGrid w:val="0"/>
          <w:lang w:eastAsia="sv-SE"/>
        </w:rPr>
        <w:t>erna och om ministerrådet så beslutar. Det finns höga företrädare i EU som ännu hävdar denna strikt juridiska tolkning. Men de flesta verkar nu ha a</w:t>
      </w:r>
      <w:r w:rsidRPr="0082092B">
        <w:rPr>
          <w:snapToGrid w:val="0"/>
          <w:lang w:eastAsia="sv-SE"/>
        </w:rPr>
        <w:t>c</w:t>
      </w:r>
      <w:r w:rsidRPr="0082092B">
        <w:rPr>
          <w:snapToGrid w:val="0"/>
          <w:lang w:eastAsia="sv-SE"/>
        </w:rPr>
        <w:t xml:space="preserve">cepterat att den svenska ensidiga protokollsanteckningen om att vi själva beslutar i frågan är en politisk realitet, trots att vi inte har Danmarks och Storbritanniens fördragsmässiga undantag. Regeringen bör verka för att detta ”undantag i praktiken” bekräftas officiellt i EU och EMU. </w:t>
      </w:r>
    </w:p>
    <w:p w:rsidR="005F425D" w:rsidRPr="0082092B" w:rsidRDefault="005F425D">
      <w:pPr>
        <w:pStyle w:val="Normaltindrag"/>
        <w:rPr>
          <w:snapToGrid w:val="0"/>
          <w:lang w:eastAsia="sv-SE"/>
        </w:rPr>
      </w:pPr>
      <w:r w:rsidRPr="0082092B">
        <w:rPr>
          <w:snapToGrid w:val="0"/>
          <w:lang w:eastAsia="sv-SE"/>
        </w:rPr>
        <w:t>Den svenska regeringen borde nu i första hand ta kontakt med sina danska o</w:t>
      </w:r>
      <w:r w:rsidRPr="0082092B">
        <w:rPr>
          <w:snapToGrid w:val="0"/>
          <w:lang w:eastAsia="sv-SE"/>
        </w:rPr>
        <w:t>ch brittiska kolleger för att diskutera initiativ till diskussion och klarlägga</w:t>
      </w:r>
      <w:r w:rsidRPr="0082092B">
        <w:rPr>
          <w:snapToGrid w:val="0"/>
          <w:lang w:eastAsia="sv-SE"/>
        </w:rPr>
        <w:t>n</w:t>
      </w:r>
      <w:r w:rsidRPr="0082092B">
        <w:rPr>
          <w:snapToGrid w:val="0"/>
          <w:lang w:eastAsia="sv-SE"/>
        </w:rPr>
        <w:t>de av hur relationerna till EU för medlemmar som inte är med i EMU skall se ut i enlighet med vad som sägs i motionen. Detta bör riksdagen som sin m</w:t>
      </w:r>
      <w:r w:rsidRPr="0082092B">
        <w:rPr>
          <w:snapToGrid w:val="0"/>
          <w:lang w:eastAsia="sv-SE"/>
        </w:rPr>
        <w:t>e</w:t>
      </w:r>
      <w:r w:rsidRPr="0082092B">
        <w:rPr>
          <w:snapToGrid w:val="0"/>
          <w:lang w:eastAsia="sv-SE"/>
        </w:rPr>
        <w:t>ning ge regeringen till känna.</w:t>
      </w:r>
    </w:p>
    <w:p w:rsidR="005F425D" w:rsidRPr="0082092B" w:rsidRDefault="005F425D">
      <w:pPr>
        <w:pStyle w:val="R3"/>
        <w:outlineLvl w:val="0"/>
      </w:pPr>
      <w:r w:rsidRPr="0082092B">
        <w:t>Bakgrund</w:t>
      </w:r>
    </w:p>
    <w:p w:rsidR="005F425D" w:rsidRPr="0082092B" w:rsidRDefault="005F425D">
      <w:r w:rsidRPr="0082092B">
        <w:t>I proposition 1994/95:19 om Sveriges medlemskap i Europeiska unionen finns en utförlig redovisning av den svenska förhandlingen om medlemskap vad avser EMU och om den svenska beslutsordningen. Det ansvariga statsr</w:t>
      </w:r>
      <w:r w:rsidRPr="0082092B">
        <w:t>å</w:t>
      </w:r>
      <w:r w:rsidRPr="0082092B">
        <w:t>det höll ett anförande vid förhandlingarnas öppnande den 1 februari 1993. I anförandet, som återgavs som bilaga 1 till propositionen, sades det bl.a.: ”Ett slutligt svenskt ställningstagande avseende övergången från den andra till den tredje fasen kommer att göras i ljuset av den fortsatta utvecklingen och i enlighet med bestämmelserna i fördraget.” Anförandet upprepades den 9 november 1993 och registrerades i mötesprotokollet utan motkommentar från EU-ländernas sida. Mötesprotokollet den 9 november 1993 h</w:t>
      </w:r>
      <w:r w:rsidRPr="0082092B">
        <w:t>ar på denna punkt följande lydelse: ”Konferensen: – noterade Sveriges anförande avsee</w:t>
      </w:r>
      <w:r w:rsidRPr="0082092B">
        <w:t>n</w:t>
      </w:r>
      <w:r w:rsidRPr="0082092B">
        <w:t>de de kapitel som hänför sig till Fördraget om Europeiska unionen (doc. CONF-S 70/93).”</w:t>
      </w:r>
    </w:p>
    <w:p w:rsidR="005F425D" w:rsidRPr="0082092B" w:rsidRDefault="005F425D">
      <w:r w:rsidRPr="0082092B">
        <w:t>Med den terminologi som används i EG-fördraget är Sverige med avseende på den monetära unionen en medlemsstat med undantag (art. 122, f.d. artikel 109k). Medlemsstater med undantag deltar i den tredje etappen, men på helt andra villkor än de länder som inför euron. I artikel 122.3 anges de bestä</w:t>
      </w:r>
      <w:r w:rsidRPr="0082092B">
        <w:t>m</w:t>
      </w:r>
      <w:r w:rsidRPr="0082092B">
        <w:t>melser som inte är tillämpliga på medlemsstater med undantag. För medlem</w:t>
      </w:r>
      <w:r w:rsidRPr="0082092B">
        <w:t>s</w:t>
      </w:r>
      <w:r w:rsidRPr="0082092B">
        <w:t>staterna med undantag gäller, förutom att de inte inför den gemensamma valutan, bl.a. att de behåller ansvaret för den nationella penning- och valuta</w:t>
      </w:r>
      <w:r w:rsidRPr="0082092B">
        <w:softHyphen/>
        <w:t>politiken och att de inte omfattas av Europeiska cen</w:t>
      </w:r>
      <w:r w:rsidRPr="0082092B">
        <w:t>t</w:t>
      </w:r>
      <w:r w:rsidRPr="0082092B">
        <w:t xml:space="preserve">ralbankens rättsakter. </w:t>
      </w:r>
    </w:p>
    <w:p w:rsidR="005F425D" w:rsidRPr="0082092B" w:rsidRDefault="005F425D">
      <w:r w:rsidRPr="0082092B">
        <w:t>Danmark har särregler som innebär att landet har rätt att stå utanför den tredje etappen. Verkan av det danska undantaget är densamma som gäller för andra länder med undantag. Storbritannien har liksom Danmark r</w:t>
      </w:r>
      <w:r w:rsidRPr="0082092B">
        <w:t>ätt att stå utanför den tredje etappen, men verkan av de brittiska undantagsreglerna är mera vittgående än de som annars gäller för länder med undantag. I praktiken kva</w:t>
      </w:r>
      <w:r w:rsidRPr="0082092B">
        <w:t>r</w:t>
      </w:r>
      <w:r w:rsidRPr="0082092B">
        <w:t xml:space="preserve">står Storbritannien i den andra etappen och är således inte förpliktigat att t.ex. göra </w:t>
      </w:r>
      <w:r w:rsidRPr="0082092B">
        <w:rPr>
          <w:i/>
        </w:rPr>
        <w:t>Bank of England</w:t>
      </w:r>
      <w:r w:rsidRPr="0082092B">
        <w:t xml:space="preserve"> ober</w:t>
      </w:r>
      <w:r w:rsidRPr="0082092B">
        <w:t>o</w:t>
      </w:r>
      <w:r w:rsidRPr="0082092B">
        <w:t xml:space="preserve">ende. </w:t>
      </w:r>
    </w:p>
    <w:p w:rsidR="005F425D" w:rsidRPr="0082092B" w:rsidRDefault="005F425D">
      <w:r w:rsidRPr="0082092B">
        <w:t>Beträffande relationen mellan eurogruppen och Ekofinrådet gäller att eur</w:t>
      </w:r>
      <w:r w:rsidRPr="0082092B">
        <w:t>o</w:t>
      </w:r>
      <w:r w:rsidRPr="0082092B">
        <w:t>gruppen består av finansministrarna från de EU-länder som har infört den gemensamma valutan euron. Alla formella beslut fattas dock i Ekofinrådet, där Sverige, liksom samtliga övriga EU-länder, är representerat på sedvanligt sätt.</w:t>
      </w:r>
    </w:p>
    <w:p w:rsidR="005F425D" w:rsidRPr="0082092B" w:rsidRDefault="005F425D">
      <w:pPr>
        <w:pStyle w:val="R3"/>
        <w:outlineLvl w:val="0"/>
        <w:rPr>
          <w:snapToGrid w:val="0"/>
          <w:lang w:eastAsia="sv-SE"/>
        </w:rPr>
      </w:pPr>
      <w:r w:rsidRPr="0082092B">
        <w:t>Finansutskottets ställningstagande</w:t>
      </w:r>
      <w:r w:rsidRPr="0082092B">
        <w:rPr>
          <w:snapToGrid w:val="0"/>
          <w:lang w:eastAsia="sv-SE"/>
        </w:rPr>
        <w:t xml:space="preserve"> </w:t>
      </w:r>
    </w:p>
    <w:p w:rsidR="005F425D" w:rsidRPr="0082092B" w:rsidRDefault="005F425D">
      <w:r w:rsidRPr="0082092B">
        <w:t>Utskottet ser mot bakgrund av det anförda inte några fördelar med ett särskilt samarbete med Danmark och Storbritannien på det sätt som motionärerna föreslår. Utskottet ser inte heller någon anledning för Sverige att söka ytterl</w:t>
      </w:r>
      <w:r w:rsidRPr="0082092B">
        <w:t>i</w:t>
      </w:r>
      <w:r w:rsidRPr="0082092B">
        <w:t>gare preciseringar av Sveriges relation till EMU i juridiskt hänseende. Moti</w:t>
      </w:r>
      <w:r w:rsidRPr="0082092B">
        <w:t>o</w:t>
      </w:r>
      <w:r w:rsidRPr="0082092B">
        <w:t>nen bör således inte föranleda någon riksdagens åtgärd.</w:t>
      </w:r>
    </w:p>
    <w:p w:rsidR="005F425D" w:rsidRPr="0082092B" w:rsidRDefault="005F425D">
      <w:pPr>
        <w:pStyle w:val="Rubrik2"/>
      </w:pPr>
      <w:bookmarkStart w:id="13" w:name="_Toc6281775"/>
      <w:bookmarkStart w:id="14" w:name="_Toc6911440"/>
      <w:bookmarkStart w:id="15" w:name="_Toc7596370"/>
      <w:r w:rsidRPr="0082092B">
        <w:t>Europeiska centralbankens ställning</w:t>
      </w:r>
      <w:bookmarkEnd w:id="13"/>
      <w:bookmarkEnd w:id="14"/>
      <w:bookmarkEnd w:id="15"/>
    </w:p>
    <w:p w:rsidR="005F425D" w:rsidRPr="0082092B" w:rsidRDefault="005F425D">
      <w:pPr>
        <w:pStyle w:val="R3"/>
        <w:spacing w:before="235"/>
        <w:outlineLvl w:val="0"/>
      </w:pPr>
      <w:r w:rsidRPr="0082092B">
        <w:rPr>
          <w:snapToGrid w:val="0"/>
          <w:lang w:eastAsia="sv-SE"/>
        </w:rPr>
        <w:t>Motionen</w:t>
      </w:r>
    </w:p>
    <w:p w:rsidR="005F425D" w:rsidRPr="0082092B" w:rsidRDefault="005F425D">
      <w:r w:rsidRPr="0082092B">
        <w:rPr>
          <w:snapToGrid w:val="0"/>
          <w:lang w:eastAsia="sv-SE"/>
        </w:rPr>
        <w:t>Enligt motion 2001/02:Fi295 av Matz Hammarström m.fl. (mp) medför de ekonomiska åtgärder som kan komma att krävas inom EMU att ett geme</w:t>
      </w:r>
      <w:r w:rsidRPr="0082092B">
        <w:rPr>
          <w:snapToGrid w:val="0"/>
          <w:lang w:eastAsia="sv-SE"/>
        </w:rPr>
        <w:t>n</w:t>
      </w:r>
      <w:r w:rsidRPr="0082092B">
        <w:rPr>
          <w:snapToGrid w:val="0"/>
          <w:lang w:eastAsia="sv-SE"/>
        </w:rPr>
        <w:t xml:space="preserve">samt skattesystem genomförs. </w:t>
      </w:r>
      <w:r w:rsidRPr="0082092B">
        <w:t>På samma sätt som ekonomisk-politiska skäl innebär att EMU successivt kommer att öka det överstatliga inslaget i EU, kan det demokratiska underskottet inom EMU innebära att utvecklingen mot en EU-stat påskyndas. Resonemanget går ut på att det demokratiska unde</w:t>
      </w:r>
      <w:r w:rsidRPr="0082092B">
        <w:t>r</w:t>
      </w:r>
      <w:r w:rsidRPr="0082092B">
        <w:t>skott som EMU lider av måste motverkas, exempelvis genom att Europeiska centralbanken (ECB) underställs Europaparlamentet, på samma sätt som Sveriges riksbank är underställd riksdagen. Motionärerna föreslår att r</w:t>
      </w:r>
      <w:r w:rsidRPr="0082092B">
        <w:rPr>
          <w:snapToGrid w:val="0"/>
        </w:rPr>
        <w:t>iksd</w:t>
      </w:r>
      <w:r w:rsidRPr="0082092B">
        <w:rPr>
          <w:snapToGrid w:val="0"/>
        </w:rPr>
        <w:t>a</w:t>
      </w:r>
      <w:r w:rsidRPr="0082092B">
        <w:rPr>
          <w:snapToGrid w:val="0"/>
        </w:rPr>
        <w:t xml:space="preserve">gen </w:t>
      </w:r>
      <w:r w:rsidRPr="0082092B">
        <w:rPr>
          <w:snapToGrid w:val="0"/>
        </w:rPr>
        <w:t xml:space="preserve">tillkännager för regeringen som sin mening vad i motionen anförs om </w:t>
      </w:r>
      <w:r w:rsidRPr="0082092B">
        <w:t>att Europeiska centralbanken underställs Europaparl</w:t>
      </w:r>
      <w:r w:rsidRPr="0082092B">
        <w:t>a</w:t>
      </w:r>
      <w:r w:rsidRPr="0082092B">
        <w:t>mentet (yrkande 1).</w:t>
      </w:r>
    </w:p>
    <w:p w:rsidR="005F425D" w:rsidRPr="0082092B" w:rsidRDefault="005F425D">
      <w:pPr>
        <w:pStyle w:val="R3"/>
        <w:outlineLvl w:val="0"/>
      </w:pPr>
      <w:r w:rsidRPr="0082092B">
        <w:rPr>
          <w:snapToGrid w:val="0"/>
          <w:lang w:eastAsia="sv-SE"/>
        </w:rPr>
        <w:t>Bakgrund</w:t>
      </w:r>
    </w:p>
    <w:p w:rsidR="005F425D" w:rsidRPr="0082092B" w:rsidRDefault="005F425D">
      <w:r w:rsidRPr="0082092B">
        <w:t>Enligt EG-fördraget artikel 108 skall varken Europeiska centralbanken eller någon nationell centralbank eller någon medlem av centralbankernas b</w:t>
      </w:r>
      <w:r w:rsidRPr="0082092B">
        <w:t>e</w:t>
      </w:r>
      <w:r w:rsidRPr="0082092B">
        <w:t>slutande organ då de utövar fördragsmässiga uppgifter begära eller ta emot instruktioner från gemenskapsinstitutioner eller gemenskapsorgan, från me</w:t>
      </w:r>
      <w:r w:rsidRPr="0082092B">
        <w:t>d</w:t>
      </w:r>
      <w:r w:rsidRPr="0082092B">
        <w:t>lemsstaternas r</w:t>
      </w:r>
      <w:r w:rsidRPr="0082092B">
        <w:t>e</w:t>
      </w:r>
      <w:r w:rsidRPr="0082092B">
        <w:t>geringar eller något annat organ.</w:t>
      </w:r>
    </w:p>
    <w:p w:rsidR="005F425D" w:rsidRPr="0082092B" w:rsidRDefault="005F425D">
      <w:pPr>
        <w:pStyle w:val="Normaltindrag"/>
      </w:pPr>
      <w:r w:rsidRPr="0082092B">
        <w:t>Enligt fördraget artikel 113.3 skall ECB till Europaparlamentet, rådet och kommissionen samt till Europeiska rådet överlämna en årsrapport om ver</w:t>
      </w:r>
      <w:r w:rsidRPr="0082092B">
        <w:t>k</w:t>
      </w:r>
      <w:r w:rsidRPr="0082092B">
        <w:t>samheten inom Europeiska centralbankssystemet (ECBS) och om den mon</w:t>
      </w:r>
      <w:r w:rsidRPr="0082092B">
        <w:t>e</w:t>
      </w:r>
      <w:r w:rsidRPr="0082092B">
        <w:t>tära politiken under det föregående och det innevarande året. ECB:s ordf</w:t>
      </w:r>
      <w:r w:rsidRPr="0082092B">
        <w:t>ö</w:t>
      </w:r>
      <w:r w:rsidRPr="0082092B">
        <w:t>rande skall lägga fram denna rapport för rådet och Europaparlamentet som kan hålla en allmän debatt på grundval av rapporten. ECB:s ordförande och övriga direktionsledamöter kan på begäran av Europaparlamentet eller på eget initiativ höras av Europaparlamentets utskott. Europaparlamentets utskott för ekonomi och valutafrågor har således flera utfrågningar varje år med</w:t>
      </w:r>
      <w:r w:rsidRPr="0082092B">
        <w:t xml:space="preserve"> ECB:s or</w:t>
      </w:r>
      <w:r w:rsidRPr="0082092B">
        <w:t>d</w:t>
      </w:r>
      <w:r w:rsidRPr="0082092B">
        <w:t>förande.</w:t>
      </w:r>
    </w:p>
    <w:p w:rsidR="005F425D" w:rsidRPr="0082092B" w:rsidRDefault="005F425D">
      <w:pPr>
        <w:pStyle w:val="Normaltindrag"/>
      </w:pPr>
      <w:r w:rsidRPr="0082092B">
        <w:t>Enligt protokollet om stadgan för Europeiska centralbankssystemet och Europeiska centralbanken skall ECB minst varje kvartal upprätta och offen</w:t>
      </w:r>
      <w:r w:rsidRPr="0082092B">
        <w:t>t</w:t>
      </w:r>
      <w:r w:rsidRPr="0082092B">
        <w:t>liggöra rapporter om ECBS:s verksamhet (artikel 15 Rapporteringsskyldi</w:t>
      </w:r>
      <w:r w:rsidRPr="0082092B">
        <w:t>g</w:t>
      </w:r>
      <w:r w:rsidRPr="0082092B">
        <w:t>het). En konsoliderad rapport över ECBS:s finansiella ställning skall offen</w:t>
      </w:r>
      <w:r w:rsidRPr="0082092B">
        <w:t>t</w:t>
      </w:r>
      <w:r w:rsidRPr="0082092B">
        <w:t xml:space="preserve">liggöras varje vecka. Dessa rapporter skall, liksom årsrapporten, kostnadsfritt ställas till förfogande för intresserade. </w:t>
      </w:r>
    </w:p>
    <w:p w:rsidR="005F425D" w:rsidRPr="0082092B" w:rsidRDefault="005F425D">
      <w:pPr>
        <w:pStyle w:val="Normaltindrag"/>
      </w:pPr>
      <w:r w:rsidRPr="0082092B">
        <w:t>Vidare skall, enligt nämnda protokoll, ECB:s och de nationella centralba</w:t>
      </w:r>
      <w:r w:rsidRPr="0082092B">
        <w:t>n</w:t>
      </w:r>
      <w:r w:rsidRPr="0082092B">
        <w:t>kernas räkenskaper granskas av oavhängiga externa revisorer som ECB-rådet har rekommenderat och ministerrådet godkänt. Revisorerna skall ha befoge</w:t>
      </w:r>
      <w:r w:rsidRPr="0082092B">
        <w:t>n</w:t>
      </w:r>
      <w:r w:rsidRPr="0082092B">
        <w:t>het att granska alla räkenskapshandlingar och konton hos ECB och de nati</w:t>
      </w:r>
      <w:r w:rsidRPr="0082092B">
        <w:t>o</w:t>
      </w:r>
      <w:r w:rsidRPr="0082092B">
        <w:t xml:space="preserve">nella centralbankerna samt få alla uppgifter om deras transaktioner. </w:t>
      </w:r>
    </w:p>
    <w:p w:rsidR="005F425D" w:rsidRPr="0082092B" w:rsidRDefault="005F425D">
      <w:pPr>
        <w:pStyle w:val="R3"/>
        <w:outlineLvl w:val="0"/>
      </w:pPr>
      <w:r w:rsidRPr="0082092B">
        <w:rPr>
          <w:snapToGrid w:val="0"/>
          <w:lang w:eastAsia="sv-SE"/>
        </w:rPr>
        <w:t>Finansutskottets</w:t>
      </w:r>
      <w:r w:rsidRPr="0082092B">
        <w:t xml:space="preserve"> ställningstagande</w:t>
      </w:r>
    </w:p>
    <w:p w:rsidR="005F425D" w:rsidRPr="0082092B" w:rsidRDefault="005F425D">
      <w:r w:rsidRPr="0082092B">
        <w:t>Finansutskottet kan konstatera att det med gällande regler finns utrymme för Europaparlamentet att granska Europeiska centralbanken. Utskottet förutsä</w:t>
      </w:r>
      <w:r w:rsidRPr="0082092B">
        <w:t>t</w:t>
      </w:r>
      <w:r w:rsidRPr="0082092B">
        <w:t>ter att Europaparlamentet utnyttjar dessa möjligheter och finner inte någon rik</w:t>
      </w:r>
      <w:r w:rsidRPr="0082092B">
        <w:t>s</w:t>
      </w:r>
      <w:r w:rsidRPr="0082092B">
        <w:t>dagens åtgärd påkallad.</w:t>
      </w:r>
    </w:p>
    <w:p w:rsidR="005F425D" w:rsidRPr="0082092B" w:rsidRDefault="005F425D">
      <w:pPr>
        <w:pStyle w:val="Rubrik2"/>
      </w:pPr>
      <w:bookmarkStart w:id="16" w:name="_Toc6281776"/>
      <w:bookmarkStart w:id="17" w:name="_Toc6911441"/>
      <w:bookmarkStart w:id="18" w:name="_Toc7596371"/>
      <w:r w:rsidRPr="0082092B">
        <w:t>Maastrichtfördraget</w:t>
      </w:r>
      <w:bookmarkEnd w:id="16"/>
      <w:bookmarkEnd w:id="17"/>
      <w:bookmarkEnd w:id="18"/>
    </w:p>
    <w:p w:rsidR="005F425D" w:rsidRPr="0082092B" w:rsidRDefault="005F425D">
      <w:pPr>
        <w:pStyle w:val="R3"/>
        <w:spacing w:before="235"/>
        <w:outlineLvl w:val="0"/>
      </w:pPr>
      <w:r w:rsidRPr="0082092B">
        <w:rPr>
          <w:snapToGrid w:val="0"/>
          <w:lang w:eastAsia="sv-SE"/>
        </w:rPr>
        <w:t>Motionen</w:t>
      </w:r>
    </w:p>
    <w:p w:rsidR="005F425D" w:rsidRPr="0082092B" w:rsidRDefault="005F425D">
      <w:r w:rsidRPr="0082092B">
        <w:t xml:space="preserve">I </w:t>
      </w:r>
      <w:r w:rsidRPr="0082092B">
        <w:rPr>
          <w:snapToGrid w:val="0"/>
          <w:lang w:eastAsia="sv-SE"/>
        </w:rPr>
        <w:t>motion 2001/02:Fi295 av Matz Hammarström m.fl. (mp) anförs att m</w:t>
      </w:r>
      <w:r w:rsidRPr="0082092B">
        <w:t>ed Maastrichtfördraget infördes en konkret plan för hur en ekonomisk och m</w:t>
      </w:r>
      <w:r w:rsidRPr="0082092B">
        <w:t>o</w:t>
      </w:r>
      <w:r w:rsidRPr="0082092B">
        <w:t>netär union skulle skapas. I Maastrichtfördraget anges att den gemensamma penning- och valutapolitiken skall” ha som huvudmål att upprätthålla prisst</w:t>
      </w:r>
      <w:r w:rsidRPr="0082092B">
        <w:t>a</w:t>
      </w:r>
      <w:r w:rsidRPr="0082092B">
        <w:t>bilitet samt att, utan att detta mål åsidosätts, understödja den allmänna ek</w:t>
      </w:r>
      <w:r w:rsidRPr="0082092B">
        <w:t>o</w:t>
      </w:r>
      <w:r w:rsidRPr="0082092B">
        <w:t>nomiska politik som bedrivs inom gemenskapen i överensstämmelse med principen om en öppen marknadsekonomi med fri konkurrens”. Vilken ek</w:t>
      </w:r>
      <w:r w:rsidRPr="0082092B">
        <w:t>o</w:t>
      </w:r>
      <w:r w:rsidRPr="0082092B">
        <w:t>nomisk po</w:t>
      </w:r>
      <w:r w:rsidRPr="0082092B">
        <w:t>litik som skall genomsyra valutaunionen är alltså fastställd i fö</w:t>
      </w:r>
      <w:r w:rsidRPr="0082092B">
        <w:t>r</w:t>
      </w:r>
      <w:r w:rsidRPr="0082092B">
        <w:t xml:space="preserve">dragen. </w:t>
      </w:r>
    </w:p>
    <w:p w:rsidR="005F425D" w:rsidRPr="0082092B" w:rsidRDefault="005F425D">
      <w:pPr>
        <w:pStyle w:val="Normaltindrag"/>
      </w:pPr>
      <w:r w:rsidRPr="0082092B">
        <w:t>EMU-förespråkarna menar att med EMU får vi en stabilitet i penningpol</w:t>
      </w:r>
      <w:r w:rsidRPr="0082092B">
        <w:t>i</w:t>
      </w:r>
      <w:r w:rsidRPr="0082092B">
        <w:t>tiken, i och med att riktlinjerna för den ekonomiska politiken är fördragsfästa på ett sätt som omöjliggör för politiker och folkopinion att påverka pennin</w:t>
      </w:r>
      <w:r w:rsidRPr="0082092B">
        <w:t>g</w:t>
      </w:r>
      <w:r w:rsidRPr="0082092B">
        <w:t xml:space="preserve">politiken. Mot detta kan anföras två saker. </w:t>
      </w:r>
    </w:p>
    <w:p w:rsidR="005F425D" w:rsidRPr="0082092B" w:rsidRDefault="005F425D">
      <w:pPr>
        <w:pStyle w:val="Normaltindrag"/>
      </w:pPr>
      <w:r w:rsidRPr="0082092B">
        <w:t>För det första är det svårt att se på vilket sätt marknaden som sådan verkl</w:t>
      </w:r>
      <w:r w:rsidRPr="0082092B">
        <w:t>i</w:t>
      </w:r>
      <w:r w:rsidRPr="0082092B">
        <w:t xml:space="preserve">gen är stabilare än demokratiskt fattade beslut, inte minst med tanke på hur placerare av riskkapital tenderar att reagera hastigt, kortsiktigt och med en flockmentalitet. För det andra är det i sig märkligt att låg inflation och hög tillväxt skall slås fast som ekonomiska regler som står över alla demokratiskt fattade beslut. </w:t>
      </w:r>
    </w:p>
    <w:p w:rsidR="005F425D" w:rsidRPr="0082092B" w:rsidRDefault="005F425D">
      <w:pPr>
        <w:pStyle w:val="Normaltindrag"/>
        <w:rPr>
          <w:snapToGrid w:val="0"/>
        </w:rPr>
      </w:pPr>
      <w:r w:rsidRPr="0082092B">
        <w:t>Miljöpartiets ståndpunkt är att EMU:s konstruktion som sådan, med rik</w:t>
      </w:r>
      <w:r w:rsidRPr="0082092B">
        <w:t>t</w:t>
      </w:r>
      <w:r w:rsidRPr="0082092B">
        <w:t>linjerna för den ekonomiska politiken fastslagna i fördragen, är ohållbar. De ekonomiska teorierna förändras, och inget säger att samma politik är rätt i alla sammanhang.</w:t>
      </w:r>
      <w:r w:rsidRPr="0082092B">
        <w:rPr>
          <w:snapToGrid w:val="0"/>
        </w:rPr>
        <w:t xml:space="preserve"> Motionärerna föreslår att riksdagen tillkännager för regeringen som sin mening vad i motionen anförs om Maastrichtfördraget (yrkande 2).</w:t>
      </w:r>
    </w:p>
    <w:p w:rsidR="005F425D" w:rsidRPr="0082092B" w:rsidRDefault="005F425D">
      <w:pPr>
        <w:pStyle w:val="R3"/>
        <w:outlineLvl w:val="0"/>
      </w:pPr>
      <w:r w:rsidRPr="0082092B">
        <w:rPr>
          <w:snapToGrid w:val="0"/>
          <w:lang w:eastAsia="sv-SE"/>
        </w:rPr>
        <w:t>Regeringens</w:t>
      </w:r>
      <w:r w:rsidRPr="0082092B">
        <w:t xml:space="preserve"> skrivelser</w:t>
      </w:r>
    </w:p>
    <w:p w:rsidR="005F425D" w:rsidRPr="0082092B" w:rsidRDefault="005F425D">
      <w:r w:rsidRPr="0082092B">
        <w:t>Regeringen framhåller i skrivelse 2001/02:160 om verksamheten i EU under 2001 att sysselsättningsfrågan har fått en alltmer framskjuten plats i EU:s arbete (s. 49). I skrivelse 2001/02:105 om det svenska ordförandeskapet eri</w:t>
      </w:r>
      <w:r w:rsidRPr="0082092B">
        <w:t>n</w:t>
      </w:r>
      <w:r w:rsidRPr="0082092B">
        <w:t>ras om att under Europeiska rådets möte i Lissabon enades stats- och rege</w:t>
      </w:r>
      <w:r w:rsidRPr="0082092B">
        <w:t>r</w:t>
      </w:r>
      <w:r w:rsidRPr="0082092B">
        <w:t>ingscheferna om ett nytt strategiskt mål: att unionen inom ett decennium skall bli världens mest konkurrenskraftiga och dynamiska kunskapsbaserade ek</w:t>
      </w:r>
      <w:r w:rsidRPr="0082092B">
        <w:t>o</w:t>
      </w:r>
      <w:r w:rsidRPr="0082092B">
        <w:t>nomi, med möjlighet till hållbar ekonomisk tillväxt med fler och bättre a</w:t>
      </w:r>
      <w:r w:rsidRPr="0082092B">
        <w:t>r</w:t>
      </w:r>
      <w:r w:rsidRPr="0082092B">
        <w:t>betstillfällen och en högre grad av social samma</w:t>
      </w:r>
      <w:r w:rsidRPr="0082092B">
        <w:t>n</w:t>
      </w:r>
      <w:r w:rsidRPr="0082092B">
        <w:t xml:space="preserve">hållning (s. 14). </w:t>
      </w:r>
    </w:p>
    <w:p w:rsidR="005F425D" w:rsidRPr="0082092B" w:rsidRDefault="005F425D">
      <w:pPr>
        <w:pStyle w:val="Normaltindrag"/>
      </w:pPr>
      <w:r w:rsidRPr="0082092B">
        <w:t>Europeiska rådets möte i Stockholm var ett första steg i uppföljningen av besluten i Lissabon. I Stockholm lades en bas för hur den fortsatta mod</w:t>
      </w:r>
      <w:r w:rsidRPr="0082092B">
        <w:t>ernis</w:t>
      </w:r>
      <w:r w:rsidRPr="0082092B">
        <w:t>e</w:t>
      </w:r>
      <w:r w:rsidRPr="0082092B">
        <w:t>ringen av den europeiska modellen skulle drivas vidare. Stats- och regering</w:t>
      </w:r>
      <w:r w:rsidRPr="0082092B">
        <w:t>s</w:t>
      </w:r>
      <w:r w:rsidRPr="0082092B">
        <w:t xml:space="preserve">cheferna slog bl.a. fast att målsättningarna från Lissabon förutsätter dels att unionen och medlemsstaterna ställer sig bakom målet om full sysselsättning, dels att ett dynamiskt EU måste bestå av välfärdsstater (skr. 2001/02:105 s. 15). </w:t>
      </w:r>
    </w:p>
    <w:p w:rsidR="005F425D" w:rsidRPr="0082092B" w:rsidRDefault="005F425D">
      <w:pPr>
        <w:pStyle w:val="R3"/>
        <w:outlineLvl w:val="0"/>
        <w:rPr>
          <w:snapToGrid w:val="0"/>
          <w:lang w:eastAsia="sv-SE"/>
        </w:rPr>
      </w:pPr>
      <w:r w:rsidRPr="0082092B">
        <w:t>Finansutskottets ställningstagande</w:t>
      </w:r>
    </w:p>
    <w:p w:rsidR="005F425D" w:rsidRPr="0082092B" w:rsidRDefault="005F425D">
      <w:r w:rsidRPr="0082092B">
        <w:t>Utskottet vill i enlighet med tidigare ställningstaganden erinra om att kampen mot arbetslöshet och för full sysselsättning även i fortsättningen utgör ett viktigt inslag i en aktiv svensk Europapolitik. De politiska förutsättningarna för ett stärkt samarbete är enligt utskottets mening goda. Den nya avdelningen om sysselsättning i EG-fördraget har medfört att sysselsättningsfrågan har fått en förstärkt pos</w:t>
      </w:r>
      <w:r w:rsidRPr="0082092B">
        <w:t>i</w:t>
      </w:r>
      <w:r w:rsidRPr="0082092B">
        <w:t xml:space="preserve">tion i EU:s samarbete. </w:t>
      </w:r>
    </w:p>
    <w:p w:rsidR="005F425D" w:rsidRPr="0082092B" w:rsidRDefault="005F425D">
      <w:pPr>
        <w:pStyle w:val="Normaltindrag"/>
      </w:pPr>
      <w:r w:rsidRPr="0082092B">
        <w:t>De allmänna riktlinjerna för den ekonomiska politiken och de gemensa</w:t>
      </w:r>
      <w:r w:rsidRPr="0082092B">
        <w:t>m</w:t>
      </w:r>
      <w:r w:rsidRPr="0082092B">
        <w:t>ma sysselsättningsriktlinjerna är viktiga instrument för ekonomisk-politisk samordning i EU. Ett starkt europeiskt samarbete skapar bättre förutsättningar för ett samlat agerande och kan därmed stödja de nationella ansträngningarna för ökad tillväxt och sysselsättning.</w:t>
      </w:r>
    </w:p>
    <w:p w:rsidR="005F425D" w:rsidRPr="0082092B" w:rsidRDefault="005F425D">
      <w:pPr>
        <w:pStyle w:val="Normaltindrag"/>
      </w:pPr>
      <w:r w:rsidRPr="0082092B">
        <w:t>Finansutskottet har vid flera tillfällen understrukit behovet av sunda stat</w:t>
      </w:r>
      <w:r w:rsidRPr="0082092B">
        <w:t>s</w:t>
      </w:r>
      <w:r w:rsidRPr="0082092B">
        <w:t xml:space="preserve">finanser, som är ett grundläggande inslag i stabilitetspakten (t.ex. bet. 1998/99:FiU20, bet. 1999/2000:FiU1, yttr. 1999/2000:FiU3y). Utskottet har också behandlat Riksbankens roll och penningpolitikens betydelse för att upprätthålla ett stabilt penningvärde (t.ex. bet. 1999/2000:FiU1, bet. 2000/01:FiU23). Utskottet har konstaterat att den låga inflationen och de låga inflationsförväntningarna skapar förutsättningar för en bra reallönetillväxt även vid relativt låga nominella lönepåslag. </w:t>
      </w:r>
    </w:p>
    <w:p w:rsidR="005F425D" w:rsidRPr="0082092B" w:rsidRDefault="005F425D">
      <w:pPr>
        <w:pStyle w:val="Normaltindrag"/>
      </w:pPr>
      <w:r w:rsidRPr="0082092B">
        <w:t>Mot bakgrund av d</w:t>
      </w:r>
      <w:r w:rsidRPr="0082092B">
        <w:t xml:space="preserve">et anförda finner utskottet inte någon riksdagens åtgärd påkallad. </w:t>
      </w:r>
    </w:p>
    <w:p w:rsidR="005F425D" w:rsidRPr="0082092B" w:rsidRDefault="005F425D">
      <w:pPr>
        <w:pStyle w:val="Rubrik2"/>
        <w:rPr>
          <w:snapToGrid w:val="0"/>
          <w:lang w:eastAsia="sv-SE"/>
        </w:rPr>
      </w:pPr>
      <w:bookmarkStart w:id="19" w:name="_Toc6281777"/>
      <w:bookmarkStart w:id="20" w:name="_Toc6911442"/>
      <w:bookmarkStart w:id="21" w:name="_Toc7596372"/>
      <w:r w:rsidRPr="0082092B">
        <w:rPr>
          <w:snapToGrid w:val="0"/>
          <w:lang w:eastAsia="sv-SE"/>
        </w:rPr>
        <w:t>Sveriges inflytande i EU</w:t>
      </w:r>
      <w:bookmarkEnd w:id="19"/>
      <w:bookmarkEnd w:id="20"/>
      <w:bookmarkEnd w:id="21"/>
    </w:p>
    <w:p w:rsidR="005F425D" w:rsidRPr="0082092B" w:rsidRDefault="005F425D">
      <w:pPr>
        <w:pStyle w:val="R3"/>
        <w:spacing w:before="235"/>
        <w:outlineLvl w:val="0"/>
      </w:pPr>
      <w:r w:rsidRPr="0082092B">
        <w:rPr>
          <w:snapToGrid w:val="0"/>
          <w:lang w:eastAsia="sv-SE"/>
        </w:rPr>
        <w:t>Motionen</w:t>
      </w:r>
    </w:p>
    <w:p w:rsidR="005F425D" w:rsidRPr="0082092B" w:rsidRDefault="005F425D">
      <w:pPr>
        <w:rPr>
          <w:snapToGrid w:val="0"/>
          <w:lang w:eastAsia="sv-SE"/>
        </w:rPr>
      </w:pPr>
      <w:r w:rsidRPr="0082092B">
        <w:t xml:space="preserve">I </w:t>
      </w:r>
      <w:r w:rsidRPr="0082092B">
        <w:rPr>
          <w:snapToGrid w:val="0"/>
          <w:lang w:eastAsia="sv-SE"/>
        </w:rPr>
        <w:t>motion 2001/02:Fi295 av Matz Hammarström m.fl. (mp) anförs att ett va</w:t>
      </w:r>
      <w:r w:rsidRPr="0082092B">
        <w:rPr>
          <w:snapToGrid w:val="0"/>
          <w:lang w:eastAsia="sv-SE"/>
        </w:rPr>
        <w:t>n</w:t>
      </w:r>
      <w:r w:rsidRPr="0082092B">
        <w:rPr>
          <w:snapToGrid w:val="0"/>
          <w:lang w:eastAsia="sv-SE"/>
        </w:rPr>
        <w:t>ligt argument för ett svenskt medlemskap i EMU är att vårt inflytande i EU urholkas om vi inte också deltar i EMU. Motionärerna anför att för att nå hög trovärdighet inom ett politiskt område är det rimligtvis mer vunnet att engag</w:t>
      </w:r>
      <w:r w:rsidRPr="0082092B">
        <w:rPr>
          <w:snapToGrid w:val="0"/>
          <w:lang w:eastAsia="sv-SE"/>
        </w:rPr>
        <w:t>e</w:t>
      </w:r>
      <w:r w:rsidRPr="0082092B">
        <w:rPr>
          <w:snapToGrid w:val="0"/>
          <w:lang w:eastAsia="sv-SE"/>
        </w:rPr>
        <w:t>ra sig kraftfullt inom detta område än att glatt följa med strömmen i allt. Vill Sverige upprätthålla ett fortsatt förtroende inom miljöområdet är det följakt</w:t>
      </w:r>
      <w:r w:rsidRPr="0082092B">
        <w:t>l</w:t>
      </w:r>
      <w:r w:rsidRPr="0082092B">
        <w:rPr>
          <w:snapToGrid w:val="0"/>
          <w:lang w:eastAsia="sv-SE"/>
        </w:rPr>
        <w:t>i</w:t>
      </w:r>
      <w:r w:rsidRPr="0082092B">
        <w:rPr>
          <w:snapToGrid w:val="0"/>
          <w:lang w:eastAsia="sv-SE"/>
        </w:rPr>
        <w:t>gen viktigare att exempelvis sluta att agera bromsk</w:t>
      </w:r>
      <w:r w:rsidRPr="0082092B">
        <w:rPr>
          <w:snapToGrid w:val="0"/>
          <w:lang w:eastAsia="sv-SE"/>
        </w:rPr>
        <w:t>loss i fråga om geme</w:t>
      </w:r>
      <w:r w:rsidRPr="0082092B">
        <w:rPr>
          <w:snapToGrid w:val="0"/>
          <w:lang w:eastAsia="sv-SE"/>
        </w:rPr>
        <w:t>n</w:t>
      </w:r>
      <w:r w:rsidRPr="0082092B">
        <w:rPr>
          <w:snapToGrid w:val="0"/>
          <w:lang w:eastAsia="sv-SE"/>
        </w:rPr>
        <w:t>samma miniminivåer för koldioxidskatter. Svenskt inflytande i EU förutsätter inte att vi också går med i EMU. Motionärerna föreslår att r</w:t>
      </w:r>
      <w:r w:rsidRPr="0082092B">
        <w:t>iksdagen tillkä</w:t>
      </w:r>
      <w:r w:rsidRPr="0082092B">
        <w:t>n</w:t>
      </w:r>
      <w:r w:rsidRPr="0082092B">
        <w:t xml:space="preserve">nager för regeringen som sin mening </w:t>
      </w:r>
      <w:r w:rsidRPr="0082092B">
        <w:rPr>
          <w:snapToGrid w:val="0"/>
        </w:rPr>
        <w:t>vad i motionen anförs om Sveriges inflytande i EU (yrkande 7).</w:t>
      </w:r>
    </w:p>
    <w:p w:rsidR="005F425D" w:rsidRPr="0082092B" w:rsidRDefault="005F425D">
      <w:pPr>
        <w:pStyle w:val="R3"/>
        <w:outlineLvl w:val="0"/>
      </w:pPr>
      <w:r w:rsidRPr="0082092B">
        <w:rPr>
          <w:snapToGrid w:val="0"/>
          <w:lang w:eastAsia="sv-SE"/>
        </w:rPr>
        <w:t>Finansutskottets</w:t>
      </w:r>
      <w:r w:rsidRPr="0082092B">
        <w:t xml:space="preserve"> ställningstagande</w:t>
      </w:r>
    </w:p>
    <w:p w:rsidR="005F425D" w:rsidRPr="0082092B" w:rsidRDefault="005F425D">
      <w:r w:rsidRPr="0082092B">
        <w:t xml:space="preserve">Utskottet vill hänvisa till att det av regeringens skrivelse 2001/02:105 om det svenska ordförandeskapet framgår att framgångar nåddes inom alla de tre huvudprioriterade områdena utvidgning, sysselsättning och miljö. Framsteg gjordes även inom ett flertal andra områden. </w:t>
      </w:r>
    </w:p>
    <w:p w:rsidR="005F425D" w:rsidRPr="0082092B" w:rsidRDefault="005F425D">
      <w:pPr>
        <w:pStyle w:val="Normaltindrag"/>
      </w:pPr>
      <w:r w:rsidRPr="0082092B">
        <w:t>När utskottet hösten 1997 behandlade propositionen om Sverige och den ekonomiska och monetära unionen (prop. 1997/98:25, bet. 1997/98:FiU9) framhöll utskottet vad i propositionen anfördes om att när Sverige står utanför valutaunionen skärps kraven ytterligare på att ha hög effektivitet i agerandet inom EU:s institutioner. Det blir än viktigare att ha god samordning och ko</w:t>
      </w:r>
      <w:r w:rsidRPr="0082092B">
        <w:t>n</w:t>
      </w:r>
      <w:r w:rsidRPr="0082092B">
        <w:t xml:space="preserve">sistens i agerandet för att kunna driva prioriterade frågor, betonade utskottet. </w:t>
      </w:r>
    </w:p>
    <w:p w:rsidR="005F425D" w:rsidRPr="0082092B" w:rsidRDefault="005F425D">
      <w:pPr>
        <w:pStyle w:val="Normaltindrag"/>
      </w:pPr>
      <w:r w:rsidRPr="0082092B">
        <w:t>Utskottet konstaterar att erfarenheten visar att Sverige kan utöva inflytande i EU. Någon riksdagens åtgärd är inte påkallad med anledning av m</w:t>
      </w:r>
      <w:r w:rsidRPr="0082092B">
        <w:t>o</w:t>
      </w:r>
      <w:r w:rsidRPr="0082092B">
        <w:t xml:space="preserve">tionen. </w:t>
      </w:r>
    </w:p>
    <w:p w:rsidR="005F425D" w:rsidRPr="0082092B" w:rsidRDefault="005F425D">
      <w:pPr>
        <w:pStyle w:val="Rubrik2"/>
      </w:pPr>
      <w:bookmarkStart w:id="22" w:name="_Toc6281778"/>
      <w:bookmarkStart w:id="23" w:name="_Toc6911443"/>
      <w:bookmarkStart w:id="24" w:name="_Toc7596373"/>
      <w:r w:rsidRPr="0082092B">
        <w:t>EU:s budget</w:t>
      </w:r>
      <w:bookmarkEnd w:id="22"/>
      <w:bookmarkEnd w:id="23"/>
      <w:bookmarkEnd w:id="24"/>
    </w:p>
    <w:p w:rsidR="005F425D" w:rsidRPr="0082092B" w:rsidRDefault="005F425D">
      <w:pPr>
        <w:pStyle w:val="R3"/>
        <w:spacing w:before="235"/>
        <w:outlineLvl w:val="0"/>
      </w:pPr>
      <w:r w:rsidRPr="0082092B">
        <w:rPr>
          <w:snapToGrid w:val="0"/>
          <w:lang w:eastAsia="sv-SE"/>
        </w:rPr>
        <w:t>Motionen</w:t>
      </w:r>
    </w:p>
    <w:p w:rsidR="005F425D" w:rsidRPr="0082092B" w:rsidRDefault="005F425D">
      <w:pPr>
        <w:rPr>
          <w:snapToGrid w:val="0"/>
          <w:lang w:eastAsia="sv-SE"/>
        </w:rPr>
      </w:pPr>
      <w:r w:rsidRPr="0082092B">
        <w:t xml:space="preserve">I motion 2001/02:U303 av Bo Lundgren m.fl. (m) framhålls att </w:t>
      </w:r>
      <w:r w:rsidRPr="0082092B">
        <w:rPr>
          <w:snapToGrid w:val="0"/>
          <w:lang w:eastAsia="sv-SE"/>
        </w:rPr>
        <w:t>EU inte skall utvecklas till att bli en transfereringsunion med beskattningsrätt. Nyttan av EU för var och en ligger inte i att unionen delar ut bidrag på skattebetalarnas bekostnad. Dessutom har det förekommit fusk och bedrägeri med pengar som kanaliseras via EU:s budget. Detta är allvarligt av ekonomiska skäl men också för att det uppluckrar samhällsmoralen. Motionärerna föreslår att riksdagen tillkännager för regeringen som sin mening vad i motionen anförs om att EU inte skall bli en transferering</w:t>
      </w:r>
      <w:r w:rsidRPr="0082092B">
        <w:rPr>
          <w:snapToGrid w:val="0"/>
          <w:lang w:eastAsia="sv-SE"/>
        </w:rPr>
        <w:t>s</w:t>
      </w:r>
      <w:r w:rsidRPr="0082092B">
        <w:rPr>
          <w:snapToGrid w:val="0"/>
          <w:lang w:eastAsia="sv-SE"/>
        </w:rPr>
        <w:t xml:space="preserve">union </w:t>
      </w:r>
      <w:r w:rsidRPr="0082092B">
        <w:rPr>
          <w:snapToGrid w:val="0"/>
          <w:lang w:eastAsia="sv-SE"/>
        </w:rPr>
        <w:t>(yrkande 11).</w:t>
      </w:r>
    </w:p>
    <w:p w:rsidR="005F425D" w:rsidRPr="0082092B" w:rsidRDefault="005F425D">
      <w:pPr>
        <w:pStyle w:val="R3"/>
        <w:outlineLvl w:val="0"/>
      </w:pPr>
      <w:r w:rsidRPr="0082092B">
        <w:rPr>
          <w:snapToGrid w:val="0"/>
          <w:lang w:eastAsia="sv-SE"/>
        </w:rPr>
        <w:t>Bakgrund</w:t>
      </w:r>
      <w:r w:rsidRPr="0082092B">
        <w:t xml:space="preserve"> om EU:s budget </w:t>
      </w:r>
    </w:p>
    <w:p w:rsidR="005F425D" w:rsidRPr="0082092B" w:rsidRDefault="005F425D">
      <w:r w:rsidRPr="0082092B">
        <w:t>Vid Europeiska rådets möte i Berlin 1999 träffades i samband med förhan</w:t>
      </w:r>
      <w:r w:rsidRPr="0082092B">
        <w:t>d</w:t>
      </w:r>
      <w:r w:rsidRPr="0082092B">
        <w:t>lingarna kring Agenda 2000 en överenskommelse om gemenskapsbudgetens utveckling och finansiering under perioden 2000–2006. Överenskommelsen har därefter formaliserats i ett s.k. finansiellt perspektiv och ett nytt rådsbeslut om gemenskapernas egna medel. Det finansiella perspektivet reglerar det totala utgiftsutrymmet för de årliga budgetarna under perioden. Det nya b</w:t>
      </w:r>
      <w:r w:rsidRPr="0082092B">
        <w:t>e</w:t>
      </w:r>
      <w:r w:rsidRPr="0082092B">
        <w:t>slutet om systemet för gemenskapernas egna medel fattades i september 2000. Beslutet innebär bland annat att taket för uttag av egna medel m</w:t>
      </w:r>
      <w:r w:rsidRPr="0082092B">
        <w:t>odifieras från 1,27 % av BNI enligt nationalräkenskapssystemet ENS 79 till motsvarande belopp uttryckt i procent av BNI enligt det nya nationalräkenskapssystemet ENS 95. Syftet med modifieringen av taket är att övergången till nytt nati</w:t>
      </w:r>
      <w:r w:rsidRPr="0082092B">
        <w:t>o</w:t>
      </w:r>
      <w:r w:rsidRPr="0082092B">
        <w:t>nalräkenskapssystem inte skall leda till ökade resurser för EU-budgeten. Samtliga femton medlemsländer har nu godkänt beslutet, i enlighet med b</w:t>
      </w:r>
      <w:r w:rsidRPr="0082092B">
        <w:t>e</w:t>
      </w:r>
      <w:r w:rsidRPr="0082092B">
        <w:t>stämmelserna i fördraget. För Sveriges vidkommande godkände riksdagen rådsbeslutet i mars 2001 (prop. 2000/01:45, bet. 2000/01:FiU</w:t>
      </w:r>
      <w:r w:rsidRPr="0082092B">
        <w:t>19, rskr. 2000/01:153). Beslutet trädde i kraft den 1 mars 2002 och kommer i huvu</w:t>
      </w:r>
      <w:r w:rsidRPr="0082092B">
        <w:t>d</w:t>
      </w:r>
      <w:r w:rsidRPr="0082092B">
        <w:t xml:space="preserve">sak att gälla retroaktivt från den 1 januari 2002. </w:t>
      </w:r>
    </w:p>
    <w:p w:rsidR="005F425D" w:rsidRPr="0082092B" w:rsidRDefault="005F425D">
      <w:r w:rsidRPr="0082092B">
        <w:t>Som ordförande ledde Sverige arbetet inom rådet med EU:s budget under våren 2001. Vid Ekofinrådet fördes för första gången en orienteringsdebatt om rådets budgetpolitiska prioriteringar. Rådet beslutade för första gången om prioriteringar för EG-budgeten för det kommande året, vilket var ett bet</w:t>
      </w:r>
      <w:r w:rsidRPr="0082092B">
        <w:t>y</w:t>
      </w:r>
      <w:r w:rsidRPr="0082092B">
        <w:t>dande framsteg för en stärkt och mer resu</w:t>
      </w:r>
      <w:r w:rsidRPr="0082092B">
        <w:t>l</w:t>
      </w:r>
      <w:r w:rsidRPr="0082092B">
        <w:t>tatorienterad budgetprocess.</w:t>
      </w:r>
    </w:p>
    <w:p w:rsidR="005F425D" w:rsidRPr="0082092B" w:rsidRDefault="005F425D">
      <w:pPr>
        <w:pStyle w:val="Normaltindrag"/>
      </w:pPr>
      <w:r w:rsidRPr="0082092B">
        <w:t>Sverige verkar för att nå en EU-budget som är så restriktiv som möjligt. Förbättrad budgetdisciplin vid användningen av EU:s medel är en prioriterad fråga för Sverige. Sverige önskar på sikt att genomföra mer strukturellt inri</w:t>
      </w:r>
      <w:r w:rsidRPr="0082092B">
        <w:t>k</w:t>
      </w:r>
      <w:r w:rsidRPr="0082092B">
        <w:t>tade besparingar och då framför allt genom förändringar av jordbruks- och strukturfondspolit</w:t>
      </w:r>
      <w:r w:rsidRPr="0082092B">
        <w:t>i</w:t>
      </w:r>
      <w:r w:rsidRPr="0082092B">
        <w:t>ken.</w:t>
      </w:r>
    </w:p>
    <w:p w:rsidR="005F425D" w:rsidRPr="0082092B" w:rsidRDefault="005F425D">
      <w:pPr>
        <w:pStyle w:val="R3"/>
        <w:outlineLvl w:val="0"/>
      </w:pPr>
      <w:r w:rsidRPr="0082092B">
        <w:rPr>
          <w:snapToGrid w:val="0"/>
          <w:lang w:eastAsia="sv-SE"/>
        </w:rPr>
        <w:t>Åtgärder</w:t>
      </w:r>
      <w:r w:rsidRPr="0082092B">
        <w:t xml:space="preserve"> för att stärka kampen mot bedrägerier</w:t>
      </w:r>
    </w:p>
    <w:p w:rsidR="005F425D" w:rsidRPr="0082092B" w:rsidRDefault="005F425D">
      <w:r w:rsidRPr="0082092B">
        <w:t>Regeringen anför i skrivelsen om verksamheten 2001 att även det året har präglats av reformeringen av den finansiella styrningen och kontrollen av EU-medlen som den nya kommissionen annonserade strax efter sitt tilltr</w:t>
      </w:r>
      <w:r w:rsidRPr="0082092B">
        <w:t>ä</w:t>
      </w:r>
      <w:r w:rsidRPr="0082092B">
        <w:t>de.</w:t>
      </w:r>
    </w:p>
    <w:p w:rsidR="005F425D" w:rsidRPr="0082092B" w:rsidRDefault="005F425D">
      <w:pPr>
        <w:pStyle w:val="Normaltindrag"/>
      </w:pPr>
      <w:r w:rsidRPr="0082092B">
        <w:t>Under 2001 presenterade kommissionen två förslag som rör det straffrätt</w:t>
      </w:r>
      <w:r w:rsidRPr="0082092B">
        <w:t>s</w:t>
      </w:r>
      <w:r w:rsidRPr="0082092B">
        <w:t>liga skyddet av gemenskapernas finansiella intressen. I juni presenterade kommissionen ett förslag till direktiv som inkorporerar de viktigaste bestä</w:t>
      </w:r>
      <w:r w:rsidRPr="0082092B">
        <w:t>m</w:t>
      </w:r>
      <w:r w:rsidRPr="0082092B">
        <w:t>melserna i konventionen om skyddet av gemenskapernas finansiella intressen som rådet antog 1995. Åtgärden följer av att flera medlemsstater ännu inte ratificerat konventionen, trots att rådet upprepade gånger uppmanat berörda medlemsstater att snarast göra det. I december 2001 presenterade kommmi</w:t>
      </w:r>
      <w:r w:rsidRPr="0082092B">
        <w:t>s</w:t>
      </w:r>
      <w:r w:rsidRPr="0082092B">
        <w:t>sionen en grönbok om inrättande av en europeisk åklagare för st</w:t>
      </w:r>
      <w:r w:rsidRPr="0082092B">
        <w:t>raffrättsligt skydd av gemenskapernas finansiella intressen. Med grönboken vill kommi</w:t>
      </w:r>
      <w:r w:rsidRPr="0082092B">
        <w:t>s</w:t>
      </w:r>
      <w:r w:rsidRPr="0082092B">
        <w:t>sionen inleda en öppen debatt inför kommissionens konkreta förslag senast i början av 2003 i förhoppningen att en rättslig grund för förslaget inkluderas i fördraget vid nästa regeringskonf</w:t>
      </w:r>
      <w:r w:rsidRPr="0082092B">
        <w:t>e</w:t>
      </w:r>
      <w:r w:rsidRPr="0082092B">
        <w:t xml:space="preserve">rens. </w:t>
      </w:r>
    </w:p>
    <w:p w:rsidR="005F425D" w:rsidRPr="0082092B" w:rsidRDefault="005F425D">
      <w:pPr>
        <w:pStyle w:val="Normaltindrag"/>
      </w:pPr>
      <w:r w:rsidRPr="0082092B">
        <w:t>Rådet antog i juni slutsatser om kommissionens årsrapport om bedräger</w:t>
      </w:r>
      <w:r w:rsidRPr="0082092B">
        <w:t>i</w:t>
      </w:r>
      <w:r w:rsidRPr="0082092B">
        <w:t>bekämpning för år 2000 samt handlingsplan för åren 2001–2003. Rådet vä</w:t>
      </w:r>
      <w:r w:rsidRPr="0082092B">
        <w:t>l</w:t>
      </w:r>
      <w:r w:rsidRPr="0082092B">
        <w:t>komnade i allt väsentligt de båda dokumenten och den inriktning som pr</w:t>
      </w:r>
      <w:r w:rsidRPr="0082092B">
        <w:t>e</w:t>
      </w:r>
      <w:r w:rsidRPr="0082092B">
        <w:t xml:space="preserve">senterades för verksamheten vid Europeiska byrån för bedrägeribekämpning (OLAF, från franskans </w:t>
      </w:r>
      <w:r w:rsidRPr="0082092B">
        <w:rPr>
          <w:i/>
          <w:snapToGrid w:val="0"/>
          <w:color w:val="000000"/>
          <w:lang w:eastAsia="sv-SE"/>
        </w:rPr>
        <w:t>Office Européen de Lutte Anti-Fraude</w:t>
      </w:r>
      <w:r w:rsidRPr="0082092B">
        <w:t>). Rådet under</w:t>
      </w:r>
      <w:r w:rsidRPr="0082092B">
        <w:softHyphen/>
        <w:t>strök bland annat vikten av ett nära samarbete med medlemsstaterna och uppmanade OLAF att i sin rapportering göra en bättre åtskillnad mellan b</w:t>
      </w:r>
      <w:r w:rsidRPr="0082092B">
        <w:t>e</w:t>
      </w:r>
      <w:r w:rsidRPr="0082092B">
        <w:t>drägerier och andra oegentligheter som upp</w:t>
      </w:r>
      <w:r w:rsidRPr="0082092B">
        <w:softHyphen/>
        <w:t>täckts. OLAF uppmanades även att utv</w:t>
      </w:r>
      <w:r w:rsidRPr="0082092B">
        <w:t>eckla sina analyser av de fall som upptäcks och kommu</w:t>
      </w:r>
      <w:r w:rsidRPr="0082092B">
        <w:softHyphen/>
        <w:t>nicera resultatet till medlemsstaternas myndigheter. OLAF har vidare i enlighet med Ekofi</w:t>
      </w:r>
      <w:r w:rsidRPr="0082092B">
        <w:t>n</w:t>
      </w:r>
      <w:r w:rsidRPr="0082092B">
        <w:t>rådets uppmaning utökat samarbetet med medlemsstaterna inom ramen för en rådgivande arbetsgru</w:t>
      </w:r>
      <w:r w:rsidRPr="0082092B">
        <w:t>p</w:t>
      </w:r>
      <w:r w:rsidRPr="0082092B">
        <w:t>p.</w:t>
      </w:r>
    </w:p>
    <w:p w:rsidR="005F425D" w:rsidRPr="0082092B" w:rsidRDefault="005F425D">
      <w:pPr>
        <w:pStyle w:val="R3"/>
        <w:outlineLvl w:val="0"/>
      </w:pPr>
      <w:r w:rsidRPr="0082092B">
        <w:rPr>
          <w:snapToGrid w:val="0"/>
          <w:lang w:eastAsia="sv-SE"/>
        </w:rPr>
        <w:t>Åtgärder</w:t>
      </w:r>
      <w:r w:rsidRPr="0082092B">
        <w:t xml:space="preserve"> för förbättrad styrning och kontroll</w:t>
      </w:r>
    </w:p>
    <w:p w:rsidR="005F425D" w:rsidRPr="0082092B" w:rsidRDefault="005F425D">
      <w:r w:rsidRPr="0082092B">
        <w:t>Den särskilda referensgruppen av personliga representanter för EU:s finan</w:t>
      </w:r>
      <w:r w:rsidRPr="0082092B">
        <w:t>s</w:t>
      </w:r>
      <w:r w:rsidRPr="0082092B">
        <w:t>ministrar har fortsatt att sammanträda under ledning av budgetkommissionär Michaele Schreyer. Gruppen följer upp och ger råd till kommissionen om hur den finansiella styrningen och kontrollen kan utvecklas. En lägesrapport överlämnades till Ekofinrådet i februari 2001 när det gäller gruppens ver</w:t>
      </w:r>
      <w:r w:rsidRPr="0082092B">
        <w:t>k</w:t>
      </w:r>
      <w:r w:rsidRPr="0082092B">
        <w:t>samhet år 2000.</w:t>
      </w:r>
    </w:p>
    <w:p w:rsidR="005F425D" w:rsidRPr="0082092B" w:rsidRDefault="005F425D">
      <w:pPr>
        <w:pStyle w:val="Normaltindrag"/>
      </w:pPr>
      <w:r w:rsidRPr="0082092B">
        <w:t>Våren 2001 präglades av rådsbehandlingen av kommissionens förslag till en ny budgetförordning som presenterades i oktober 2000. Förslaget är avg</w:t>
      </w:r>
      <w:r w:rsidRPr="0082092B">
        <w:t>ö</w:t>
      </w:r>
      <w:r w:rsidRPr="0082092B">
        <w:t>rande för reformeringen av den finansiella styrningen och kontrollen som bland annat syftar till att effektivisera genomförandet av de EU-finansierade programmen. Normalt sett inleder inte rådet behandlingen av budgetföror</w:t>
      </w:r>
      <w:r w:rsidRPr="0082092B">
        <w:t>d</w:t>
      </w:r>
      <w:r w:rsidRPr="0082092B">
        <w:t>ningsförslag förrän Europaparlamentet och revisionsrätten avgivit sina yttra</w:t>
      </w:r>
      <w:r w:rsidRPr="0082092B">
        <w:t>n</w:t>
      </w:r>
      <w:r w:rsidRPr="0082092B">
        <w:t>den. I ljuset av att ärendet prioriterades av det svenska ordförandeskapet inleddes förhandlingarna i rådet i januari 2001, vilket resulterade i slutsatser antagna av Ekofinrådet den 5 juni 2001 om de viktigaste</w:t>
      </w:r>
      <w:r w:rsidRPr="0082092B">
        <w:t xml:space="preserve"> reforminslagen i kommissionens förslag. Genom detta arbete bör rådsbehandlingen av ko</w:t>
      </w:r>
      <w:r w:rsidRPr="0082092B">
        <w:t>m</w:t>
      </w:r>
      <w:r w:rsidRPr="0082092B">
        <w:t>missionens reviderade förslag till förordning kunna genomföras snabbare än normalt. Arbetet med att tillförsäkra EU en effektivare användning av bu</w:t>
      </w:r>
      <w:r w:rsidRPr="0082092B">
        <w:t>d</w:t>
      </w:r>
      <w:r w:rsidRPr="0082092B">
        <w:t>getmedlen tog ett steg framåt vid Europeiska rådets möte i Göteborg i juni 2001 genom ställningstagandet att en helt ny budgetförordning skall vara beslutad före utgången av 2002. Detta är en förutsättning för att EU:s budge</w:t>
      </w:r>
      <w:r w:rsidRPr="0082092B">
        <w:t>t</w:t>
      </w:r>
      <w:r w:rsidRPr="0082092B">
        <w:t xml:space="preserve">process skall kunna moderniseras och understödja en </w:t>
      </w:r>
      <w:r w:rsidRPr="0082092B">
        <w:t>bättre användning och kontroll av budge</w:t>
      </w:r>
      <w:r w:rsidRPr="0082092B">
        <w:t>t</w:t>
      </w:r>
      <w:r w:rsidRPr="0082092B">
        <w:t xml:space="preserve">medlen. </w:t>
      </w:r>
    </w:p>
    <w:p w:rsidR="005F425D" w:rsidRPr="0082092B" w:rsidRDefault="005F425D">
      <w:pPr>
        <w:pStyle w:val="Normaltindrag"/>
      </w:pPr>
      <w:r w:rsidRPr="0082092B">
        <w:t>En politisk överenskommelse har nåtts om det övergripande innehållet vars huvudinslag omfattar regler för ansvar och ansvarstagande i kommissionen, tydligare och enklare regler för budgetering och utnyttjande av anslagsmedel, krav på uppföljning och utvärdering av den verksamhet som finansieras från EG-budgeten, t.ex. biståndet och andra utrikespolitiska åtgärder, samt kos</w:t>
      </w:r>
      <w:r w:rsidRPr="0082092B">
        <w:t>t</w:t>
      </w:r>
      <w:r w:rsidRPr="0082092B">
        <w:t>nadseffekt</w:t>
      </w:r>
      <w:r w:rsidRPr="0082092B">
        <w:t>i</w:t>
      </w:r>
      <w:r w:rsidRPr="0082092B">
        <w:t>vare rutiner för bl.a. upphandling.</w:t>
      </w:r>
    </w:p>
    <w:p w:rsidR="005F425D" w:rsidRPr="0082092B" w:rsidRDefault="005F425D">
      <w:pPr>
        <w:pStyle w:val="Normaltindrag"/>
      </w:pPr>
      <w:r w:rsidRPr="0082092B">
        <w:t>Ett inslag i reformerna av den finansiella styrningen och kontrollen är bi</w:t>
      </w:r>
      <w:r w:rsidRPr="0082092B">
        <w:t>l</w:t>
      </w:r>
      <w:r w:rsidRPr="0082092B">
        <w:t>dandet av en oberoende funktion för intern revision i kommissionen, separ</w:t>
      </w:r>
      <w:r w:rsidRPr="0082092B">
        <w:t>e</w:t>
      </w:r>
      <w:r w:rsidRPr="0082092B">
        <w:t>rad från direktoratet för ekonomistyrning. Då kommissionen bedömde att denna del av reformerna borde in</w:t>
      </w:r>
      <w:r w:rsidRPr="0082092B">
        <w:softHyphen/>
        <w:t>föras med förtur, lyftes detta förslag ur fö</w:t>
      </w:r>
      <w:r w:rsidRPr="0082092B">
        <w:t>r</w:t>
      </w:r>
      <w:r w:rsidRPr="0082092B">
        <w:t>slaget till en helt ny förordning och presen</w:t>
      </w:r>
      <w:r w:rsidRPr="0082092B">
        <w:softHyphen/>
        <w:t>te</w:t>
      </w:r>
      <w:r w:rsidRPr="0082092B">
        <w:softHyphen/>
        <w:t xml:space="preserve">rades i stället för rådet som ett tillägg till den nu gällande budgetförordningen. Denna ändring antogs av Ekofinrådet i mars 2001 efter att medling ägt rum med Europaparlamentet. </w:t>
      </w:r>
    </w:p>
    <w:p w:rsidR="005F425D" w:rsidRPr="0082092B" w:rsidRDefault="005F425D">
      <w:pPr>
        <w:pStyle w:val="R3"/>
      </w:pPr>
      <w:r w:rsidRPr="0082092B">
        <w:rPr>
          <w:snapToGrid w:val="0"/>
          <w:lang w:eastAsia="sv-SE"/>
        </w:rPr>
        <w:br w:type="page"/>
        <w:t>Finansutskottets</w:t>
      </w:r>
      <w:r w:rsidRPr="0082092B">
        <w:t xml:space="preserve"> tidigare ställningstagande beträffande beskattningsrätt</w:t>
      </w:r>
    </w:p>
    <w:p w:rsidR="005F425D" w:rsidRPr="0082092B" w:rsidRDefault="005F425D">
      <w:pPr>
        <w:rPr>
          <w:snapToGrid w:val="0"/>
          <w:lang w:eastAsia="sv-SE"/>
        </w:rPr>
      </w:pPr>
      <w:r w:rsidRPr="0082092B">
        <w:rPr>
          <w:snapToGrid w:val="0"/>
          <w:lang w:eastAsia="sv-SE"/>
        </w:rPr>
        <w:t>I frågan om beskattningsrätt anförde utskottet följande i bet. 1996/97:FiU5:</w:t>
      </w:r>
    </w:p>
    <w:p w:rsidR="005F425D" w:rsidRPr="0082092B" w:rsidRDefault="005F425D">
      <w:pPr>
        <w:pStyle w:val="Citat"/>
      </w:pPr>
      <w:r w:rsidRPr="0082092B">
        <w:t>Finansutskottet har senast i sitt yttrande (1995/96:FiU3y) över regerin</w:t>
      </w:r>
      <w:r w:rsidRPr="0082092B">
        <w:t>g</w:t>
      </w:r>
      <w:r w:rsidRPr="0082092B">
        <w:t>ens skrivelse om EU:s regeringskonferens behandlat frågan om finansi</w:t>
      </w:r>
      <w:r w:rsidRPr="0082092B">
        <w:t>e</w:t>
      </w:r>
      <w:r w:rsidRPr="0082092B">
        <w:t>ring av EU:s verksamhet. Utskottet framhöll då att EU varken skall e</w:t>
      </w:r>
      <w:r w:rsidRPr="0082092B">
        <w:t>r</w:t>
      </w:r>
      <w:r w:rsidRPr="0082092B">
        <w:t>hålla beskattningsrätt eller ges rätt att ta ut specifika avgifter. Finansu</w:t>
      </w:r>
      <w:r w:rsidRPr="0082092B">
        <w:t>t</w:t>
      </w:r>
      <w:r w:rsidRPr="0082092B">
        <w:t>skottet vidhåller sin uppfattning att finansieringen av EU:s verksamhet även i fortsättningen bör ske genom avgifter från medlemsländerna.</w:t>
      </w:r>
    </w:p>
    <w:p w:rsidR="005F425D" w:rsidRPr="0082092B" w:rsidRDefault="005F425D">
      <w:pPr>
        <w:pStyle w:val="R3"/>
        <w:outlineLvl w:val="0"/>
        <w:rPr>
          <w:snapToGrid w:val="0"/>
          <w:lang w:eastAsia="sv-SE"/>
        </w:rPr>
      </w:pPr>
      <w:r w:rsidRPr="0082092B">
        <w:rPr>
          <w:snapToGrid w:val="0"/>
          <w:lang w:eastAsia="sv-SE"/>
        </w:rPr>
        <w:t>Finansutskottets ställningstagande</w:t>
      </w:r>
    </w:p>
    <w:p w:rsidR="005F425D" w:rsidRPr="0082092B" w:rsidRDefault="005F425D">
      <w:pPr>
        <w:rPr>
          <w:snapToGrid w:val="0"/>
          <w:lang w:eastAsia="sv-SE"/>
        </w:rPr>
      </w:pPr>
      <w:r w:rsidRPr="0082092B">
        <w:rPr>
          <w:snapToGrid w:val="0"/>
          <w:lang w:eastAsia="sv-SE"/>
        </w:rPr>
        <w:t>Finansutskottet konstaterar att det för närvarande sker mycket i EU inom de aktuella områdena. Utskottet har vid ett flertal tillfällen hänvisat till de av riksdagen godkända målen för den svenska EU-budgetpolitiken, som innebär en effektiv och återhållsam budgetpolitik. Utskottet anförde t.ex. hösten 2001 (bet. 2001/02:FiU5) följande:</w:t>
      </w:r>
    </w:p>
    <w:p w:rsidR="005F425D" w:rsidRPr="0082092B" w:rsidRDefault="005F425D">
      <w:pPr>
        <w:pStyle w:val="Citat"/>
      </w:pPr>
      <w:r w:rsidRPr="0082092B">
        <w:t>Utskottet vill erinra om att riksdagen hösten 1994 godkände målen för den svenska EU-budgetpolitiken (prop. 1994/95:40, bet. 1994/95:FiU5). Målen innebär bl.a. att Sverige skall verka för en effektiv och återhållsam budgetpolitik inom EU. Vidare skall Sverige verka för en förbättrad bu</w:t>
      </w:r>
      <w:r w:rsidRPr="0082092B">
        <w:t>d</w:t>
      </w:r>
      <w:r w:rsidRPr="0082092B">
        <w:t>getdisciplin vid användningen av EU:s budgetmedel. Finansutskottet har vid flera tillfällen hänvisat till dessa mål (senast i bet. 2001/02:FiU1 s. 301).</w:t>
      </w:r>
    </w:p>
    <w:p w:rsidR="005F425D" w:rsidRPr="0082092B" w:rsidRDefault="005F425D">
      <w:pPr>
        <w:pStyle w:val="Citat"/>
      </w:pPr>
      <w:r w:rsidRPr="0082092B">
        <w:t>Vidare framgår av budgetpropositionen (utg.omr. 27, s. 7) att taket om högst 1,27 % av BNI ligger fast i det rådsbeslut om gemenskapens egna medel som riksdagen godkände i mars 2001 (prop. 2000/01:45, bet. FiU19, rskr. 153).</w:t>
      </w:r>
    </w:p>
    <w:p w:rsidR="005F425D" w:rsidRPr="0082092B" w:rsidRDefault="005F425D">
      <w:r w:rsidRPr="0082092B">
        <w:t>Utskottet kan konstatera att regeringen redan driver en restriktiv budgetpolitik inom EU och prioriterar en förbättrad budgetdisciplin. Utskottet förutsätter att regeringen med kraft fortsätter att driva dessa ståndpunkter. Någon riksdagens åtgärd är mot denna bakgrund inte påkallad.</w:t>
      </w:r>
    </w:p>
    <w:p w:rsidR="005F425D" w:rsidRPr="0082092B" w:rsidRDefault="005F425D">
      <w:pPr>
        <w:pStyle w:val="Rubrik2"/>
        <w:rPr>
          <w:snapToGrid w:val="0"/>
          <w:lang w:eastAsia="sv-SE"/>
        </w:rPr>
      </w:pPr>
      <w:bookmarkStart w:id="25" w:name="_Toc6281779"/>
      <w:bookmarkStart w:id="26" w:name="_Toc6911444"/>
      <w:bookmarkStart w:id="27" w:name="_Toc7596374"/>
      <w:r w:rsidRPr="0082092B">
        <w:rPr>
          <w:snapToGrid w:val="0"/>
          <w:lang w:eastAsia="sv-SE"/>
        </w:rPr>
        <w:t>Miljöfrågor: Gröna räkenskaper och gröna nyckeltal</w:t>
      </w:r>
      <w:bookmarkEnd w:id="25"/>
      <w:bookmarkEnd w:id="26"/>
      <w:bookmarkEnd w:id="27"/>
    </w:p>
    <w:p w:rsidR="005F425D" w:rsidRPr="0082092B" w:rsidRDefault="005F425D">
      <w:pPr>
        <w:pStyle w:val="R3"/>
        <w:spacing w:before="235"/>
        <w:outlineLvl w:val="0"/>
      </w:pPr>
      <w:r w:rsidRPr="0082092B">
        <w:rPr>
          <w:snapToGrid w:val="0"/>
          <w:lang w:eastAsia="sv-SE"/>
        </w:rPr>
        <w:t>Motionen</w:t>
      </w:r>
    </w:p>
    <w:p w:rsidR="005F425D" w:rsidRPr="0082092B" w:rsidRDefault="005F425D">
      <w:pPr>
        <w:rPr>
          <w:snapToGrid w:val="0"/>
          <w:lang w:eastAsia="sv-SE"/>
        </w:rPr>
      </w:pPr>
      <w:r w:rsidRPr="0082092B">
        <w:t xml:space="preserve">I motion 2001/02:U348 av Yvonne Ruwaida m.fl. (mp) anförs att regeringen i ministerrådet i de sammanhang där det lämpar sig bör driva frågan om ett ramprogram för integrering av miljöfrågorna i övrig verksamhet. Bland de insatser som bör ingå i ett sådant ramprogram hör en utveckling av systemet med s.k. gröna </w:t>
      </w:r>
      <w:r w:rsidRPr="0082092B">
        <w:rPr>
          <w:snapToGrid w:val="0"/>
          <w:lang w:eastAsia="sv-SE"/>
        </w:rPr>
        <w:t>räkenskaper eller ”grön NNP” där även slitage på det naturliga kapitalet finns med i kalkylen. Motionärerna föreslår att riksdagen tillkänn</w:t>
      </w:r>
      <w:r w:rsidRPr="0082092B">
        <w:rPr>
          <w:snapToGrid w:val="0"/>
          <w:lang w:eastAsia="sv-SE"/>
        </w:rPr>
        <w:t>a</w:t>
      </w:r>
      <w:r w:rsidRPr="0082092B">
        <w:rPr>
          <w:snapToGrid w:val="0"/>
          <w:lang w:eastAsia="sv-SE"/>
        </w:rPr>
        <w:t>ger för regeringen som sin mening vad som i motionen anförs om att rege</w:t>
      </w:r>
      <w:r w:rsidRPr="0082092B">
        <w:rPr>
          <w:snapToGrid w:val="0"/>
          <w:lang w:eastAsia="sv-SE"/>
        </w:rPr>
        <w:t>r</w:t>
      </w:r>
      <w:r w:rsidRPr="0082092B">
        <w:rPr>
          <w:snapToGrid w:val="0"/>
          <w:lang w:eastAsia="sv-SE"/>
        </w:rPr>
        <w:t>ingen bör verka för att EU skall utveckla systemet med gröna räkenskaper och att systemet med gröna nyckeltal införs även på EU-nivå (yrkande 6).</w:t>
      </w:r>
    </w:p>
    <w:p w:rsidR="005F425D" w:rsidRPr="0082092B" w:rsidRDefault="005F425D">
      <w:pPr>
        <w:pStyle w:val="Normaltindrag"/>
        <w:rPr>
          <w:snapToGrid w:val="0"/>
          <w:lang w:eastAsia="sv-SE"/>
        </w:rPr>
      </w:pPr>
      <w:r w:rsidRPr="0082092B">
        <w:rPr>
          <w:snapToGrid w:val="0"/>
          <w:lang w:eastAsia="sv-SE"/>
        </w:rPr>
        <w:t>I</w:t>
      </w:r>
      <w:r w:rsidRPr="0082092B">
        <w:t xml:space="preserve"> motionen framhålls vidare att m</w:t>
      </w:r>
      <w:r w:rsidRPr="0082092B">
        <w:rPr>
          <w:snapToGrid w:val="0"/>
          <w:lang w:eastAsia="sv-SE"/>
        </w:rPr>
        <w:t>ånga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En plan för hur systemet med ekologiska fotavtryck skall kunna implementeras i unionens ekonomiska politik bör tas fram. Motion</w:t>
      </w:r>
      <w:r w:rsidRPr="0082092B">
        <w:rPr>
          <w:snapToGrid w:val="0"/>
          <w:lang w:eastAsia="sv-SE"/>
        </w:rPr>
        <w:t>ä</w:t>
      </w:r>
      <w:r w:rsidRPr="0082092B">
        <w:rPr>
          <w:snapToGrid w:val="0"/>
          <w:lang w:eastAsia="sv-SE"/>
        </w:rPr>
        <w:t xml:space="preserve">rerna föreslår att riksdagen tillkännager för regeringen som </w:t>
      </w:r>
      <w:r w:rsidRPr="0082092B">
        <w:rPr>
          <w:snapToGrid w:val="0"/>
          <w:lang w:eastAsia="sv-SE"/>
        </w:rPr>
        <w:t>sin mening vad som i motionen anförs om att regeringen skall verka för att systemet med ekologiska fotavtryck skall kunna implementeras i EU:s ekonomiska politik (yrkande 8).</w:t>
      </w:r>
    </w:p>
    <w:p w:rsidR="005F425D" w:rsidRPr="0082092B" w:rsidRDefault="005F425D">
      <w:pPr>
        <w:pStyle w:val="R3"/>
        <w:outlineLvl w:val="0"/>
        <w:rPr>
          <w:snapToGrid w:val="0"/>
          <w:lang w:eastAsia="sv-SE"/>
        </w:rPr>
      </w:pPr>
      <w:r w:rsidRPr="0082092B">
        <w:rPr>
          <w:snapToGrid w:val="0"/>
          <w:lang w:eastAsia="sv-SE"/>
        </w:rPr>
        <w:t>Regeringens skrivelse om ordförandeskapet</w:t>
      </w:r>
    </w:p>
    <w:p w:rsidR="005F425D" w:rsidRPr="0082092B" w:rsidRDefault="005F425D">
      <w:r w:rsidRPr="0082092B">
        <w:t>En av de tre svenska huvudprioriteringarna under ordförandeskapet var mi</w:t>
      </w:r>
      <w:r w:rsidRPr="0082092B">
        <w:t>l</w:t>
      </w:r>
      <w:r w:rsidRPr="0082092B">
        <w:t>jön. I skrivelse 2001/02:105 om det svenska ordförandeskapet erinras om att rådet i juni 2001 antog en gemensam ståndpunkt om det sjätte miljöhan</w:t>
      </w:r>
      <w:r w:rsidRPr="0082092B">
        <w:t>d</w:t>
      </w:r>
      <w:r w:rsidRPr="0082092B">
        <w:t>lingsprogrammet (s. 20 f.). Jämfört med kommissionens förslag höjdes amb</w:t>
      </w:r>
      <w:r w:rsidRPr="0082092B">
        <w:t>i</w:t>
      </w:r>
      <w:r w:rsidRPr="0082092B">
        <w:t>tionerna väsentligt under arbetet i rådet under det svenska ordförandeskapet. I programmet formuleras riktlinjerna för unionens miljöpolitik för de komma</w:t>
      </w:r>
      <w:r w:rsidRPr="0082092B">
        <w:t>n</w:t>
      </w:r>
      <w:r w:rsidRPr="0082092B">
        <w:t>de 10 åren. I programmet anges fyra prioriterade områden för gemenskapså</w:t>
      </w:r>
      <w:r w:rsidRPr="0082092B">
        <w:t>t</w:t>
      </w:r>
      <w:r w:rsidRPr="0082092B">
        <w:t>gärder: 1. klimat, 2. natur och biologisk mångfald, 3. miljö, häl</w:t>
      </w:r>
      <w:r w:rsidRPr="0082092B">
        <w:t>sa och liv</w:t>
      </w:r>
      <w:r w:rsidRPr="0082092B">
        <w:t>s</w:t>
      </w:r>
      <w:r w:rsidRPr="0082092B">
        <w:t xml:space="preserve">miljö samt 4. naturresurser och avfall. Konkreta åtgärdsförslag skall antas fyra år efter ikraftträdandet och de skall vara genomförda före programtidens utgång. </w:t>
      </w:r>
    </w:p>
    <w:p w:rsidR="005F425D" w:rsidRPr="0082092B" w:rsidRDefault="005F425D">
      <w:pPr>
        <w:pStyle w:val="Normaltindrag"/>
      </w:pPr>
      <w:r w:rsidRPr="0082092B">
        <w:t>Programmet innebär också att sju strategier skall utvecklas av kommissi</w:t>
      </w:r>
      <w:r w:rsidRPr="0082092B">
        <w:t>o</w:t>
      </w:r>
      <w:r w:rsidRPr="0082092B">
        <w:t>nen för att fastställa ytterligare kvantifierbara och tidsbestämda mål. Strateg</w:t>
      </w:r>
      <w:r w:rsidRPr="0082092B">
        <w:t>i</w:t>
      </w:r>
      <w:r w:rsidRPr="0082092B">
        <w:t>erna skall omfatta luftkvalitet, marin miljö, resursanvändning, bekämpning</w:t>
      </w:r>
      <w:r w:rsidRPr="0082092B">
        <w:t>s</w:t>
      </w:r>
      <w:r w:rsidRPr="0082092B">
        <w:t>medel, avfallsåtervinning, markfrågor och stadsmiljö. Det sjätte miljöhan</w:t>
      </w:r>
      <w:r w:rsidRPr="0082092B">
        <w:t>d</w:t>
      </w:r>
      <w:r w:rsidRPr="0082092B">
        <w:t>lingsprogrammet skall vidare vara vägledande i utformningen respektive revideringen av de s.k. sektorsstrategierna om integration av miljöhänsyn i olika politi</w:t>
      </w:r>
      <w:r w:rsidRPr="0082092B">
        <w:t>k</w:t>
      </w:r>
      <w:r w:rsidRPr="0082092B">
        <w:t>områden.</w:t>
      </w:r>
    </w:p>
    <w:p w:rsidR="005F425D" w:rsidRPr="0082092B" w:rsidRDefault="005F425D">
      <w:pPr>
        <w:pStyle w:val="R3"/>
        <w:outlineLvl w:val="0"/>
        <w:rPr>
          <w:snapToGrid w:val="0"/>
          <w:lang w:eastAsia="sv-SE"/>
        </w:rPr>
      </w:pPr>
      <w:r w:rsidRPr="0082092B">
        <w:rPr>
          <w:snapToGrid w:val="0"/>
          <w:lang w:eastAsia="sv-SE"/>
        </w:rPr>
        <w:t>Pågående arbete</w:t>
      </w:r>
    </w:p>
    <w:p w:rsidR="005F425D" w:rsidRPr="0082092B" w:rsidRDefault="005F425D">
      <w:r w:rsidRPr="0082092B">
        <w:t>Utvecklingen av miljöräkenskaper bedrivs i Sverige som ett gemensamt pr</w:t>
      </w:r>
      <w:r w:rsidRPr="0082092B">
        <w:t>o</w:t>
      </w:r>
      <w:r w:rsidRPr="0082092B">
        <w:t>jekt mellan Naturvårdsverket (NV), Konjunkturinstitutet (KI) och Statistiska centralbyrån (SCB). Det är ett projekt med långsiktig inriktning, och arbetet avser fortfarande till stor del forskning och metodutveckling. Under de s</w:t>
      </w:r>
      <w:r w:rsidRPr="0082092B">
        <w:t>e</w:t>
      </w:r>
      <w:r w:rsidRPr="0082092B">
        <w:t>naste åren har NV, KI och SCB i den gemensamma rapportserien ”Miljö</w:t>
      </w:r>
      <w:r w:rsidRPr="0082092B">
        <w:softHyphen/>
        <w:t>räkenskaper” publicerat flera rapporter om metoder, analyser och mätdata, t.ex. rapport nr 2000:7 Metod för samhällsekonomisk analys av miljöåtgä</w:t>
      </w:r>
      <w:r w:rsidRPr="0082092B">
        <w:t>r</w:t>
      </w:r>
      <w:r w:rsidRPr="0082092B">
        <w:t>der.</w:t>
      </w:r>
    </w:p>
    <w:p w:rsidR="005F425D" w:rsidRPr="0082092B" w:rsidRDefault="005F425D">
      <w:pPr>
        <w:pStyle w:val="Normaltindrag"/>
      </w:pPr>
      <w:r w:rsidRPr="0082092B">
        <w:t xml:space="preserve">Miljöräkenskaper är i högsta grad ett internationellt projekt, </w:t>
      </w:r>
      <w:r w:rsidRPr="0082092B">
        <w:t>i vilket EU och speciellt Sverige är ledande och långt framme i processen. Eurostat, E</w:t>
      </w:r>
      <w:r w:rsidRPr="0082092B">
        <w:t>u</w:t>
      </w:r>
      <w:r w:rsidRPr="0082092B">
        <w:t>ropeiska statistikbyrån, producerar och publicerar en mängd statistik inom miljöområdet. Det internationella samarbetet drivs också i FN:s regi. Det är inom FN:s ram som EU-länderna främst samarbetar kring frågan om miljör</w:t>
      </w:r>
      <w:r w:rsidRPr="0082092B">
        <w:t>ä</w:t>
      </w:r>
      <w:r w:rsidRPr="0082092B">
        <w:t xml:space="preserve">kenskaper. En ny och förbättrad handbok om miljöräkenskaper har just tagits fram inom ramen för den s.k. Londongruppen. Den handbok som tidigare använts av flertalet länder togs fram 1993, då de flesta </w:t>
      </w:r>
      <w:r w:rsidRPr="0082092B">
        <w:t>ländernas räkenskap</w:t>
      </w:r>
      <w:r w:rsidRPr="0082092B">
        <w:t>s</w:t>
      </w:r>
      <w:r w:rsidRPr="0082092B">
        <w:t>projekt låg i startgropa</w:t>
      </w:r>
      <w:r w:rsidRPr="0082092B">
        <w:t>r</w:t>
      </w:r>
      <w:r w:rsidRPr="0082092B">
        <w:t xml:space="preserve">na. </w:t>
      </w:r>
    </w:p>
    <w:p w:rsidR="005F425D" w:rsidRPr="0082092B" w:rsidRDefault="005F425D">
      <w:pPr>
        <w:pStyle w:val="Normaltindrag"/>
      </w:pPr>
      <w:r w:rsidRPr="0082092B">
        <w:t>Som ett av de första länderna i världen presenterade regeringen en uppsät</w:t>
      </w:r>
      <w:r w:rsidRPr="0082092B">
        <w:t>t</w:t>
      </w:r>
      <w:r w:rsidRPr="0082092B">
        <w:t>ning s.k. gröna nyckeltal i 1999 års ekonomiska vårproposition. Nyckeltalen är ett av regeringens instrument för att följa miljöpolitikens övergripande mål. Nyckeltalen används som vägledning för politiska beslut och som underlag för samhällsdebatt på samma sätt som andra ekonomiska nyckeltal. De gröna nyckeltalen presenteras löpande för riksdagen.</w:t>
      </w:r>
    </w:p>
    <w:p w:rsidR="005F425D" w:rsidRPr="0082092B" w:rsidRDefault="005F425D">
      <w:pPr>
        <w:pStyle w:val="Normaltindrag"/>
      </w:pPr>
      <w:r w:rsidRPr="0082092B">
        <w:t>Inom EU pågår arbete på flera plan för att utveckla indikatorer för en hål</w:t>
      </w:r>
      <w:r w:rsidRPr="0082092B">
        <w:t>l</w:t>
      </w:r>
      <w:r w:rsidRPr="0082092B">
        <w:t>bar utveckling. Till exempel har en till kommissionen knuten expertgrupp sedan början av 1999 arbetat med att ta fram övergripande miljöindikatorer på EU-nivå, motsvarande de gröna nyckeltal som regeringen arbetar med. Sver</w:t>
      </w:r>
      <w:r w:rsidRPr="0082092B">
        <w:t>i</w:t>
      </w:r>
      <w:r w:rsidRPr="0082092B">
        <w:t>ge deltar i expertgruppen genom representanter från Miljödepartementet och Naturvårdsverket. Inför Europeiska rådets möte i Barcelona i mars 2002 presenterade kommissionen rapporten Lissabonstrategin – möjligheter till förändring. I en bilaga till rapporten redovisas olika indikatorer m</w:t>
      </w:r>
      <w:r w:rsidRPr="0082092B">
        <w:t>ed avseende på Lissabonstrategien, således bl.a. inom miljöområdet. Nio olika indikatorer redovisas inom milj</w:t>
      </w:r>
      <w:r w:rsidRPr="0082092B">
        <w:t>ö</w:t>
      </w:r>
      <w:r w:rsidRPr="0082092B">
        <w:t>området. Arbetet med indikatorerna fortsätter.</w:t>
      </w:r>
    </w:p>
    <w:p w:rsidR="005F425D" w:rsidRPr="0082092B" w:rsidRDefault="005F425D">
      <w:pPr>
        <w:pStyle w:val="Normaltindrag"/>
      </w:pPr>
      <w:r w:rsidRPr="0082092B">
        <w:t xml:space="preserve">Inför Europeiska rådets möte i Göteborg i juni 2001 tog Sverige fram en första uppsättning indikatorer med avsikt att visa Sveriges omställning mot hållbar utveckling. Rapporten, </w:t>
      </w:r>
      <w:r w:rsidRPr="0082092B">
        <w:rPr>
          <w:i/>
        </w:rPr>
        <w:t>Sustainable Development Indicators for Sw</w:t>
      </w:r>
      <w:r w:rsidRPr="0082092B">
        <w:rPr>
          <w:i/>
        </w:rPr>
        <w:t>e</w:t>
      </w:r>
      <w:r w:rsidRPr="0082092B">
        <w:rPr>
          <w:i/>
        </w:rPr>
        <w:t>den – a first set 2001</w:t>
      </w:r>
      <w:r w:rsidRPr="0082092B">
        <w:t>, togs fram av SCB i samarbete med Naturvårdsverket. Sveriges första uppsättning indikatorer presenteras utifrån fyra teman: effe</w:t>
      </w:r>
      <w:r w:rsidRPr="0082092B">
        <w:t>k</w:t>
      </w:r>
      <w:r w:rsidRPr="0082092B">
        <w:t>tivitet; allas bidrag, delaktighet, jämlikhet och fördelning; anpassningsförm</w:t>
      </w:r>
      <w:r w:rsidRPr="0082092B">
        <w:t>å</w:t>
      </w:r>
      <w:r w:rsidRPr="0082092B">
        <w:t>ga samt värden som förs över till kommande generationer. Inom varje tema återfinns indikatorer inom miljö, ekonomi och det sociala området. Sveriges omställning mot hållbar utveckling speglas i 30 indikatorer indelade efter dessa fyra teman</w:t>
      </w:r>
      <w:r w:rsidRPr="0082092B">
        <w:t>. Indikatorerna redovisas i regeringens skrivelse 2001/02:172 Nationell strategi för hållbar utveckling s. 110 f.</w:t>
      </w:r>
    </w:p>
    <w:p w:rsidR="005F425D" w:rsidRPr="0082092B" w:rsidRDefault="005F425D">
      <w:pPr>
        <w:pStyle w:val="Normaltindrag"/>
      </w:pPr>
      <w:r w:rsidRPr="0082092B">
        <w:t>Naturvårdsverket och Boverket har tagit fram rapporten Ekologiska fota</w:t>
      </w:r>
      <w:r w:rsidRPr="0082092B">
        <w:t>v</w:t>
      </w:r>
      <w:r w:rsidRPr="0082092B">
        <w:t>tryck &amp; biokapacitet – verktyg för planering och uppföljning av hållbar u</w:t>
      </w:r>
      <w:r w:rsidRPr="0082092B">
        <w:t>t</w:t>
      </w:r>
      <w:r w:rsidRPr="0082092B">
        <w:t>veckling i ett internationellt perspektiv. Ett ekologiskt fotavtryck kan visa vilken produktiv areal (biokapacitet) som behövs för att få fram det som en människa eller en befolkning konsumerar och för att absorbera de utsläpp som åstadkommes. Inom OECD finns det en särskild grupp som arbetar med frågan om ekologiska fotavtryck.</w:t>
      </w:r>
    </w:p>
    <w:p w:rsidR="005F425D" w:rsidRPr="0082092B" w:rsidRDefault="005F425D">
      <w:r w:rsidRPr="0082092B">
        <w:t>Under 2001 har Ekofinrådets sektorsstrategi för integrering av miljö och hållbar utveckling börjat tillämp</w:t>
      </w:r>
      <w:r w:rsidRPr="0082092B">
        <w:t>as. Det handlar främst om att integrera miljö och hållbar utveckling i centrala ekonomisk-politiska processer. I de allmänna riktlinjerna för den ekonomiska politiken har ett avsnitt om att öka den mi</w:t>
      </w:r>
      <w:r w:rsidRPr="0082092B">
        <w:t>l</w:t>
      </w:r>
      <w:r w:rsidRPr="0082092B">
        <w:t>jömässiga hållbarheten infogats. Avsnittet innehåller fem rekommendationer till medlemsländerna. Vidare beslut</w:t>
      </w:r>
      <w:r w:rsidRPr="0082092B">
        <w:softHyphen/>
        <w:t xml:space="preserve">ades det att miljö och hållbar utveckling skall utgöra ett tema i den multilaterala ländergranskningen i Kommittén för ekonomisk politik för år 2002. Det innebär även att de nationella rapporterna om </w:t>
      </w:r>
      <w:r w:rsidRPr="0082092B">
        <w:t xml:space="preserve">ekonomiska reformer på produkt- och kapitalmarknaderna för år 2001 innehåller en miljöbilaga. </w:t>
      </w:r>
    </w:p>
    <w:p w:rsidR="005F425D" w:rsidRPr="0082092B" w:rsidRDefault="005F425D">
      <w:pPr>
        <w:pStyle w:val="Normaltindrag"/>
      </w:pPr>
      <w:r w:rsidRPr="0082092B">
        <w:t>Av regeringens skrivelse om verksamheten 2001 framgår det att under 2001 präglades det svenska agerandet på statistikområdet till stor del av det svenska ordförandeskapets prioriteringar. För statistikområdet innebar det bl.a. att agera för att utveckla den statistik som Sverige prioriterat. Som ett led i detta stöttade Statistiska centralbyrån tillsammans med andra statistikansv</w:t>
      </w:r>
      <w:r w:rsidRPr="0082092B">
        <w:t>a</w:t>
      </w:r>
      <w:r w:rsidRPr="0082092B">
        <w:t>riga myndigheter aktivt arbetet i Regeringskansliet och tog fram statistik som underlag och bakgrund till olika ministermöten och konferenser. Arbetet presenterades dels i särskilda rapporter, dels på en särskild ordförandeskap</w:t>
      </w:r>
      <w:r w:rsidRPr="0082092B">
        <w:t>s</w:t>
      </w:r>
      <w:r w:rsidRPr="0082092B">
        <w:t>sida på SCB:s webbplats. Syftet var att lyfta fram statistiken som inform</w:t>
      </w:r>
      <w:r w:rsidRPr="0082092B">
        <w:t>a</w:t>
      </w:r>
      <w:r w:rsidRPr="0082092B">
        <w:t>tionskälla och visa på dess användbarhet. Ett tema var indikatorer för hållbar u</w:t>
      </w:r>
      <w:r w:rsidRPr="0082092B">
        <w:t>t</w:t>
      </w:r>
      <w:r w:rsidRPr="0082092B">
        <w:t>veckling.</w:t>
      </w:r>
    </w:p>
    <w:p w:rsidR="005F425D" w:rsidRPr="0082092B" w:rsidRDefault="005F425D">
      <w:pPr>
        <w:pStyle w:val="R3"/>
        <w:outlineLvl w:val="0"/>
      </w:pPr>
      <w:r w:rsidRPr="0082092B">
        <w:rPr>
          <w:snapToGrid w:val="0"/>
          <w:lang w:eastAsia="sv-SE"/>
        </w:rPr>
        <w:t>Finansutskottets</w:t>
      </w:r>
      <w:r w:rsidRPr="0082092B">
        <w:t xml:space="preserve"> ställningstagande</w:t>
      </w:r>
    </w:p>
    <w:p w:rsidR="005F425D" w:rsidRPr="0082092B" w:rsidRDefault="005F425D">
      <w:r w:rsidRPr="0082092B">
        <w:t>Utskottet noterar med tillfredsställelse att det pågår omfattande aktivitet i syfte att utveckla och tillämpa indikatorer inom miljöområdet. Utskottet fö</w:t>
      </w:r>
      <w:r w:rsidRPr="0082092B">
        <w:t>r</w:t>
      </w:r>
      <w:r w:rsidRPr="0082092B">
        <w:t>utsätter att regeringen aktivt driver på arbetet, både nationellt och internati</w:t>
      </w:r>
      <w:r w:rsidRPr="0082092B">
        <w:t>o</w:t>
      </w:r>
      <w:r w:rsidRPr="0082092B">
        <w:t>nellt. Någon riksdagens åtgärd är mot denna bakgrund inte påkallad.</w:t>
      </w:r>
    </w:p>
    <w:p w:rsidR="005F425D" w:rsidRPr="0082092B" w:rsidRDefault="005F425D">
      <w:pPr>
        <w:pStyle w:val="Normaltindrag"/>
      </w:pPr>
    </w:p>
    <w:p w:rsidR="005F425D" w:rsidRPr="0082092B" w:rsidRDefault="005F425D">
      <w:pPr>
        <w:pStyle w:val="Normaltindrag"/>
      </w:pPr>
    </w:p>
    <w:p w:rsidR="005F425D" w:rsidRPr="0082092B" w:rsidRDefault="005F425D">
      <w:pPr>
        <w:pStyle w:val="Utskriftsdatum"/>
        <w:outlineLvl w:val="0"/>
      </w:pPr>
      <w:r w:rsidRPr="0082092B">
        <w:t>Stockholm den 16 april 2002</w:t>
      </w:r>
    </w:p>
    <w:p w:rsidR="005F425D" w:rsidRPr="0082092B" w:rsidRDefault="005F425D">
      <w:r w:rsidRPr="0082092B">
        <w:t>På finansutskottets vägnar</w:t>
      </w:r>
    </w:p>
    <w:p w:rsidR="005F425D" w:rsidRPr="0082092B" w:rsidRDefault="005F425D">
      <w:pPr>
        <w:pStyle w:val="Ordfranden"/>
        <w:rPr>
          <w:noProof w:val="0"/>
        </w:rPr>
      </w:pPr>
      <w:r w:rsidRPr="0082092B">
        <w:rPr>
          <w:noProof w:val="0"/>
        </w:rPr>
        <w:t>Jan Bergqvist</w:t>
      </w:r>
    </w:p>
    <w:p w:rsidR="005F425D" w:rsidRPr="0082092B" w:rsidRDefault="005F425D">
      <w:pPr>
        <w:pStyle w:val="Deltagare"/>
        <w:rPr>
          <w:noProof w:val="0"/>
        </w:rPr>
      </w:pPr>
      <w:r w:rsidRPr="0082092B">
        <w:rPr>
          <w:noProof w:val="0"/>
        </w:rPr>
        <w:t>Följande ledamöter har deltagit i beslutet: Jan Bergqvist (s), Mats Odell (kd), Gunnar Hökmark (m), Bengt Silfverstrand (s), Lisbet Calner (s), Johan Lönnroth (v), Sonia Karlsson (s), Anna Åkerhielm (m), Siv Holma (v), Per Landgren (kd), Gunnar Axén (m), Yvonne Ruwaida (mp), Lena Ek (c), Karin Pilsäter (fp), Tommy Waidelich (s), Carl-Axel Johansson (m) och Hans Hoff (s).</w:t>
      </w:r>
    </w:p>
    <w:p w:rsidR="005F425D" w:rsidRPr="0082092B" w:rsidRDefault="005F425D"/>
    <w:p w:rsidR="005F425D" w:rsidRPr="0082092B" w:rsidRDefault="005F425D"/>
    <w:p w:rsidR="005F425D" w:rsidRPr="0082092B" w:rsidRDefault="005F425D">
      <w:pPr>
        <w:pStyle w:val="Normaltindrag"/>
        <w:ind w:firstLine="0"/>
        <w:sectPr w:rsidR="00000000" w:rsidRPr="0082092B">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5F425D" w:rsidRPr="0082092B" w:rsidRDefault="005F425D">
      <w:pPr>
        <w:pStyle w:val="Rubrik1"/>
        <w:rPr>
          <w:noProof w:val="0"/>
        </w:rPr>
      </w:pPr>
      <w:bookmarkStart w:id="28" w:name="Ordförande"/>
      <w:bookmarkStart w:id="29" w:name="Deltagare"/>
      <w:bookmarkStart w:id="30" w:name="_Toc6911445"/>
      <w:bookmarkStart w:id="31" w:name="_Toc7596375"/>
      <w:bookmarkEnd w:id="28"/>
      <w:bookmarkEnd w:id="29"/>
      <w:r w:rsidRPr="0082092B">
        <w:rPr>
          <w:noProof w:val="0"/>
        </w:rPr>
        <w:t>Avvikande meningar</w:t>
      </w:r>
      <w:bookmarkEnd w:id="30"/>
      <w:bookmarkEnd w:id="31"/>
    </w:p>
    <w:p w:rsidR="005F425D" w:rsidRPr="0082092B" w:rsidRDefault="005F425D">
      <w:pPr>
        <w:pStyle w:val="Rubrik3"/>
        <w:spacing w:before="110"/>
        <w:rPr>
          <w:noProof w:val="0"/>
        </w:rPr>
      </w:pPr>
      <w:bookmarkStart w:id="32" w:name="_Toc6122737"/>
      <w:bookmarkStart w:id="33" w:name="_Toc6738524"/>
      <w:bookmarkStart w:id="34" w:name="_Toc6911446"/>
      <w:bookmarkStart w:id="35" w:name="_Toc7596376"/>
      <w:r w:rsidRPr="0082092B">
        <w:rPr>
          <w:noProof w:val="0"/>
          <w:snapToGrid w:val="0"/>
          <w:lang w:eastAsia="sv-SE"/>
        </w:rPr>
        <w:t>1. Relationerna mellan EMU-medlemmar och icke-EMU-medlemmar</w:t>
      </w:r>
      <w:bookmarkEnd w:id="32"/>
      <w:r w:rsidRPr="0082092B">
        <w:rPr>
          <w:noProof w:val="0"/>
          <w:snapToGrid w:val="0"/>
          <w:lang w:eastAsia="sv-SE"/>
        </w:rPr>
        <w:t xml:space="preserve"> (v, mp)</w:t>
      </w:r>
      <w:bookmarkEnd w:id="33"/>
      <w:bookmarkEnd w:id="34"/>
      <w:bookmarkEnd w:id="35"/>
      <w:r w:rsidRPr="0082092B">
        <w:rPr>
          <w:noProof w:val="0"/>
        </w:rPr>
        <w:t xml:space="preserve"> </w:t>
      </w:r>
    </w:p>
    <w:p w:rsidR="005F425D" w:rsidRPr="0082092B" w:rsidRDefault="005F425D">
      <w:r w:rsidRPr="0082092B">
        <w:t>av Johan Lönnroth (v), Siv Holma (v) och Yvonne Ruwaida (mp).</w:t>
      </w:r>
    </w:p>
    <w:p w:rsidR="005F425D" w:rsidRPr="0082092B" w:rsidRDefault="005F425D">
      <w:r w:rsidRPr="0082092B">
        <w:t>Vi vill erinra om att efter det danska avslaget till Maastrichtfördraget 1992 tvingades EU ompröva sina villkor för medlemskap och bevilja Danmark fyra undantag. EU tvingades inte bara ompröva relationen till Danmark utan också ta en debatt om hur man skulle kunna öka det folkliga stödet för hela EU. Den debatten påverkade bl.a. synen på öppenhet och EU:s interna demokrati. Efter att Danmark också röstat nej till EMU-medlemskap tvingas EMU-länderna förhoppningsvis till en liknande omprövning. Argumentation</w:t>
      </w:r>
      <w:r w:rsidRPr="0082092B">
        <w:t>en för en grun</w:t>
      </w:r>
      <w:r w:rsidRPr="0082092B">
        <w:t>d</w:t>
      </w:r>
      <w:r w:rsidRPr="0082092B">
        <w:t xml:space="preserve">läggande demokratisering inom EU och EMU skärps. Den svenska regeringen bör vara pådrivande i detta. </w:t>
      </w:r>
    </w:p>
    <w:p w:rsidR="005F425D" w:rsidRPr="0082092B" w:rsidRDefault="005F425D">
      <w:pPr>
        <w:pStyle w:val="Normaltindrag"/>
      </w:pPr>
      <w:r w:rsidRPr="0082092B">
        <w:t>Efter det danska nejet står det klart att minst ett EU-land kommer att stå utanför EMU under ett antal år med gemensam valuta. Det finns ett antal oklarheter när det gäller icke-EMU-medlemmars – och särskilt Sveriges – ställning i EU som behöver redas ut. En sådan fråga är relationen mellan Ekofin (de 15) och eurorådet (EU 12). Det ligger i Sveriges intresse att b</w:t>
      </w:r>
      <w:r w:rsidRPr="0082092B">
        <w:t>e</w:t>
      </w:r>
      <w:r w:rsidRPr="0082092B">
        <w:t>hålla Ekofin som den överordnade instansen. Vidare finns också en rad regler och lagar som införts i Sverige och som i allt väsentligt kan ses som förber</w:t>
      </w:r>
      <w:r w:rsidRPr="0082092B">
        <w:t>e</w:t>
      </w:r>
      <w:r w:rsidRPr="0082092B">
        <w:t xml:space="preserve">delser för ett kommande medlemskap i EMU. </w:t>
      </w:r>
    </w:p>
    <w:p w:rsidR="005F425D" w:rsidRPr="0082092B" w:rsidRDefault="005F425D">
      <w:pPr>
        <w:pStyle w:val="Normaltindrag"/>
      </w:pPr>
      <w:r w:rsidRPr="0082092B">
        <w:t>Sveriges anknytning till EMU är nu en fördragsmässig anomali. Juridiskt – enligt bokstaven i Maastricht – måste Sverige gå med om vi uppfyller kriter</w:t>
      </w:r>
      <w:r w:rsidRPr="0082092B">
        <w:t>i</w:t>
      </w:r>
      <w:r w:rsidRPr="0082092B">
        <w:t>erna och om ministerrådet så beslutar. Det finns höga företrädare i EU som ännu hävdar denna strikt juridiska tolkning. Men de flesta verkar nu ha a</w:t>
      </w:r>
      <w:r w:rsidRPr="0082092B">
        <w:t>c</w:t>
      </w:r>
      <w:r w:rsidRPr="0082092B">
        <w:t>cepterat att den svenska ensidiga protokollsanteckningen om att vi själva beslutar i frågan är en politisk realitet, trots att vi inte har Danmarks och Storbritanniens fördragsmässiga undantag. Regeringen bör verka för att detta ”undantag i praktiken” bekräftas officiellt i EU och EMU. Den svenska r</w:t>
      </w:r>
      <w:r w:rsidRPr="0082092B">
        <w:t>e</w:t>
      </w:r>
      <w:r w:rsidRPr="0082092B">
        <w:t>geringen borde snarast nu i första hand ta kontakt med sina d</w:t>
      </w:r>
      <w:r w:rsidRPr="0082092B">
        <w:t>anska och bri</w:t>
      </w:r>
      <w:r w:rsidRPr="0082092B">
        <w:t>t</w:t>
      </w:r>
      <w:r w:rsidRPr="0082092B">
        <w:t>tiska kolleger för att diskutera initiativ till diskussion och klarläggande av hur relationerna till EU för medlemmar som inte är med i EMU skall se ut i e</w:t>
      </w:r>
      <w:r w:rsidRPr="0082092B">
        <w:t>n</w:t>
      </w:r>
      <w:r w:rsidRPr="0082092B">
        <w:t>lighet med vad som sägs i motionen. Detta bör riksdagen som sin mening ge regeringen till känna. Motion 2000/01:U505 (v) bör således tillstyrkas av utrikesu</w:t>
      </w:r>
      <w:r w:rsidRPr="0082092B">
        <w:t>t</w:t>
      </w:r>
      <w:r w:rsidRPr="0082092B">
        <w:t>skottet.</w:t>
      </w:r>
    </w:p>
    <w:p w:rsidR="005F425D" w:rsidRPr="0082092B" w:rsidRDefault="005F425D">
      <w:pPr>
        <w:pStyle w:val="Rubrik3"/>
        <w:rPr>
          <w:noProof w:val="0"/>
        </w:rPr>
      </w:pPr>
      <w:bookmarkStart w:id="36" w:name="_Toc6122738"/>
      <w:bookmarkStart w:id="37" w:name="_Toc6738525"/>
      <w:bookmarkStart w:id="38" w:name="_Toc6911447"/>
      <w:bookmarkStart w:id="39" w:name="_Toc7596377"/>
      <w:r w:rsidRPr="0082092B">
        <w:rPr>
          <w:noProof w:val="0"/>
        </w:rPr>
        <w:t>2. Europeiska centralbankens ställning</w:t>
      </w:r>
      <w:bookmarkEnd w:id="36"/>
      <w:r w:rsidRPr="0082092B">
        <w:rPr>
          <w:noProof w:val="0"/>
        </w:rPr>
        <w:t xml:space="preserve"> (v, mp)</w:t>
      </w:r>
      <w:bookmarkEnd w:id="37"/>
      <w:bookmarkEnd w:id="38"/>
      <w:bookmarkEnd w:id="39"/>
    </w:p>
    <w:p w:rsidR="005F425D" w:rsidRPr="0082092B" w:rsidRDefault="005F425D">
      <w:r w:rsidRPr="0082092B">
        <w:t>av Johan Lönnroth (v), Siv Holma (v) och Yvonne Ruwaida (mp).</w:t>
      </w:r>
    </w:p>
    <w:p w:rsidR="005F425D" w:rsidRPr="0082092B" w:rsidRDefault="005F425D">
      <w:r w:rsidRPr="0082092B">
        <w:t>Vi vill påpeka att det finns små möjligheter att inom EU/EMU:s nuvarande system parera regionala konjunktursvängningar i form av ökade transfer</w:t>
      </w:r>
      <w:r w:rsidRPr="0082092B">
        <w:t>e</w:t>
      </w:r>
      <w:r w:rsidRPr="0082092B">
        <w:t>ringar mellan olika regioner. Detta har lett till förslag om att i stället bygga upp ett transfereringssystem där en ökning av arbetslösheten i ett medlem</w:t>
      </w:r>
      <w:r w:rsidRPr="0082092B">
        <w:t>s</w:t>
      </w:r>
      <w:r w:rsidRPr="0082092B">
        <w:t>land automatiskt leder till ökade bidrag från andra me</w:t>
      </w:r>
      <w:r w:rsidRPr="0082092B">
        <w:t>d</w:t>
      </w:r>
      <w:r w:rsidRPr="0082092B">
        <w:t xml:space="preserve">lemsländer. </w:t>
      </w:r>
    </w:p>
    <w:p w:rsidR="005F425D" w:rsidRPr="0082092B" w:rsidRDefault="005F425D">
      <w:pPr>
        <w:pStyle w:val="Normaltindrag"/>
      </w:pPr>
      <w:r w:rsidRPr="0082092B">
        <w:t>De ekonomiska åtgärder som kan komma att krävas inom EMU medför därför att ett gemensamt skattesystem kan komma att genomföras. Även i EMU-utredningen (SOU 1996:158) påpekades att det finns skäl för system med överföringar mellan medlemsländerna för att kompensera för förlusten av pennin</w:t>
      </w:r>
      <w:r w:rsidRPr="0082092B">
        <w:t>gpolitisk självständighet. I utredningen poängterades dock samtidigt att de politiska riskerna med att bygga upp omfattande transfereringssystem inom EU översteg eventuella ekonomiska fördelar. Att en skattepolitik på EU-nivå följer i valutaunionens fotspår uttalas även ofta av EU-kommissionen, exempelvis i dess årliga arbetsprogram: ”För att den ekon</w:t>
      </w:r>
      <w:r w:rsidRPr="0082092B">
        <w:t>o</w:t>
      </w:r>
      <w:r w:rsidRPr="0082092B">
        <w:t>miska och monetära unionen skall bli en framgång måste den europeiska integrationen fördjupas vidare och konvergensen inom den ekonomiska pol</w:t>
      </w:r>
      <w:r w:rsidRPr="0082092B">
        <w:t>i</w:t>
      </w:r>
      <w:r w:rsidRPr="0082092B">
        <w:t>tiken och syssel</w:t>
      </w:r>
      <w:r w:rsidRPr="0082092B">
        <w:t>sättningspolitiken fördjupas, samtidigt som medlemsländernas skattepolitik samor</w:t>
      </w:r>
      <w:r w:rsidRPr="0082092B">
        <w:t>d</w:t>
      </w:r>
      <w:r w:rsidRPr="0082092B">
        <w:t>nas bättre.”</w:t>
      </w:r>
    </w:p>
    <w:p w:rsidR="005F425D" w:rsidRPr="0082092B" w:rsidRDefault="005F425D">
      <w:pPr>
        <w:pStyle w:val="Normaltindrag"/>
      </w:pPr>
      <w:r w:rsidRPr="0082092B">
        <w:t>På samma sätt som ekonomisk-politiska skäl innebär att EMU successivt kommer att öka det överstatliga inslaget i EU, kan det demokratiska unde</w:t>
      </w:r>
      <w:r w:rsidRPr="0082092B">
        <w:t>r</w:t>
      </w:r>
      <w:r w:rsidRPr="0082092B">
        <w:t>skottet inom EMU innebära att utvecklingen mot en EU-stat påskyndas. R</w:t>
      </w:r>
      <w:r w:rsidRPr="0082092B">
        <w:t>e</w:t>
      </w:r>
      <w:r w:rsidRPr="0082092B">
        <w:t>sonemanget går ut på att det demokratiska underskott som EMU lider av måste motverkas, exempelvis genom att Europeiska centralbanken (ECB) underställs EU-parlamentet (EU:s demokratiskt valda organ), på samma sätt som Sveriges riksbank är underställd riksdagen. Frågan om ett svenskt me</w:t>
      </w:r>
      <w:r w:rsidRPr="0082092B">
        <w:t>d</w:t>
      </w:r>
      <w:r w:rsidRPr="0082092B">
        <w:t>lemskap i EMU gäller alltså inte bara om vi vill ha en gemensam valuta eller inte, utan om vi vill fortsätta utvec</w:t>
      </w:r>
      <w:r w:rsidRPr="0082092B">
        <w:t>k</w:t>
      </w:r>
      <w:r w:rsidRPr="0082092B">
        <w:t>lingen mot en EU-stat eller inte.</w:t>
      </w:r>
    </w:p>
    <w:p w:rsidR="005F425D" w:rsidRPr="0082092B" w:rsidRDefault="005F425D">
      <w:pPr>
        <w:pStyle w:val="Normaltindrag"/>
      </w:pPr>
      <w:r w:rsidRPr="0082092B">
        <w:t>Vi an</w:t>
      </w:r>
      <w:r w:rsidRPr="0082092B">
        <w:t>ser att r</w:t>
      </w:r>
      <w:r w:rsidRPr="0082092B">
        <w:rPr>
          <w:snapToGrid w:val="0"/>
        </w:rPr>
        <w:t xml:space="preserve">iksdagen bör tillkännage för regeringen som sin mening vad som här anförts om </w:t>
      </w:r>
      <w:r w:rsidRPr="0082092B">
        <w:t>att Europeiska centralbanken (ECB) underställs Europ</w:t>
      </w:r>
      <w:r w:rsidRPr="0082092B">
        <w:t>a</w:t>
      </w:r>
      <w:r w:rsidRPr="0082092B">
        <w:t>parlamentet. Motion 2001/02:Fi295 (mp) yrkande 1 bör således tillstyrkas av utrikesu</w:t>
      </w:r>
      <w:r w:rsidRPr="0082092B">
        <w:t>t</w:t>
      </w:r>
      <w:r w:rsidRPr="0082092B">
        <w:t xml:space="preserve">skottet. </w:t>
      </w:r>
    </w:p>
    <w:p w:rsidR="005F425D" w:rsidRPr="0082092B" w:rsidRDefault="005F425D">
      <w:pPr>
        <w:pStyle w:val="Rubrik3"/>
        <w:rPr>
          <w:noProof w:val="0"/>
        </w:rPr>
      </w:pPr>
      <w:bookmarkStart w:id="40" w:name="_Toc6122739"/>
      <w:bookmarkStart w:id="41" w:name="_Toc6738526"/>
      <w:bookmarkStart w:id="42" w:name="_Toc6911448"/>
      <w:bookmarkStart w:id="43" w:name="_Toc7596378"/>
      <w:r w:rsidRPr="0082092B">
        <w:rPr>
          <w:noProof w:val="0"/>
        </w:rPr>
        <w:t>3. Maastrichtfördraget</w:t>
      </w:r>
      <w:bookmarkEnd w:id="40"/>
      <w:r w:rsidRPr="0082092B">
        <w:rPr>
          <w:noProof w:val="0"/>
        </w:rPr>
        <w:t xml:space="preserve"> (v, mp)</w:t>
      </w:r>
      <w:bookmarkEnd w:id="41"/>
      <w:bookmarkEnd w:id="42"/>
      <w:bookmarkEnd w:id="43"/>
    </w:p>
    <w:p w:rsidR="005F425D" w:rsidRPr="0082092B" w:rsidRDefault="005F425D">
      <w:r w:rsidRPr="0082092B">
        <w:t>av Johan Lönnroth (v), Siv Holma (v) och Yvonne Ruwaida (mp).</w:t>
      </w:r>
    </w:p>
    <w:p w:rsidR="005F425D" w:rsidRPr="0082092B" w:rsidRDefault="005F425D">
      <w:r w:rsidRPr="0082092B">
        <w:t>Vi vill erinra om att med Maastrichtfördraget infördes en konkret plan för hur en ekonomisk och monetär union skulle skapas. I Maastrichtfördraget anges att den gemensamma penning- och valutapolitiken ska ”... ha som huvudmål att upprätthålla prisstabilitet samt att, utan att detta mål åsidosätts, understödja den allmänna ekonomiska politik som bedrivs inom gemenskapen i överen</w:t>
      </w:r>
      <w:r w:rsidRPr="0082092B">
        <w:t>s</w:t>
      </w:r>
      <w:r w:rsidRPr="0082092B">
        <w:t>stämmelse med principen om en öppen marknadsekonomi med fri konku</w:t>
      </w:r>
      <w:r w:rsidRPr="0082092B">
        <w:t>r</w:t>
      </w:r>
      <w:r w:rsidRPr="0082092B">
        <w:t>rens.” Vilken ekonomisk politik som ska genomsyra valutaunionen är alltså fastställd i fö</w:t>
      </w:r>
      <w:r w:rsidRPr="0082092B">
        <w:t>r</w:t>
      </w:r>
      <w:r w:rsidRPr="0082092B">
        <w:t xml:space="preserve">dragen. </w:t>
      </w:r>
    </w:p>
    <w:p w:rsidR="005F425D" w:rsidRPr="0082092B" w:rsidRDefault="005F425D">
      <w:pPr>
        <w:pStyle w:val="Normaltindrag"/>
      </w:pPr>
      <w:r w:rsidRPr="0082092B">
        <w:t>EMU-förespråkarna menar att med EMU får vi en stabilitet i penningpol</w:t>
      </w:r>
      <w:r w:rsidRPr="0082092B">
        <w:t>i</w:t>
      </w:r>
      <w:r w:rsidRPr="0082092B">
        <w:t>tiken, i och med att riktlinjerna för den ekonomiska politiken är fördragsfäst på ett sätt som omöjliggör för politiker och folkopinion att påverka pennin</w:t>
      </w:r>
      <w:r w:rsidRPr="0082092B">
        <w:t>g</w:t>
      </w:r>
      <w:r w:rsidRPr="0082092B">
        <w:t xml:space="preserve">politiken. Mot detta kan anföras två saker. </w:t>
      </w:r>
    </w:p>
    <w:p w:rsidR="005F425D" w:rsidRPr="0082092B" w:rsidRDefault="005F425D">
      <w:pPr>
        <w:pStyle w:val="Normaltindrag"/>
      </w:pPr>
      <w:r w:rsidRPr="0082092B">
        <w:t>För det första är det svårt att se på vilket sätt marknaden som sådan verkl</w:t>
      </w:r>
      <w:r w:rsidRPr="0082092B">
        <w:t>i</w:t>
      </w:r>
      <w:r w:rsidRPr="0082092B">
        <w:t xml:space="preserve">gen är stabilare än demokratiskt fattade beslut, inte minst med tanke på hur placerare av riskkapital tenderar att reagera hastigt, kortsiktigt och med en flockmentalitet. För det andra är det i sig märkligt att låg inflation och hög tillväxt skall slås fast som ekonomiska regler som står över alla demokratiskt fattade beslut. </w:t>
      </w:r>
    </w:p>
    <w:p w:rsidR="005F425D" w:rsidRPr="0082092B" w:rsidRDefault="005F425D">
      <w:pPr>
        <w:pStyle w:val="Normaltindrag"/>
        <w:rPr>
          <w:snapToGrid w:val="0"/>
        </w:rPr>
      </w:pPr>
      <w:r w:rsidRPr="0082092B">
        <w:t>EMU:s konstruktion som sådan, med riktlinjerna för den ekonomiska pol</w:t>
      </w:r>
      <w:r w:rsidRPr="0082092B">
        <w:t>i</w:t>
      </w:r>
      <w:r w:rsidRPr="0082092B">
        <w:t>tiken fastslagen i fördragen, är ohållbar. De ekonomiska teorierna förändras, och inget säger att samma politik är rätt i alla sammanhang.</w:t>
      </w:r>
      <w:r w:rsidRPr="0082092B">
        <w:rPr>
          <w:snapToGrid w:val="0"/>
        </w:rPr>
        <w:t xml:space="preserve"> </w:t>
      </w:r>
    </w:p>
    <w:p w:rsidR="005F425D" w:rsidRPr="0082092B" w:rsidRDefault="005F425D">
      <w:pPr>
        <w:pStyle w:val="Normaltindrag"/>
      </w:pPr>
      <w:r w:rsidRPr="0082092B">
        <w:t>Vi anser att r</w:t>
      </w:r>
      <w:r w:rsidRPr="0082092B">
        <w:rPr>
          <w:snapToGrid w:val="0"/>
        </w:rPr>
        <w:t>iksdagen bör tillkännage för regeringen som sin mening vad som här anförts om Maastrichtfördraget</w:t>
      </w:r>
      <w:r w:rsidRPr="0082092B">
        <w:t>. Motion 2001/02:Fi295 (mp) yrkande 2 bör således tillstyrkas av utrikesu</w:t>
      </w:r>
      <w:r w:rsidRPr="0082092B">
        <w:t>t</w:t>
      </w:r>
      <w:r w:rsidRPr="0082092B">
        <w:t>skottet.</w:t>
      </w:r>
    </w:p>
    <w:p w:rsidR="005F425D" w:rsidRPr="0082092B" w:rsidRDefault="005F425D">
      <w:pPr>
        <w:pStyle w:val="Rubrik3"/>
        <w:rPr>
          <w:noProof w:val="0"/>
          <w:snapToGrid w:val="0"/>
          <w:lang w:eastAsia="sv-SE"/>
        </w:rPr>
      </w:pPr>
      <w:bookmarkStart w:id="44" w:name="_Toc6911449"/>
      <w:bookmarkStart w:id="45" w:name="_Toc7596379"/>
      <w:r w:rsidRPr="0082092B">
        <w:rPr>
          <w:noProof w:val="0"/>
          <w:snapToGrid w:val="0"/>
          <w:lang w:eastAsia="sv-SE"/>
        </w:rPr>
        <w:t>4. Sveriges inflytande i EU (v)</w:t>
      </w:r>
      <w:bookmarkEnd w:id="44"/>
      <w:bookmarkEnd w:id="45"/>
    </w:p>
    <w:p w:rsidR="005F425D" w:rsidRPr="0082092B" w:rsidRDefault="005F425D">
      <w:r w:rsidRPr="0082092B">
        <w:t>av Johan Lönnroth och Siv Holma (båda v).</w:t>
      </w:r>
    </w:p>
    <w:p w:rsidR="005F425D" w:rsidRPr="0082092B" w:rsidRDefault="005F425D">
      <w:r w:rsidRPr="0082092B">
        <w:t>Ett vanligt argument för ett svenskt medlemskap i EMU är att vårt inflytande i EU urholkas om vi inte också deltar i EMU. Argumentet bygger på att pol</w:t>
      </w:r>
      <w:r w:rsidRPr="0082092B">
        <w:t>i</w:t>
      </w:r>
      <w:r w:rsidRPr="0082092B">
        <w:t>tiskt inflytande följer av trovärdighet, och att trovärdighet endast kan nås om man deltar fullt ut. Enligt vår uppfattning är argumentet uppenbart konstruerat och avfärdas bland annat av handelsminister Leif Pagrotsky med att inga exempel finns på att Sveriges beslut att tills vidare stå utanför EMU har me</w:t>
      </w:r>
      <w:r w:rsidRPr="0082092B">
        <w:t>d</w:t>
      </w:r>
      <w:r w:rsidRPr="0082092B">
        <w:t>fört att Sverige förlorat politiskt inflytande inom andra områden. Inom EU har Sverige hög trovärdighet inom exempelvis miljöfrågor och öppenhet</w:t>
      </w:r>
      <w:r w:rsidRPr="0082092B">
        <w:t>s</w:t>
      </w:r>
      <w:r w:rsidRPr="0082092B">
        <w:t xml:space="preserve">frågor. </w:t>
      </w:r>
    </w:p>
    <w:p w:rsidR="005F425D" w:rsidRPr="0082092B" w:rsidRDefault="005F425D">
      <w:pPr>
        <w:pStyle w:val="Normaltindrag"/>
      </w:pPr>
      <w:r w:rsidRPr="0082092B">
        <w:t>För att nå hög trovärdighet inom ett politiskt o</w:t>
      </w:r>
      <w:r w:rsidRPr="0082092B">
        <w:t xml:space="preserve">mråde är det rimligtvis mer vunnet att engagera sig kraftfullt inom detta område än att glatt följa med strömmen i allt. </w:t>
      </w:r>
      <w:r w:rsidRPr="0082092B">
        <w:rPr>
          <w:snapToGrid w:val="0"/>
          <w:lang w:eastAsia="sv-SE"/>
        </w:rPr>
        <w:t>Vill Sverige upprätthålla ett fortsatt förtroende inom milj</w:t>
      </w:r>
      <w:r w:rsidRPr="0082092B">
        <w:rPr>
          <w:snapToGrid w:val="0"/>
          <w:lang w:eastAsia="sv-SE"/>
        </w:rPr>
        <w:t>ö</w:t>
      </w:r>
      <w:r w:rsidRPr="0082092B">
        <w:rPr>
          <w:snapToGrid w:val="0"/>
          <w:lang w:eastAsia="sv-SE"/>
        </w:rPr>
        <w:t xml:space="preserve">området är det följaktligen viktigt att mer aktivt verka för mellanstatliga avtal om gemensamma miniminivåer för koldioxidskatter. </w:t>
      </w:r>
      <w:r w:rsidRPr="0082092B">
        <w:t>Vi anser att svenskt inflytande i EU inte förutsätter att vi också går med i EMU.</w:t>
      </w:r>
    </w:p>
    <w:p w:rsidR="005F425D" w:rsidRPr="0082092B" w:rsidRDefault="005F425D">
      <w:pPr>
        <w:pStyle w:val="Normaltindrag"/>
      </w:pPr>
      <w:r w:rsidRPr="0082092B">
        <w:t>Vi anser att r</w:t>
      </w:r>
      <w:r w:rsidRPr="0082092B">
        <w:rPr>
          <w:snapToGrid w:val="0"/>
        </w:rPr>
        <w:t>iksdagen bör tillkännage för regeringen som sin mening vad som här anförts om Sveriges inflytande i EU</w:t>
      </w:r>
      <w:r w:rsidRPr="0082092B">
        <w:t>. Motion 2001/02:Fi295 (mp) yrkande 7 bör således delvis tillstyrkas av utrikesu</w:t>
      </w:r>
      <w:r w:rsidRPr="0082092B">
        <w:t>t</w:t>
      </w:r>
      <w:r w:rsidRPr="0082092B">
        <w:t>skottet.</w:t>
      </w:r>
    </w:p>
    <w:p w:rsidR="005F425D" w:rsidRPr="0082092B" w:rsidRDefault="005F425D">
      <w:pPr>
        <w:pStyle w:val="Rubrik3"/>
        <w:rPr>
          <w:noProof w:val="0"/>
          <w:snapToGrid w:val="0"/>
          <w:lang w:eastAsia="sv-SE"/>
        </w:rPr>
      </w:pPr>
      <w:bookmarkStart w:id="46" w:name="_Toc6122740"/>
      <w:bookmarkStart w:id="47" w:name="_Toc6738527"/>
      <w:bookmarkStart w:id="48" w:name="_Toc6911450"/>
      <w:bookmarkStart w:id="49" w:name="_Toc7596380"/>
      <w:r w:rsidRPr="0082092B">
        <w:rPr>
          <w:noProof w:val="0"/>
          <w:snapToGrid w:val="0"/>
          <w:lang w:eastAsia="sv-SE"/>
        </w:rPr>
        <w:t>5. Sveriges inflytande i EU</w:t>
      </w:r>
      <w:bookmarkEnd w:id="46"/>
      <w:r w:rsidRPr="0082092B">
        <w:rPr>
          <w:noProof w:val="0"/>
          <w:snapToGrid w:val="0"/>
          <w:lang w:eastAsia="sv-SE"/>
        </w:rPr>
        <w:t xml:space="preserve"> (mp)</w:t>
      </w:r>
      <w:bookmarkEnd w:id="47"/>
      <w:bookmarkEnd w:id="48"/>
      <w:bookmarkEnd w:id="49"/>
    </w:p>
    <w:p w:rsidR="005F425D" w:rsidRPr="0082092B" w:rsidRDefault="005F425D">
      <w:r w:rsidRPr="0082092B">
        <w:t>av Yvonne Ruwaida (mp).</w:t>
      </w:r>
    </w:p>
    <w:p w:rsidR="005F425D" w:rsidRPr="0082092B" w:rsidRDefault="005F425D">
      <w:r w:rsidRPr="0082092B">
        <w:t>Ett vanligt argument för ett svenskt medlemskap i EMU är att vårt inflytande i EU urholkas om vi inte också deltar i EMU. Argumentet bygger på att pol</w:t>
      </w:r>
      <w:r w:rsidRPr="0082092B">
        <w:t>i</w:t>
      </w:r>
      <w:r w:rsidRPr="0082092B">
        <w:t>tiskt inflytande följer av trovärdighet, och att trovärdighet endast kan nås om man deltar fullt ut. Enligt vår uppfattning är argumentet uppenbart konstruerat och avfärdas bland annat av handelsminister Leif Pagrotsky med att inga exempel finns på att Sveriges beslut att tills vidare stå utanför EMU har me</w:t>
      </w:r>
      <w:r w:rsidRPr="0082092B">
        <w:t>d</w:t>
      </w:r>
      <w:r w:rsidRPr="0082092B">
        <w:t>fört att Sverige förlorat politiskt inflytande inom andra områden. Inom EU har Sverige hög trovärdighet inom exempelvis miljöfrågor och öppenhet</w:t>
      </w:r>
      <w:r w:rsidRPr="0082092B">
        <w:t>s</w:t>
      </w:r>
      <w:r w:rsidRPr="0082092B">
        <w:t xml:space="preserve">frågor. </w:t>
      </w:r>
    </w:p>
    <w:p w:rsidR="005F425D" w:rsidRPr="0082092B" w:rsidRDefault="005F425D">
      <w:pPr>
        <w:pStyle w:val="Normaltindrag"/>
      </w:pPr>
      <w:r w:rsidRPr="0082092B">
        <w:t>För att nå hög trovärdighet inom ett politiskt o</w:t>
      </w:r>
      <w:r w:rsidRPr="0082092B">
        <w:t>mråde är det rimligtvis mer vunnet att engagera sig kraftfullt inom detta område än att glatt följa med strömmen i allt. Vill Sverige upprätthålla ett fortsatt förtroende inom milj</w:t>
      </w:r>
      <w:r w:rsidRPr="0082092B">
        <w:t>ö</w:t>
      </w:r>
      <w:r w:rsidRPr="0082092B">
        <w:t>området är det följaktligen viktigare att exempelvis sluta att agera bromskloss i fråga om gemensamma miniminivåer för koldioxidskatter. Vi anser att svenskt infl</w:t>
      </w:r>
      <w:r w:rsidRPr="0082092B">
        <w:t>y</w:t>
      </w:r>
      <w:r w:rsidRPr="0082092B">
        <w:t>tande i EU inte förutsätter att vi också går med i EMU.</w:t>
      </w:r>
    </w:p>
    <w:p w:rsidR="005F425D" w:rsidRPr="0082092B" w:rsidRDefault="005F425D">
      <w:pPr>
        <w:pStyle w:val="Normaltindrag"/>
      </w:pPr>
      <w:r w:rsidRPr="0082092B">
        <w:t>Vi anser att r</w:t>
      </w:r>
      <w:r w:rsidRPr="0082092B">
        <w:rPr>
          <w:snapToGrid w:val="0"/>
        </w:rPr>
        <w:t>iksdagen bör tillkännage för regeringen som sin mening vad som här anförts om Sveriges inflytande i EU</w:t>
      </w:r>
      <w:r w:rsidRPr="0082092B">
        <w:t>. Motion 2001/02:Fi295 (mp) yrkande 7 bör således tillstyrkas av utrikesu</w:t>
      </w:r>
      <w:r w:rsidRPr="0082092B">
        <w:t>t</w:t>
      </w:r>
      <w:r w:rsidRPr="0082092B">
        <w:t>skottet.</w:t>
      </w:r>
    </w:p>
    <w:p w:rsidR="005F425D" w:rsidRPr="0082092B" w:rsidRDefault="005F425D">
      <w:pPr>
        <w:pStyle w:val="Rubrik3"/>
        <w:rPr>
          <w:noProof w:val="0"/>
        </w:rPr>
      </w:pPr>
      <w:bookmarkStart w:id="50" w:name="_Toc6122741"/>
      <w:bookmarkStart w:id="51" w:name="_Toc6738528"/>
      <w:bookmarkStart w:id="52" w:name="_Toc6911451"/>
      <w:bookmarkStart w:id="53" w:name="_Toc7596381"/>
      <w:r w:rsidRPr="0082092B">
        <w:rPr>
          <w:noProof w:val="0"/>
        </w:rPr>
        <w:t>6. EU:s budget</w:t>
      </w:r>
      <w:bookmarkEnd w:id="50"/>
      <w:r w:rsidRPr="0082092B">
        <w:rPr>
          <w:noProof w:val="0"/>
        </w:rPr>
        <w:t xml:space="preserve"> (m, fp)</w:t>
      </w:r>
      <w:bookmarkEnd w:id="51"/>
      <w:bookmarkEnd w:id="52"/>
      <w:bookmarkEnd w:id="53"/>
    </w:p>
    <w:p w:rsidR="005F425D" w:rsidRPr="0082092B" w:rsidRDefault="005F425D">
      <w:r w:rsidRPr="0082092B">
        <w:t>av Gunnar Hökmark (m), Anna Åkerhielm (m), Gunnar Axén (m), Karin Pilsäter (fp) och Carl-Axel Johansson (m).</w:t>
      </w:r>
    </w:p>
    <w:p w:rsidR="005F425D" w:rsidRPr="0082092B" w:rsidRDefault="005F425D">
      <w:r w:rsidRPr="0082092B">
        <w:t>Vi vill framhålla att frågan om EU:s budget har flera aspekter. EU:s geme</w:t>
      </w:r>
      <w:r w:rsidRPr="0082092B">
        <w:t>n</w:t>
      </w:r>
      <w:r w:rsidRPr="0082092B">
        <w:t>samma jordbrukspolitik är dyr och snedvrider marknaden. En världsmar</w:t>
      </w:r>
      <w:r w:rsidRPr="0082092B">
        <w:t>k</w:t>
      </w:r>
      <w:r w:rsidRPr="0082092B">
        <w:t>nadsanpassning av den europeiska jordbrukssektorn är angelägen både med hänsyn till EU-utvidgningen och till vikten av att skapa en sund världsmar</w:t>
      </w:r>
      <w:r w:rsidRPr="0082092B">
        <w:t>k</w:t>
      </w:r>
      <w:r w:rsidRPr="0082092B">
        <w:t>nad för jordbruksprodukter. Världsmarknadspriserna på jordbruksprodukter är ofta konstlat låga till följd av subventioner och åtföljande dumpning från de skyddade marknaderna. Detta drabbar framför allt de fattigaste bönderna i utvecklingsländerna. EU bör därför ta fram en plan för att successi</w:t>
      </w:r>
      <w:r w:rsidRPr="0082092B">
        <w:t xml:space="preserve">vt avveckla jordbruksskyddet och reformera jordbrukspolitiken. </w:t>
      </w:r>
    </w:p>
    <w:p w:rsidR="005F425D" w:rsidRPr="0082092B" w:rsidRDefault="005F425D">
      <w:pPr>
        <w:pStyle w:val="Normaltindrag"/>
      </w:pPr>
      <w:r w:rsidRPr="0082092B">
        <w:t xml:space="preserve">EU:s regionalpolitik måste också reformeras. Att betala in pengar till EU för att sedan få tillbaka dem i form av strukturstöd är fel. </w:t>
      </w:r>
    </w:p>
    <w:p w:rsidR="005F425D" w:rsidRPr="0082092B" w:rsidRDefault="005F425D">
      <w:pPr>
        <w:pStyle w:val="Normaltindrag"/>
      </w:pPr>
      <w:r w:rsidRPr="0082092B">
        <w:t>Kostnaderna för jordbrukssubventioner och regionalstöd i de nuvarande medlemsländerna bör således minskas. Bidragsbestämmelserna skall göras klarare och mer entydiga. EU måste kraftfullt förbättra kontrollen och möjli</w:t>
      </w:r>
      <w:r w:rsidRPr="0082092B">
        <w:t>g</w:t>
      </w:r>
      <w:r w:rsidRPr="0082092B">
        <w:t>heten att beivra fusk och bedrägerier.</w:t>
      </w:r>
    </w:p>
    <w:p w:rsidR="005F425D" w:rsidRPr="0082092B" w:rsidRDefault="005F425D">
      <w:pPr>
        <w:pStyle w:val="Normaltindrag"/>
      </w:pPr>
      <w:r w:rsidRPr="0082092B">
        <w:t>EU skall inte utvecklas till att bli en transfereringsunion med beskattning</w:t>
      </w:r>
      <w:r w:rsidRPr="0082092B">
        <w:t>s</w:t>
      </w:r>
      <w:r w:rsidRPr="0082092B">
        <w:t>rätt. Nyttan av EU för var och en ligger inte i att unionen delar ut bidrag på skattebetalarnas bekostnad. Dessutom har det förekommit fusk och bedrägeri med pengar som kanaliseras via EU:s budget. Detta är allvarligt av ekon</w:t>
      </w:r>
      <w:r w:rsidRPr="0082092B">
        <w:t>o</w:t>
      </w:r>
      <w:r w:rsidRPr="0082092B">
        <w:t>miska skäl men också för att det uppluckrar samhäl</w:t>
      </w:r>
      <w:r w:rsidRPr="0082092B">
        <w:t>l</w:t>
      </w:r>
      <w:r w:rsidRPr="0082092B">
        <w:t xml:space="preserve">smoralen. </w:t>
      </w:r>
    </w:p>
    <w:p w:rsidR="005F425D" w:rsidRPr="0082092B" w:rsidRDefault="005F425D">
      <w:pPr>
        <w:pStyle w:val="Normaltindrag"/>
      </w:pPr>
      <w:r w:rsidRPr="0082092B">
        <w:t>EU:s budgettak – att högst 1,27 % av BNI skall gå till EU – måste ligga fast. Finansieringen skall som hittills ske via avgifter från medlemsländerna, dvs. EU skall inte ha beskattningsrätt.</w:t>
      </w:r>
    </w:p>
    <w:p w:rsidR="005F425D" w:rsidRPr="0082092B" w:rsidRDefault="005F425D">
      <w:pPr>
        <w:pStyle w:val="Normaltindrag"/>
      </w:pPr>
      <w:r w:rsidRPr="0082092B">
        <w:t>Det är viktigt att regeringen inom EU agerar i linje med dessa riktlinjer. Vi anser att r</w:t>
      </w:r>
      <w:r w:rsidRPr="0082092B">
        <w:rPr>
          <w:snapToGrid w:val="0"/>
        </w:rPr>
        <w:t>iksdagen bör tillkännage för regeringen som sin mening vad som här anförts</w:t>
      </w:r>
      <w:r w:rsidRPr="0082092B">
        <w:t>. Motion 2001/02:U303 (m) yrkande 11 bör således tillstyrkas av utrikesu</w:t>
      </w:r>
      <w:r w:rsidRPr="0082092B">
        <w:t>t</w:t>
      </w:r>
      <w:r w:rsidRPr="0082092B">
        <w:t>skottet.</w:t>
      </w:r>
    </w:p>
    <w:p w:rsidR="005F425D" w:rsidRPr="0082092B" w:rsidRDefault="005F425D">
      <w:pPr>
        <w:pStyle w:val="Rubrik3"/>
        <w:rPr>
          <w:noProof w:val="0"/>
          <w:snapToGrid w:val="0"/>
          <w:lang w:eastAsia="sv-SE"/>
        </w:rPr>
      </w:pPr>
      <w:bookmarkStart w:id="54" w:name="_Toc6122742"/>
      <w:bookmarkStart w:id="55" w:name="_Toc6738529"/>
      <w:r w:rsidRPr="0082092B">
        <w:rPr>
          <w:noProof w:val="0"/>
          <w:snapToGrid w:val="0"/>
          <w:lang w:eastAsia="sv-SE"/>
        </w:rPr>
        <w:br w:type="page"/>
      </w:r>
      <w:bookmarkStart w:id="56" w:name="_Toc6911452"/>
      <w:bookmarkStart w:id="57" w:name="_Toc7596382"/>
      <w:r w:rsidRPr="0082092B">
        <w:rPr>
          <w:noProof w:val="0"/>
          <w:snapToGrid w:val="0"/>
          <w:lang w:eastAsia="sv-SE"/>
        </w:rPr>
        <w:t>7. Miljöfrågor: Gröna räkenskaper och gröna nyckeltal</w:t>
      </w:r>
      <w:bookmarkEnd w:id="54"/>
      <w:r w:rsidRPr="0082092B">
        <w:rPr>
          <w:noProof w:val="0"/>
          <w:snapToGrid w:val="0"/>
          <w:lang w:eastAsia="sv-SE"/>
        </w:rPr>
        <w:t xml:space="preserve"> (v, mp)</w:t>
      </w:r>
      <w:bookmarkEnd w:id="55"/>
      <w:bookmarkEnd w:id="56"/>
      <w:bookmarkEnd w:id="57"/>
    </w:p>
    <w:p w:rsidR="005F425D" w:rsidRPr="0082092B" w:rsidRDefault="005F425D">
      <w:r w:rsidRPr="0082092B">
        <w:t>av Johan Lönnroth (v), Siv Holma (v) och Yvonne Ruwaida (mp).</w:t>
      </w:r>
    </w:p>
    <w:p w:rsidR="005F425D" w:rsidRPr="0082092B" w:rsidRDefault="005F425D">
      <w:r w:rsidRPr="0082092B">
        <w:t>Vi anser att regeringen i ministerrådet i de sammanhang där det lämpar sig skall driva frågan om ett ramprogram för integrering av miljöfrågorna i övrig verksamhet. Insatser som bör ingå i ett ramprogram för integrering av milj</w:t>
      </w:r>
      <w:r w:rsidRPr="0082092B">
        <w:t>ö</w:t>
      </w:r>
      <w:r w:rsidRPr="0082092B">
        <w:t>frågorna i övrig verksamhet är:</w:t>
      </w:r>
    </w:p>
    <w:p w:rsidR="005F425D" w:rsidRPr="0082092B" w:rsidRDefault="005F425D">
      <w:pPr>
        <w:numPr>
          <w:ilvl w:val="0"/>
          <w:numId w:val="28"/>
        </w:numPr>
      </w:pPr>
      <w:r w:rsidRPr="0082092B">
        <w:t xml:space="preserve">Inrätta en miljökommitté som granskar kommissionens förslag till beslut utifrån fördragens miljöprinciper. </w:t>
      </w:r>
    </w:p>
    <w:p w:rsidR="005F425D" w:rsidRPr="0082092B" w:rsidRDefault="005F425D">
      <w:pPr>
        <w:numPr>
          <w:ilvl w:val="0"/>
          <w:numId w:val="29"/>
        </w:numPr>
      </w:pPr>
      <w:r w:rsidRPr="0082092B">
        <w:t>Ge ökade resurser och befogenheter till EEA, European Environment Agency, som i dag samlar in och sammanställer information om milj</w:t>
      </w:r>
      <w:r w:rsidRPr="0082092B">
        <w:t>ö</w:t>
      </w:r>
      <w:r w:rsidRPr="0082092B">
        <w:t xml:space="preserve">tillståndet i unionen. </w:t>
      </w:r>
    </w:p>
    <w:p w:rsidR="005F425D" w:rsidRPr="0082092B" w:rsidRDefault="005F425D">
      <w:pPr>
        <w:numPr>
          <w:ilvl w:val="0"/>
          <w:numId w:val="30"/>
        </w:numPr>
      </w:pPr>
      <w:r w:rsidRPr="0082092B">
        <w:t>Miljöchecka alla beslut med hjälp av en checklista där miljöprinciperna kollas av mot föreslagna beslut. Detta skulle öka tydligheten och integr</w:t>
      </w:r>
      <w:r w:rsidRPr="0082092B">
        <w:t>e</w:t>
      </w:r>
      <w:r w:rsidRPr="0082092B">
        <w:t xml:space="preserve">ringen i miljöarbetet. </w:t>
      </w:r>
    </w:p>
    <w:p w:rsidR="005F425D" w:rsidRPr="0082092B" w:rsidRDefault="005F425D">
      <w:pPr>
        <w:numPr>
          <w:ilvl w:val="0"/>
          <w:numId w:val="31"/>
        </w:numPr>
      </w:pPr>
      <w:r w:rsidRPr="0082092B">
        <w:t>Ge ekonomin ekologiska spelregler. Ökad konsumtion, dvs. ökad BNP, är ett av unionens huvudmål trots att miljöforskning visar att det är just ett ökat materialflöde som är ett av de stora hindren på vägen mot ett ekologiskt hål</w:t>
      </w:r>
      <w:r w:rsidRPr="0082092B">
        <w:t>l</w:t>
      </w:r>
      <w:r w:rsidRPr="0082092B">
        <w:t xml:space="preserve">bart samhälle. </w:t>
      </w:r>
    </w:p>
    <w:p w:rsidR="005F425D" w:rsidRPr="0082092B" w:rsidRDefault="005F425D">
      <w:pPr>
        <w:numPr>
          <w:ilvl w:val="0"/>
          <w:numId w:val="32"/>
        </w:numPr>
      </w:pPr>
      <w:r w:rsidRPr="0082092B">
        <w:t xml:space="preserve">Utveckla systemet med så kallade gröna räkenskaper eller ”grön NNP” där även slitage på det naturliga kapitalet finns med i kalkylen. </w:t>
      </w:r>
    </w:p>
    <w:p w:rsidR="005F425D" w:rsidRPr="0082092B" w:rsidRDefault="005F425D">
      <w:r w:rsidRPr="0082092B">
        <w:t>Många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Vi anser att en plan för hur systemet med ekologiska fotavtryck skall kunna impl</w:t>
      </w:r>
      <w:r w:rsidRPr="0082092B">
        <w:t>e</w:t>
      </w:r>
      <w:r w:rsidRPr="0082092B">
        <w:t xml:space="preserve">menteras i unionens ekonomiska politik bör tas fram. </w:t>
      </w:r>
    </w:p>
    <w:p w:rsidR="005F425D" w:rsidRPr="0082092B" w:rsidRDefault="005F425D">
      <w:pPr>
        <w:pStyle w:val="Normaltindrag"/>
      </w:pPr>
      <w:r w:rsidRPr="0082092B">
        <w:t>Det stämmer att det pågår en del aktivitet kring gröna räkenskaper och gröna nyckeltal, men vi anser att mer kan och bör göras. Regeringen bör således verka för att EU skall utveckla systemet med gröna räkenskaper, och att systemet med gröna nyckeltal införs även på EU-nivå. Vidare bör rege</w:t>
      </w:r>
      <w:r w:rsidRPr="0082092B">
        <w:t>r</w:t>
      </w:r>
      <w:r w:rsidRPr="0082092B">
        <w:t>ingen verka för att systemet med ekologiska fotavtryck skall kunna impl</w:t>
      </w:r>
      <w:r w:rsidRPr="0082092B">
        <w:t>e</w:t>
      </w:r>
      <w:r w:rsidRPr="0082092B">
        <w:t>menteras i EU:s ekonomiska politik.</w:t>
      </w:r>
    </w:p>
    <w:p w:rsidR="005F425D" w:rsidRPr="0082092B" w:rsidRDefault="005F425D">
      <w:pPr>
        <w:pStyle w:val="Normaltindrag"/>
      </w:pPr>
      <w:r w:rsidRPr="0082092B">
        <w:t>Motion 2001/02:U348 (mp) yrkandena 6 och 8 bör således tillstyrkas av utrikesu</w:t>
      </w:r>
      <w:r w:rsidRPr="0082092B">
        <w:t>t</w:t>
      </w:r>
      <w:r w:rsidRPr="0082092B">
        <w:t>skottet.</w:t>
      </w:r>
    </w:p>
    <w:p w:rsidR="005F425D" w:rsidRPr="0082092B" w:rsidRDefault="005F425D">
      <w:pPr>
        <w:pStyle w:val="Normaltindrag"/>
      </w:pPr>
    </w:p>
    <w:p w:rsidR="005F425D" w:rsidRPr="0082092B" w:rsidRDefault="005F425D"/>
    <w:p w:rsidR="005F425D" w:rsidRPr="0082092B" w:rsidRDefault="005F425D">
      <w:pPr>
        <w:sectPr w:rsidR="00000000" w:rsidRPr="0082092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F425D" w:rsidRPr="0082092B" w:rsidRDefault="005F425D">
      <w:pPr>
        <w:pStyle w:val="Rubrik1"/>
        <w:rPr>
          <w:noProof w:val="0"/>
        </w:rPr>
      </w:pPr>
      <w:bookmarkStart w:id="58" w:name="_Toc6911453"/>
      <w:bookmarkStart w:id="59" w:name="_Toc7596383"/>
      <w:r w:rsidRPr="0082092B">
        <w:rPr>
          <w:noProof w:val="0"/>
        </w:rPr>
        <w:t>Särskilda yttranden</w:t>
      </w:r>
      <w:bookmarkEnd w:id="58"/>
      <w:bookmarkEnd w:id="59"/>
    </w:p>
    <w:p w:rsidR="005F425D" w:rsidRPr="0082092B" w:rsidRDefault="005F425D">
      <w:pPr>
        <w:pStyle w:val="Rubrik3"/>
        <w:spacing w:before="110"/>
        <w:rPr>
          <w:noProof w:val="0"/>
          <w:snapToGrid w:val="0"/>
          <w:lang w:eastAsia="sv-SE"/>
        </w:rPr>
      </w:pPr>
      <w:bookmarkStart w:id="60" w:name="_Toc6911454"/>
      <w:bookmarkStart w:id="61" w:name="_Toc7596384"/>
      <w:r w:rsidRPr="0082092B">
        <w:rPr>
          <w:noProof w:val="0"/>
          <w:snapToGrid w:val="0"/>
          <w:lang w:eastAsia="sv-SE"/>
        </w:rPr>
        <w:t>1. EU:s budget (v, mp)</w:t>
      </w:r>
      <w:bookmarkEnd w:id="60"/>
      <w:bookmarkEnd w:id="61"/>
    </w:p>
    <w:p w:rsidR="005F425D" w:rsidRPr="0082092B" w:rsidRDefault="005F425D">
      <w:pPr>
        <w:rPr>
          <w:snapToGrid w:val="0"/>
          <w:lang w:eastAsia="sv-SE"/>
        </w:rPr>
      </w:pPr>
      <w:r w:rsidRPr="0082092B">
        <w:rPr>
          <w:snapToGrid w:val="0"/>
          <w:lang w:eastAsia="sv-SE"/>
        </w:rPr>
        <w:t>av Johan Lönnroth (v), Siv Holma (v) och Yvonne Ruwaida (mp).</w:t>
      </w:r>
    </w:p>
    <w:p w:rsidR="005F425D" w:rsidRPr="0082092B" w:rsidRDefault="005F425D">
      <w:pPr>
        <w:rPr>
          <w:snapToGrid w:val="0"/>
          <w:lang w:eastAsia="sv-SE"/>
        </w:rPr>
      </w:pPr>
      <w:r w:rsidRPr="0082092B">
        <w:rPr>
          <w:snapToGrid w:val="0"/>
          <w:lang w:eastAsia="sv-SE"/>
        </w:rPr>
        <w:t>Vi vill betona vikten av att regeringen inom EU driver en mycket stram bu</w:t>
      </w:r>
      <w:r w:rsidRPr="0082092B">
        <w:rPr>
          <w:snapToGrid w:val="0"/>
          <w:lang w:eastAsia="sv-SE"/>
        </w:rPr>
        <w:t>d</w:t>
      </w:r>
      <w:r w:rsidRPr="0082092B">
        <w:rPr>
          <w:snapToGrid w:val="0"/>
          <w:lang w:eastAsia="sv-SE"/>
        </w:rPr>
        <w:t xml:space="preserve">getpolitik. Det förekommer alldeles för mycket fusk och bedrägerier med EU-medel. Fusk och bedrägerier är oacceptabelt både på EU-nivå och nationell nivå. </w:t>
      </w:r>
    </w:p>
    <w:p w:rsidR="005F425D" w:rsidRPr="0082092B" w:rsidRDefault="005F425D">
      <w:pPr>
        <w:pStyle w:val="Normaltindrag"/>
      </w:pPr>
      <w:r w:rsidRPr="0082092B">
        <w:rPr>
          <w:snapToGrid w:val="0"/>
          <w:lang w:eastAsia="sv-SE"/>
        </w:rPr>
        <w:t>EU:s stödsystem är i dag mycket svåradministrerade. EU:s jordbrukspol</w:t>
      </w:r>
      <w:r w:rsidRPr="0082092B">
        <w:rPr>
          <w:snapToGrid w:val="0"/>
          <w:lang w:eastAsia="sv-SE"/>
        </w:rPr>
        <w:t>i</w:t>
      </w:r>
      <w:r w:rsidRPr="0082092B">
        <w:rPr>
          <w:snapToGrid w:val="0"/>
          <w:lang w:eastAsia="sv-SE"/>
        </w:rPr>
        <w:t>tik, som motsvarar nära halva EU:s budget, måste reformeras. Politiken måste också innefatta ett miljö- och djurskyddsperspektiv.</w:t>
      </w:r>
    </w:p>
    <w:p w:rsidR="005F425D" w:rsidRPr="0082092B" w:rsidRDefault="005F425D">
      <w:pPr>
        <w:pStyle w:val="Rubrik3"/>
        <w:rPr>
          <w:noProof w:val="0"/>
          <w:snapToGrid w:val="0"/>
          <w:lang w:eastAsia="sv-SE"/>
        </w:rPr>
      </w:pPr>
      <w:bookmarkStart w:id="62" w:name="_Toc6738530"/>
      <w:bookmarkStart w:id="63" w:name="_Toc6911455"/>
      <w:bookmarkStart w:id="64" w:name="_Toc7596385"/>
      <w:r w:rsidRPr="0082092B">
        <w:rPr>
          <w:noProof w:val="0"/>
          <w:snapToGrid w:val="0"/>
          <w:lang w:eastAsia="sv-SE"/>
        </w:rPr>
        <w:t>2. Majoritetsbeslut beträffande koldioxidskatter (kd, fp)</w:t>
      </w:r>
      <w:bookmarkEnd w:id="62"/>
      <w:bookmarkEnd w:id="63"/>
      <w:bookmarkEnd w:id="64"/>
    </w:p>
    <w:p w:rsidR="005F425D" w:rsidRPr="0082092B" w:rsidRDefault="005F425D">
      <w:r w:rsidRPr="0082092B">
        <w:t>av Mats Odell (kd), Per Landgren (kd) och Karin Pilsäter (fp).</w:t>
      </w:r>
    </w:p>
    <w:p w:rsidR="005F425D" w:rsidRPr="0082092B" w:rsidRDefault="005F425D">
      <w:r w:rsidRPr="0082092B">
        <w:t>Ett viktigt steg i riktningen att göra EU mer handlingskraftigt på miljöomr</w:t>
      </w:r>
      <w:r w:rsidRPr="0082092B">
        <w:t>å</w:t>
      </w:r>
      <w:r w:rsidRPr="0082092B">
        <w:t>det vore att fatta beslut om miljöavgifter med kvalificerad majoritet. Hittills har det nämligen visat sig omöjligt att driva igenom t.ex. en gemensam min</w:t>
      </w:r>
      <w:r w:rsidRPr="0082092B">
        <w:t>i</w:t>
      </w:r>
      <w:r w:rsidRPr="0082092B">
        <w:t>minivå för koldioxidavgifter just på grund av ett fåtal länders blockering. Dessvärre har den svenska regeringen, t.ex. i förhandlingarna om Nicefördr</w:t>
      </w:r>
      <w:r w:rsidRPr="0082092B">
        <w:t>a</w:t>
      </w:r>
      <w:r w:rsidRPr="0082092B">
        <w:t xml:space="preserve">get, konsekvent motsatt sig en förändring, med hänvisning till att skattefrågor är en nationell angelägenhet. </w:t>
      </w:r>
    </w:p>
    <w:p w:rsidR="005F425D" w:rsidRPr="0082092B" w:rsidRDefault="005F425D">
      <w:pPr>
        <w:pStyle w:val="Normaltindrag"/>
      </w:pPr>
      <w:r w:rsidRPr="0082092B">
        <w:t>Vi delar uppfattningen att v</w:t>
      </w:r>
      <w:r w:rsidRPr="0082092B">
        <w:rPr>
          <w:snapToGrid w:val="0"/>
          <w:lang w:eastAsia="sv-SE"/>
        </w:rPr>
        <w:t>ilket skattetryck och vilken blandning av ska</w:t>
      </w:r>
      <w:r w:rsidRPr="0082092B">
        <w:rPr>
          <w:snapToGrid w:val="0"/>
          <w:lang w:eastAsia="sv-SE"/>
        </w:rPr>
        <w:t>t</w:t>
      </w:r>
      <w:r w:rsidRPr="0082092B">
        <w:rPr>
          <w:snapToGrid w:val="0"/>
          <w:lang w:eastAsia="sv-SE"/>
        </w:rPr>
        <w:t>ter ett enskilt land har skall vara upp till varje enskilt medlemslands medbo</w:t>
      </w:r>
      <w:r w:rsidRPr="0082092B">
        <w:rPr>
          <w:snapToGrid w:val="0"/>
          <w:lang w:eastAsia="sv-SE"/>
        </w:rPr>
        <w:t>r</w:t>
      </w:r>
      <w:r w:rsidRPr="0082092B">
        <w:rPr>
          <w:snapToGrid w:val="0"/>
          <w:lang w:eastAsia="sv-SE"/>
        </w:rPr>
        <w:t xml:space="preserve">gare att avgöra. </w:t>
      </w:r>
      <w:r w:rsidRPr="0082092B">
        <w:t>Vi anser dock att miljöfrågor, som är en så tydligt gränsöve</w:t>
      </w:r>
      <w:r w:rsidRPr="0082092B">
        <w:t>r</w:t>
      </w:r>
      <w:r w:rsidRPr="0082092B">
        <w:t>skridande fråga, bör vara ett undantag. En gemensam miniminivå på kold</w:t>
      </w:r>
      <w:r w:rsidRPr="0082092B">
        <w:t>i</w:t>
      </w:r>
      <w:r w:rsidRPr="0082092B">
        <w:t>oxidskatt bör införas för att reducera u</w:t>
      </w:r>
      <w:r w:rsidRPr="0082092B">
        <w:t>t</w:t>
      </w:r>
      <w:r w:rsidRPr="0082092B">
        <w:t>släppen och minska växthuseffekten.</w:t>
      </w:r>
    </w:p>
    <w:p w:rsidR="005F425D" w:rsidRPr="0082092B" w:rsidRDefault="005F425D">
      <w:pPr>
        <w:pStyle w:val="Normaltindrag"/>
        <w:rPr>
          <w:snapToGrid w:val="0"/>
          <w:lang w:eastAsia="sv-SE"/>
        </w:rPr>
      </w:pPr>
      <w:r w:rsidRPr="0082092B">
        <w:rPr>
          <w:snapToGrid w:val="0"/>
          <w:lang w:eastAsia="sv-SE"/>
        </w:rPr>
        <w:t>Med samma motiv som att vi vill använda oss av majoritetsbeslut för re</w:t>
      </w:r>
      <w:r w:rsidRPr="0082092B">
        <w:rPr>
          <w:snapToGrid w:val="0"/>
          <w:lang w:eastAsia="sv-SE"/>
        </w:rPr>
        <w:t>g</w:t>
      </w:r>
      <w:r w:rsidRPr="0082092B">
        <w:rPr>
          <w:snapToGrid w:val="0"/>
          <w:lang w:eastAsia="sv-SE"/>
        </w:rPr>
        <w:t xml:space="preserve">ler i syfte att komma åt andra gränsöverskridande problem kan vi således behöva använda ekonomiska styrmedel i form av miljöskatter. </w:t>
      </w:r>
    </w:p>
    <w:p w:rsidR="005F425D" w:rsidRPr="0082092B" w:rsidRDefault="005F425D">
      <w:pPr>
        <w:pStyle w:val="Rubrik3"/>
        <w:rPr>
          <w:noProof w:val="0"/>
        </w:rPr>
      </w:pPr>
      <w:bookmarkStart w:id="65" w:name="_Toc6911456"/>
      <w:bookmarkStart w:id="66" w:name="_Toc7596386"/>
      <w:r w:rsidRPr="0082092B">
        <w:rPr>
          <w:noProof w:val="0"/>
        </w:rPr>
        <w:t>3. Sveriges ordförandeskap i EU (c)</w:t>
      </w:r>
      <w:bookmarkEnd w:id="65"/>
      <w:bookmarkEnd w:id="66"/>
    </w:p>
    <w:p w:rsidR="005F425D" w:rsidRPr="0082092B" w:rsidRDefault="005F425D">
      <w:r w:rsidRPr="0082092B">
        <w:t>av Lena Ek (c).</w:t>
      </w:r>
    </w:p>
    <w:p w:rsidR="005F425D" w:rsidRPr="0082092B" w:rsidRDefault="005F425D">
      <w:r w:rsidRPr="0082092B">
        <w:t>Sveriges ordförandeskap i EU har av vissa bedömare ansetts vara en fra</w:t>
      </w:r>
      <w:r w:rsidRPr="0082092B">
        <w:t>m</w:t>
      </w:r>
      <w:r w:rsidRPr="0082092B">
        <w:t xml:space="preserve">gång. På flera områden var dock inte ordförandeskapet så framgångsrikt som påståtts. </w:t>
      </w:r>
    </w:p>
    <w:p w:rsidR="005F425D" w:rsidRPr="0082092B" w:rsidRDefault="005F425D">
      <w:pPr>
        <w:pStyle w:val="Normaltindrag"/>
      </w:pPr>
      <w:r w:rsidRPr="0082092B">
        <w:t xml:space="preserve">Inom </w:t>
      </w:r>
      <w:r w:rsidRPr="0082092B">
        <w:rPr>
          <w:i/>
        </w:rPr>
        <w:t>miljöområdet</w:t>
      </w:r>
      <w:r w:rsidRPr="0082092B">
        <w:t xml:space="preserve"> nådde regeringen inte så långt som den själv önskade. Till exempel var inte strategin för hållbar utveckling så långtgående som den borde ha varit, även om den var ett steg i rätt riktning. Sverige måste våga ta steget och säga att vi behöver miniminivåer för miljöskatterna i EU. Detta vore bra för miljön och det är ett bra sätt att skapa likvärdiga konkurrensvil</w:t>
      </w:r>
      <w:r w:rsidRPr="0082092B">
        <w:t>l</w:t>
      </w:r>
      <w:r w:rsidRPr="0082092B">
        <w:t>kor inom EU. Sverige bör driva frågan om miniminivåer för miljöskatter i EU. Både under ordförandeskapet och annars har regeringen av</w:t>
      </w:r>
      <w:r w:rsidRPr="0082092B">
        <w:t>stått från att driva denna fråga. På hemmaplan sköts utlovade propositioner på framtiden. Det är allvarligt att regeringen är passiv på hemmaplan när man samtidigt säger att man vill ha en framskjuten position internationellt. En overksam regering får trovärdighetsproblem på den internationella scenen.</w:t>
      </w:r>
    </w:p>
    <w:p w:rsidR="005F425D" w:rsidRPr="0082092B" w:rsidRDefault="005F425D">
      <w:pPr>
        <w:pStyle w:val="Normaltindrag"/>
      </w:pPr>
      <w:r w:rsidRPr="0082092B">
        <w:rPr>
          <w:i/>
        </w:rPr>
        <w:t>Det demokratiska underskottet</w:t>
      </w:r>
      <w:r w:rsidRPr="0082092B">
        <w:t xml:space="preserve"> är ett stort problem inom EU. Det är viktigt att EU har en folklig förankring. Demokratin måste utvecklas och beslutsv</w:t>
      </w:r>
      <w:r w:rsidRPr="0082092B">
        <w:t>ä</w:t>
      </w:r>
      <w:r w:rsidRPr="0082092B">
        <w:t>gar, ansvar och ansvarsområden bli tydligare. Sverige var påfallande passivt i dessa frågor under ordförandeskapet. I Sverige är det angeläget att riksdagen har en stark roll i hanteringen av EU-frågor. Regeringen bör i fortsättningen lägga ökad vikt vid den tidiga förankringsprocessen, inklusive diskussioner med berörda utskott om vitböcker, samråd med riksdagen om regeringstjän</w:t>
      </w:r>
      <w:r w:rsidRPr="0082092B">
        <w:t>s</w:t>
      </w:r>
      <w:r w:rsidRPr="0082092B">
        <w:t>temäns ar</w:t>
      </w:r>
      <w:r w:rsidRPr="0082092B">
        <w:t>bete i gemensamma arbetsgrupper m.m. En självklar utgångspunkt bör vara att riksdagens fackutskott har ett avgörande och tidigt inflytande i utformningen av de nationella positionerna.</w:t>
      </w:r>
    </w:p>
    <w:p w:rsidR="005F425D" w:rsidRPr="0082092B" w:rsidRDefault="005F425D">
      <w:pPr>
        <w:pStyle w:val="Normaltindrag"/>
        <w:rPr>
          <w:snapToGrid w:val="0"/>
          <w:lang w:eastAsia="sv-SE"/>
        </w:rPr>
      </w:pPr>
      <w:r w:rsidRPr="0082092B">
        <w:t xml:space="preserve">Inte heller i frågan om </w:t>
      </w:r>
      <w:r w:rsidRPr="0082092B">
        <w:rPr>
          <w:i/>
        </w:rPr>
        <w:t>reformering av EU:s institutioner</w:t>
      </w:r>
      <w:r w:rsidRPr="0082092B">
        <w:t xml:space="preserve"> var regeringen aktiv under ordförandeskapet. I stället överläts denna fråga till andra me</w:t>
      </w:r>
      <w:r w:rsidRPr="0082092B">
        <w:t>d</w:t>
      </w:r>
      <w:r w:rsidRPr="0082092B">
        <w:t>lemsstater. Regeringen borde ha drivit visionen om ett smalare men effektiv</w:t>
      </w:r>
      <w:r w:rsidRPr="0082092B">
        <w:t>a</w:t>
      </w:r>
      <w:r w:rsidRPr="0082092B">
        <w:t>re EU. Tyngpunkten bör förskjutas till förmån för de valda institutionerna. Kommissionen är i dag en enorm organisation, med egna intressen, spelregler och konflikter. Tjänstemännen har ensamrätt när det gäller att komma med förslag och har möjlighet att vägra släppa igenom frågor där både regeringa</w:t>
      </w:r>
      <w:r w:rsidRPr="0082092B">
        <w:t>r</w:t>
      </w:r>
      <w:r w:rsidRPr="0082092B">
        <w:t>na i minist</w:t>
      </w:r>
      <w:r w:rsidRPr="0082092B">
        <w:t>errådet och de folkvalda i parlamentet är överens. Kommissionens funktion som EU:s verkställande kraft och tjänstemannaorganisation borde utvecklas genom att uppgifterna renodlas och att kommissionen underställs de beslut som fattas i de politiska institutionerna. Såväl ministerråd som parl</w:t>
      </w:r>
      <w:r w:rsidRPr="0082092B">
        <w:t>a</w:t>
      </w:r>
      <w:r w:rsidRPr="0082092B">
        <w:t>ment bör ha initiativrätt. De förändringar som görs i de båda institutionerna bör kunna passera utan att på nytt godkännas av kommissionen.</w:t>
      </w:r>
    </w:p>
    <w:p w:rsidR="005F425D" w:rsidRPr="0082092B" w:rsidRDefault="005F425D"/>
    <w:p w:rsidR="005F425D" w:rsidRPr="0082092B" w:rsidRDefault="005F425D">
      <w:pPr>
        <w:pStyle w:val="Normaltindrag"/>
        <w:sectPr w:rsidR="00000000" w:rsidRPr="0082092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F425D" w:rsidRPr="0082092B" w:rsidRDefault="005F425D">
      <w:pPr>
        <w:pStyle w:val="R1"/>
      </w:pPr>
      <w:bookmarkStart w:id="67" w:name="_Toc6911457"/>
      <w:r w:rsidRPr="0082092B">
        <w:t>Innehållsförteckning</w:t>
      </w:r>
      <w:bookmarkEnd w:id="67"/>
    </w:p>
    <w:p w:rsidR="005F425D" w:rsidRPr="0082092B" w:rsidRDefault="005F425D">
      <w:pPr>
        <w:pStyle w:val="Innehll2"/>
      </w:pPr>
      <w:r w:rsidRPr="0082092B">
        <w:rPr>
          <w:snapToGrid w:val="0"/>
        </w:rPr>
        <w:t>Regeringens skrivelser</w:t>
      </w:r>
      <w:r w:rsidRPr="0082092B">
        <w:tab/>
        <w:t>1</w:t>
      </w:r>
    </w:p>
    <w:p w:rsidR="005F425D" w:rsidRPr="0082092B" w:rsidRDefault="005F425D">
      <w:pPr>
        <w:pStyle w:val="Innehll1"/>
      </w:pPr>
      <w:r w:rsidRPr="0082092B">
        <w:rPr>
          <w:snapToGrid w:val="0"/>
        </w:rPr>
        <w:t>Utskottet</w:t>
      </w:r>
      <w:r w:rsidRPr="0082092B">
        <w:tab/>
        <w:t>3</w:t>
      </w:r>
    </w:p>
    <w:p w:rsidR="005F425D" w:rsidRPr="0082092B" w:rsidRDefault="005F425D">
      <w:pPr>
        <w:pStyle w:val="Innehll2"/>
      </w:pPr>
      <w:r w:rsidRPr="0082092B">
        <w:rPr>
          <w:snapToGrid w:val="0"/>
        </w:rPr>
        <w:t>Relationerna mellan EMU-medlemmar och icke-EMU-medlemmar</w:t>
      </w:r>
      <w:r w:rsidRPr="0082092B">
        <w:tab/>
        <w:t>3</w:t>
      </w:r>
    </w:p>
    <w:p w:rsidR="005F425D" w:rsidRPr="0082092B" w:rsidRDefault="005F425D">
      <w:pPr>
        <w:pStyle w:val="Innehll2"/>
      </w:pPr>
      <w:r w:rsidRPr="0082092B">
        <w:t>Europeiska centralbankens ställning</w:t>
      </w:r>
      <w:r w:rsidRPr="0082092B">
        <w:tab/>
        <w:t>5</w:t>
      </w:r>
    </w:p>
    <w:p w:rsidR="005F425D" w:rsidRPr="0082092B" w:rsidRDefault="005F425D">
      <w:pPr>
        <w:pStyle w:val="Innehll2"/>
      </w:pPr>
      <w:r w:rsidRPr="0082092B">
        <w:t>Maastrichtfördraget</w:t>
      </w:r>
      <w:r w:rsidRPr="0082092B">
        <w:tab/>
        <w:t>6</w:t>
      </w:r>
    </w:p>
    <w:p w:rsidR="005F425D" w:rsidRPr="0082092B" w:rsidRDefault="005F425D">
      <w:pPr>
        <w:pStyle w:val="Innehll2"/>
      </w:pPr>
      <w:r w:rsidRPr="0082092B">
        <w:rPr>
          <w:snapToGrid w:val="0"/>
        </w:rPr>
        <w:t>Sveriges inflytande i EU</w:t>
      </w:r>
      <w:r w:rsidRPr="0082092B">
        <w:tab/>
        <w:t>7</w:t>
      </w:r>
    </w:p>
    <w:p w:rsidR="005F425D" w:rsidRPr="0082092B" w:rsidRDefault="005F425D">
      <w:pPr>
        <w:pStyle w:val="Innehll2"/>
      </w:pPr>
      <w:r w:rsidRPr="0082092B">
        <w:t>EU:s budget</w:t>
      </w:r>
      <w:r w:rsidRPr="0082092B">
        <w:tab/>
        <w:t>8</w:t>
      </w:r>
    </w:p>
    <w:p w:rsidR="005F425D" w:rsidRPr="0082092B" w:rsidRDefault="005F425D">
      <w:pPr>
        <w:pStyle w:val="Innehll2"/>
      </w:pPr>
      <w:r w:rsidRPr="0082092B">
        <w:rPr>
          <w:snapToGrid w:val="0"/>
        </w:rPr>
        <w:t>Miljöfrågor: Gröna räkenskaper och gröna nyckeltal</w:t>
      </w:r>
      <w:r w:rsidRPr="0082092B">
        <w:tab/>
        <w:t>11</w:t>
      </w:r>
    </w:p>
    <w:p w:rsidR="005F425D" w:rsidRPr="0082092B" w:rsidRDefault="005F425D">
      <w:pPr>
        <w:pStyle w:val="Innehll1"/>
      </w:pPr>
      <w:r w:rsidRPr="0082092B">
        <w:t>Avvikande meningar</w:t>
      </w:r>
      <w:r w:rsidRPr="0082092B">
        <w:tab/>
        <w:t>15</w:t>
      </w:r>
    </w:p>
    <w:p w:rsidR="005F425D" w:rsidRPr="0082092B" w:rsidRDefault="005F425D">
      <w:pPr>
        <w:pStyle w:val="Innehll3"/>
      </w:pPr>
      <w:r w:rsidRPr="0082092B">
        <w:rPr>
          <w:snapToGrid w:val="0"/>
        </w:rPr>
        <w:t>1. Relationerna mellan EMU-medlemmar och icke-EMU-medlemmar (v, mp)</w:t>
      </w:r>
      <w:r w:rsidRPr="0082092B">
        <w:tab/>
        <w:t>15</w:t>
      </w:r>
    </w:p>
    <w:p w:rsidR="005F425D" w:rsidRPr="0082092B" w:rsidRDefault="005F425D">
      <w:pPr>
        <w:pStyle w:val="Innehll3"/>
      </w:pPr>
      <w:r w:rsidRPr="0082092B">
        <w:t>2. Europeiska centralbankens ställning (v, mp)</w:t>
      </w:r>
      <w:r w:rsidRPr="0082092B">
        <w:tab/>
        <w:t>15</w:t>
      </w:r>
    </w:p>
    <w:p w:rsidR="005F425D" w:rsidRPr="0082092B" w:rsidRDefault="005F425D">
      <w:pPr>
        <w:pStyle w:val="Innehll3"/>
      </w:pPr>
      <w:r w:rsidRPr="0082092B">
        <w:t>3. Maastrichtfördraget (v, mp)</w:t>
      </w:r>
      <w:r w:rsidRPr="0082092B">
        <w:tab/>
        <w:t>16</w:t>
      </w:r>
    </w:p>
    <w:p w:rsidR="005F425D" w:rsidRPr="0082092B" w:rsidRDefault="005F425D">
      <w:pPr>
        <w:pStyle w:val="Innehll3"/>
      </w:pPr>
      <w:r w:rsidRPr="0082092B">
        <w:rPr>
          <w:snapToGrid w:val="0"/>
        </w:rPr>
        <w:t>4. Sveriges inflytande i EU (v)</w:t>
      </w:r>
      <w:r w:rsidRPr="0082092B">
        <w:tab/>
        <w:t>17</w:t>
      </w:r>
    </w:p>
    <w:p w:rsidR="005F425D" w:rsidRPr="0082092B" w:rsidRDefault="005F425D">
      <w:pPr>
        <w:pStyle w:val="Innehll3"/>
      </w:pPr>
      <w:r w:rsidRPr="0082092B">
        <w:rPr>
          <w:snapToGrid w:val="0"/>
        </w:rPr>
        <w:t>5. Sveriges inflytande i EU (mp)</w:t>
      </w:r>
      <w:r w:rsidRPr="0082092B">
        <w:tab/>
        <w:t>17</w:t>
      </w:r>
    </w:p>
    <w:p w:rsidR="005F425D" w:rsidRPr="0082092B" w:rsidRDefault="005F425D">
      <w:pPr>
        <w:pStyle w:val="Innehll3"/>
      </w:pPr>
      <w:r w:rsidRPr="0082092B">
        <w:t>6. EU:s budget (m, fp)</w:t>
      </w:r>
      <w:r w:rsidRPr="0082092B">
        <w:tab/>
        <w:t>18</w:t>
      </w:r>
    </w:p>
    <w:p w:rsidR="005F425D" w:rsidRPr="0082092B" w:rsidRDefault="005F425D">
      <w:pPr>
        <w:pStyle w:val="Innehll3"/>
      </w:pPr>
      <w:r w:rsidRPr="0082092B">
        <w:rPr>
          <w:snapToGrid w:val="0"/>
        </w:rPr>
        <w:t>7. Miljöfrågor: Gröna räkenskaper och gröna nyckeltal (v, mp)</w:t>
      </w:r>
      <w:r w:rsidRPr="0082092B">
        <w:tab/>
        <w:t>19</w:t>
      </w:r>
    </w:p>
    <w:p w:rsidR="005F425D" w:rsidRPr="0082092B" w:rsidRDefault="005F425D">
      <w:pPr>
        <w:pStyle w:val="Innehll1"/>
      </w:pPr>
      <w:r w:rsidRPr="0082092B">
        <w:t>Särskilda yttranden</w:t>
      </w:r>
      <w:r w:rsidRPr="0082092B">
        <w:tab/>
        <w:t>20</w:t>
      </w:r>
    </w:p>
    <w:p w:rsidR="005F425D" w:rsidRPr="0082092B" w:rsidRDefault="005F425D">
      <w:pPr>
        <w:pStyle w:val="Innehll3"/>
      </w:pPr>
      <w:r w:rsidRPr="0082092B">
        <w:rPr>
          <w:snapToGrid w:val="0"/>
        </w:rPr>
        <w:t>1. EU:s budget (v, mp)</w:t>
      </w:r>
      <w:r w:rsidRPr="0082092B">
        <w:tab/>
        <w:t>20</w:t>
      </w:r>
    </w:p>
    <w:p w:rsidR="005F425D" w:rsidRPr="0082092B" w:rsidRDefault="005F425D">
      <w:pPr>
        <w:pStyle w:val="Innehll3"/>
      </w:pPr>
      <w:r w:rsidRPr="0082092B">
        <w:rPr>
          <w:snapToGrid w:val="0"/>
        </w:rPr>
        <w:t>2. Majoritetsbeslut beträffande koldioxidskatter (kd, fp)</w:t>
      </w:r>
      <w:r w:rsidRPr="0082092B">
        <w:tab/>
        <w:t>20</w:t>
      </w:r>
    </w:p>
    <w:p w:rsidR="005F425D" w:rsidRPr="0082092B" w:rsidRDefault="005F425D">
      <w:pPr>
        <w:pStyle w:val="Innehll3"/>
      </w:pPr>
      <w:r w:rsidRPr="0082092B">
        <w:t>3. Sveriges ordförandeskap i EU (c)</w:t>
      </w:r>
      <w:r w:rsidRPr="0082092B">
        <w:tab/>
        <w:t>20</w:t>
      </w:r>
    </w:p>
    <w:p w:rsidR="005F425D" w:rsidRPr="0082092B" w:rsidRDefault="005F425D"/>
    <w:p w:rsidR="005F425D" w:rsidRPr="0082092B" w:rsidRDefault="005F425D">
      <w:pPr>
        <w:pStyle w:val="Tryckort"/>
        <w:framePr w:wrap="around"/>
        <w:jc w:val="right"/>
      </w:pPr>
      <w:r w:rsidRPr="0082092B">
        <w:t>Elanders Gotab, Stockholm  2002</w:t>
      </w:r>
    </w:p>
    <w:p w:rsidR="005F425D" w:rsidRPr="0082092B" w:rsidRDefault="005F425D">
      <w:pPr>
        <w:pStyle w:val="Normaltindrag"/>
      </w:pPr>
    </w:p>
    <w:sectPr w:rsidR="005F425D" w:rsidRPr="0082092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25D" w:rsidRPr="0082092B" w:rsidRDefault="005F425D">
      <w:pPr>
        <w:spacing w:before="0" w:line="240" w:lineRule="auto"/>
      </w:pPr>
      <w:r w:rsidRPr="0082092B">
        <w:separator/>
      </w:r>
    </w:p>
  </w:endnote>
  <w:endnote w:type="continuationSeparator" w:id="0">
    <w:p w:rsidR="005F425D" w:rsidRPr="0082092B" w:rsidRDefault="005F425D">
      <w:pPr>
        <w:spacing w:before="0" w:line="240" w:lineRule="auto"/>
      </w:pPr>
      <w:r w:rsidRPr="00820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732" w:h="284" w:hRule="exact" w:hSpace="0" w:vSpace="0" w:wrap="around" w:xAlign="inside" w:y="13042"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2</w:t>
    </w:r>
    <w:r w:rsidRPr="0082092B">
      <w:fldChar w:fldCharType="end"/>
    </w:r>
  </w:p>
  <w:p w:rsidR="005F425D" w:rsidRPr="0082092B" w:rsidRDefault="005F425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732" w:h="284" w:hRule="exact" w:hSpace="0" w:vSpace="0" w:wrap="around" w:xAlign="inside" w:y="13042"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22</w:t>
    </w:r>
    <w:r w:rsidRPr="0082092B">
      <w:fldChar w:fldCharType="end"/>
    </w:r>
  </w:p>
  <w:p w:rsidR="005F425D" w:rsidRPr="0082092B" w:rsidRDefault="005F425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H"/>
      <w:framePr w:w="8732" w:h="284" w:hRule="exact" w:hSpace="0" w:vSpace="0" w:wrap="around" w:xAlign="inside" w:y="13042"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21</w:t>
    </w:r>
    <w:r w:rsidRPr="0082092B">
      <w:fldChar w:fldCharType="end"/>
    </w:r>
  </w:p>
  <w:p w:rsidR="005F425D" w:rsidRPr="0082092B" w:rsidRDefault="005F425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732" w:h="284" w:hRule="exact" w:hSpace="0" w:vSpace="0" w:wrap="around" w:xAlign="inside" w:y="13042" w:anchorLock="0"/>
    </w:pPr>
    <w:r w:rsidRPr="0082092B">
      <w:fldChar w:fldCharType="begin" w:fldLock="1"/>
    </w:r>
    <w:r w:rsidRPr="0082092B">
      <w:instrText xml:space="preserve"> if </w:instrText>
    </w:r>
    <w:r w:rsidRPr="0082092B">
      <w:fldChar w:fldCharType="begin" w:fldLock="1"/>
    </w:r>
    <w:r w:rsidRPr="0082092B">
      <w:instrText xml:space="preserve"> = </w:instrText>
    </w:r>
    <w:r w:rsidRPr="0082092B">
      <w:fldChar w:fldCharType="begin" w:fldLock="1"/>
    </w:r>
    <w:r w:rsidRPr="0082092B">
      <w:instrText xml:space="preserve"> = </w:instrText>
    </w:r>
    <w:r w:rsidRPr="0082092B">
      <w:fldChar w:fldCharType="begin" w:fldLock="1"/>
    </w:r>
    <w:r w:rsidRPr="0082092B">
      <w:instrText xml:space="preserve"> page</w:instrText>
    </w:r>
    <w:r w:rsidRPr="0082092B">
      <w:fldChar w:fldCharType="separate"/>
    </w:r>
    <w:r w:rsidRPr="0082092B">
      <w:instrText>20</w:instrText>
    </w:r>
    <w:r w:rsidRPr="0082092B">
      <w:fldChar w:fldCharType="end"/>
    </w:r>
    <w:r w:rsidRPr="0082092B">
      <w:instrText xml:space="preserve">/2 </w:instrText>
    </w:r>
    <w:r w:rsidRPr="0082092B">
      <w:fldChar w:fldCharType="separate"/>
    </w:r>
    <w:r w:rsidRPr="0082092B">
      <w:instrText>10</w:instrText>
    </w:r>
    <w:r w:rsidRPr="0082092B">
      <w:fldChar w:fldCharType="end"/>
    </w:r>
    <w:r w:rsidRPr="0082092B">
      <w:instrText xml:space="preserve"> - </w:instrText>
    </w:r>
    <w:r w:rsidRPr="0082092B">
      <w:fldChar w:fldCharType="begin" w:fldLock="1"/>
    </w:r>
    <w:r w:rsidRPr="0082092B">
      <w:instrText xml:space="preserve"> = int(</w:instrText>
    </w:r>
    <w:r w:rsidRPr="0082092B">
      <w:fldChar w:fldCharType="begin" w:fldLock="1"/>
    </w:r>
    <w:r w:rsidRPr="0082092B">
      <w:instrText xml:space="preserve"> page</w:instrText>
    </w:r>
    <w:r w:rsidRPr="0082092B">
      <w:fldChar w:fldCharType="separate"/>
    </w:r>
    <w:r w:rsidRPr="0082092B">
      <w:instrText>20</w:instrText>
    </w:r>
    <w:r w:rsidRPr="0082092B">
      <w:fldChar w:fldCharType="end"/>
    </w:r>
    <w:r w:rsidRPr="0082092B">
      <w:instrText xml:space="preserve">/2) </w:instrText>
    </w:r>
    <w:r w:rsidRPr="0082092B">
      <w:fldChar w:fldCharType="separate"/>
    </w:r>
    <w:r w:rsidRPr="0082092B">
      <w:instrText>10</w:instrText>
    </w:r>
    <w:r w:rsidRPr="0082092B">
      <w:fldChar w:fldCharType="end"/>
    </w:r>
    <w:r w:rsidRPr="0082092B">
      <w:fldChar w:fldCharType="separate"/>
    </w:r>
    <w:r w:rsidRPr="0082092B">
      <w:instrText>0</w:instrText>
    </w:r>
    <w:r w:rsidRPr="0082092B">
      <w:fldChar w:fldCharType="end"/>
    </w:r>
    <w:r w:rsidRPr="0082092B">
      <w:instrText xml:space="preserve"> = 0 "</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instrText>20</w:instrText>
    </w:r>
    <w:r w:rsidRPr="0082092B">
      <w:fldChar w:fldCharType="end"/>
    </w:r>
  </w:p>
  <w:p w:rsidR="005F425D" w:rsidRPr="0082092B" w:rsidRDefault="005F425D">
    <w:pPr>
      <w:pStyle w:val="SidfotV"/>
      <w:framePr w:w="8732" w:h="284" w:hRule="exact" w:hSpace="0" w:vSpace="0" w:wrap="around" w:xAlign="inside" w:y="13042" w:anchorLock="0"/>
    </w:pPr>
    <w:r w:rsidRPr="0082092B">
      <w:instrText>""</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instrText>21</w:instrText>
    </w:r>
    <w:r w:rsidRPr="0082092B">
      <w:fldChar w:fldCharType="end"/>
    </w:r>
    <w:r w:rsidRPr="0082092B">
      <w:instrText>"</w:instrText>
    </w:r>
    <w:r w:rsidRPr="0082092B">
      <w:fldChar w:fldCharType="separate"/>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20</w:t>
    </w:r>
    <w:r w:rsidRPr="0082092B">
      <w:fldChar w:fldCharType="end"/>
    </w:r>
  </w:p>
  <w:p w:rsidR="005F425D" w:rsidRPr="0082092B" w:rsidRDefault="005F425D">
    <w:pPr>
      <w:pStyle w:val="SidfotH"/>
      <w:framePr w:w="8732" w:h="284" w:hRule="exact" w:hSpace="0" w:vSpace="0" w:wrap="around" w:xAlign="inside" w:y="13042" w:anchorLock="0"/>
    </w:pPr>
    <w:r w:rsidRPr="0082092B">
      <w:fldChar w:fldCharType="end"/>
    </w:r>
  </w:p>
  <w:p w:rsidR="005F425D" w:rsidRPr="0082092B" w:rsidRDefault="005F425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732" w:h="284" w:hRule="exact" w:hSpace="0" w:vSpace="0" w:wrap="around" w:xAlign="inside" w:y="13042"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2</w:t>
    </w:r>
    <w:r w:rsidRPr="0082092B">
      <w:fldChar w:fldCharType="end"/>
    </w:r>
  </w:p>
  <w:p w:rsidR="005F425D" w:rsidRPr="0082092B" w:rsidRDefault="005F425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H"/>
      <w:framePr w:w="8732" w:h="284" w:hRule="exact" w:hSpace="0" w:vSpace="0" w:wrap="around" w:xAlign="inside" w:y="13042"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3</w:t>
    </w:r>
    <w:r w:rsidRPr="0082092B">
      <w:fldChar w:fldCharType="end"/>
    </w:r>
  </w:p>
  <w:p w:rsidR="005F425D" w:rsidRPr="0082092B" w:rsidRDefault="005F425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732" w:h="284" w:hRule="exact" w:hSpace="0" w:vSpace="0" w:wrap="around" w:xAlign="inside" w:y="13042" w:anchorLock="0"/>
    </w:pPr>
    <w:r w:rsidRPr="0082092B">
      <w:fldChar w:fldCharType="begin" w:fldLock="1"/>
    </w:r>
    <w:r w:rsidRPr="0082092B">
      <w:instrText xml:space="preserve"> if </w:instrText>
    </w:r>
    <w:r w:rsidRPr="0082092B">
      <w:fldChar w:fldCharType="begin" w:fldLock="1"/>
    </w:r>
    <w:r w:rsidRPr="0082092B">
      <w:instrText xml:space="preserve"> = </w:instrText>
    </w:r>
    <w:r w:rsidRPr="0082092B">
      <w:fldChar w:fldCharType="begin" w:fldLock="1"/>
    </w:r>
    <w:r w:rsidRPr="0082092B">
      <w:instrText xml:space="preserve"> = </w:instrText>
    </w:r>
    <w:r w:rsidRPr="0082092B">
      <w:fldChar w:fldCharType="begin" w:fldLock="1"/>
    </w:r>
    <w:r w:rsidRPr="0082092B">
      <w:instrText xml:space="preserve"> page</w:instrText>
    </w:r>
    <w:r w:rsidRPr="0082092B">
      <w:fldChar w:fldCharType="separate"/>
    </w:r>
    <w:r w:rsidRPr="0082092B">
      <w:instrText>22</w:instrText>
    </w:r>
    <w:r w:rsidRPr="0082092B">
      <w:fldChar w:fldCharType="end"/>
    </w:r>
    <w:r w:rsidRPr="0082092B">
      <w:instrText xml:space="preserve">/2 </w:instrText>
    </w:r>
    <w:r w:rsidRPr="0082092B">
      <w:fldChar w:fldCharType="separate"/>
    </w:r>
    <w:r w:rsidRPr="0082092B">
      <w:instrText>11</w:instrText>
    </w:r>
    <w:r w:rsidRPr="0082092B">
      <w:fldChar w:fldCharType="end"/>
    </w:r>
    <w:r w:rsidRPr="0082092B">
      <w:instrText xml:space="preserve"> - </w:instrText>
    </w:r>
    <w:r w:rsidRPr="0082092B">
      <w:fldChar w:fldCharType="begin" w:fldLock="1"/>
    </w:r>
    <w:r w:rsidRPr="0082092B">
      <w:instrText xml:space="preserve"> = int(</w:instrText>
    </w:r>
    <w:r w:rsidRPr="0082092B">
      <w:fldChar w:fldCharType="begin" w:fldLock="1"/>
    </w:r>
    <w:r w:rsidRPr="0082092B">
      <w:instrText xml:space="preserve"> page</w:instrText>
    </w:r>
    <w:r w:rsidRPr="0082092B">
      <w:fldChar w:fldCharType="separate"/>
    </w:r>
    <w:r w:rsidRPr="0082092B">
      <w:instrText>22</w:instrText>
    </w:r>
    <w:r w:rsidRPr="0082092B">
      <w:fldChar w:fldCharType="end"/>
    </w:r>
    <w:r w:rsidRPr="0082092B">
      <w:instrText xml:space="preserve">/2) </w:instrText>
    </w:r>
    <w:r w:rsidRPr="0082092B">
      <w:fldChar w:fldCharType="separate"/>
    </w:r>
    <w:r w:rsidRPr="0082092B">
      <w:instrText>11</w:instrText>
    </w:r>
    <w:r w:rsidRPr="0082092B">
      <w:fldChar w:fldCharType="end"/>
    </w:r>
    <w:r w:rsidRPr="0082092B">
      <w:fldChar w:fldCharType="separate"/>
    </w:r>
    <w:r w:rsidRPr="0082092B">
      <w:instrText>0</w:instrText>
    </w:r>
    <w:r w:rsidRPr="0082092B">
      <w:fldChar w:fldCharType="end"/>
    </w:r>
    <w:r w:rsidRPr="0082092B">
      <w:instrText xml:space="preserve"> = 0 "</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instrText>22</w:instrText>
    </w:r>
    <w:r w:rsidRPr="0082092B">
      <w:fldChar w:fldCharType="end"/>
    </w:r>
  </w:p>
  <w:p w:rsidR="005F425D" w:rsidRPr="0082092B" w:rsidRDefault="005F425D">
    <w:pPr>
      <w:pStyle w:val="SidfotV"/>
      <w:framePr w:w="8732" w:h="284" w:hRule="exact" w:hSpace="0" w:vSpace="0" w:wrap="around" w:xAlign="inside" w:y="13042" w:anchorLock="0"/>
    </w:pPr>
    <w:r w:rsidRPr="0082092B">
      <w:instrText>""</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instrText>23</w:instrText>
    </w:r>
    <w:r w:rsidRPr="0082092B">
      <w:fldChar w:fldCharType="end"/>
    </w:r>
    <w:r w:rsidRPr="0082092B">
      <w:instrText>"</w:instrText>
    </w:r>
    <w:r w:rsidRPr="0082092B">
      <w:fldChar w:fldCharType="separate"/>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22</w:t>
    </w:r>
    <w:r w:rsidRPr="0082092B">
      <w:fldChar w:fldCharType="end"/>
    </w:r>
  </w:p>
  <w:p w:rsidR="005F425D" w:rsidRPr="0082092B" w:rsidRDefault="005F425D">
    <w:pPr>
      <w:pStyle w:val="SidfotH"/>
      <w:framePr w:w="8732" w:h="284" w:hRule="exact" w:hSpace="0" w:vSpace="0" w:wrap="around" w:xAlign="inside" w:y="13042" w:anchorLock="0"/>
    </w:pPr>
    <w:r w:rsidRPr="0082092B">
      <w:fldChar w:fldCharType="end"/>
    </w:r>
  </w:p>
  <w:p w:rsidR="005F425D" w:rsidRPr="0082092B" w:rsidRDefault="005F42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H"/>
      <w:framePr w:w="8732" w:h="284" w:hRule="exact" w:hSpace="0" w:vSpace="0" w:wrap="around" w:xAlign="inside" w:y="13042"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3</w:t>
    </w:r>
    <w:r w:rsidRPr="0082092B">
      <w:fldChar w:fldCharType="end"/>
    </w:r>
  </w:p>
  <w:p w:rsidR="005F425D" w:rsidRPr="0082092B" w:rsidRDefault="005F42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732" w:h="284" w:hRule="exact" w:hSpace="0" w:vSpace="0" w:wrap="around" w:xAlign="inside" w:y="13042" w:anchorLock="0"/>
    </w:pPr>
    <w:r w:rsidRPr="0082092B">
      <w:fldChar w:fldCharType="begin" w:fldLock="1"/>
    </w:r>
    <w:r w:rsidRPr="0082092B">
      <w:instrText xml:space="preserve"> if </w:instrText>
    </w:r>
    <w:r w:rsidRPr="0082092B">
      <w:fldChar w:fldCharType="begin" w:fldLock="1"/>
    </w:r>
    <w:r w:rsidRPr="0082092B">
      <w:instrText xml:space="preserve"> = </w:instrText>
    </w:r>
    <w:r w:rsidRPr="0082092B">
      <w:fldChar w:fldCharType="begin" w:fldLock="1"/>
    </w:r>
    <w:r w:rsidRPr="0082092B">
      <w:instrText xml:space="preserve"> = </w:instrText>
    </w:r>
    <w:r w:rsidRPr="0082092B">
      <w:fldChar w:fldCharType="begin" w:fldLock="1"/>
    </w:r>
    <w:r w:rsidRPr="0082092B">
      <w:instrText xml:space="preserve"> page</w:instrText>
    </w:r>
    <w:r w:rsidRPr="0082092B">
      <w:fldChar w:fldCharType="separate"/>
    </w:r>
    <w:r w:rsidR="0082092B">
      <w:rPr>
        <w:noProof/>
      </w:rPr>
      <w:instrText>1</w:instrText>
    </w:r>
    <w:r w:rsidRPr="0082092B">
      <w:fldChar w:fldCharType="end"/>
    </w:r>
    <w:r w:rsidRPr="0082092B">
      <w:instrText xml:space="preserve">/2 </w:instrText>
    </w:r>
    <w:r w:rsidRPr="0082092B">
      <w:fldChar w:fldCharType="separate"/>
    </w:r>
    <w:r w:rsidR="0082092B">
      <w:rPr>
        <w:noProof/>
      </w:rPr>
      <w:instrText>0,5</w:instrText>
    </w:r>
    <w:r w:rsidRPr="0082092B">
      <w:fldChar w:fldCharType="end"/>
    </w:r>
    <w:r w:rsidRPr="0082092B">
      <w:instrText xml:space="preserve"> - </w:instrText>
    </w:r>
    <w:r w:rsidRPr="0082092B">
      <w:fldChar w:fldCharType="begin" w:fldLock="1"/>
    </w:r>
    <w:r w:rsidRPr="0082092B">
      <w:instrText xml:space="preserve"> = int(</w:instrText>
    </w:r>
    <w:r w:rsidRPr="0082092B">
      <w:fldChar w:fldCharType="begin" w:fldLock="1"/>
    </w:r>
    <w:r w:rsidRPr="0082092B">
      <w:instrText xml:space="preserve"> page</w:instrText>
    </w:r>
    <w:r w:rsidRPr="0082092B">
      <w:fldChar w:fldCharType="separate"/>
    </w:r>
    <w:r w:rsidR="0082092B">
      <w:rPr>
        <w:noProof/>
      </w:rPr>
      <w:instrText>1</w:instrText>
    </w:r>
    <w:r w:rsidRPr="0082092B">
      <w:fldChar w:fldCharType="end"/>
    </w:r>
    <w:r w:rsidRPr="0082092B">
      <w:instrText xml:space="preserve">/2) </w:instrText>
    </w:r>
    <w:r w:rsidRPr="0082092B">
      <w:fldChar w:fldCharType="separate"/>
    </w:r>
    <w:r w:rsidR="0082092B">
      <w:rPr>
        <w:noProof/>
      </w:rPr>
      <w:instrText>0</w:instrText>
    </w:r>
    <w:r w:rsidRPr="0082092B">
      <w:fldChar w:fldCharType="end"/>
    </w:r>
    <w:r w:rsidRPr="0082092B">
      <w:fldChar w:fldCharType="separate"/>
    </w:r>
    <w:r w:rsidR="0082092B">
      <w:rPr>
        <w:noProof/>
      </w:rPr>
      <w:instrText>0,5</w:instrText>
    </w:r>
    <w:r w:rsidRPr="0082092B">
      <w:fldChar w:fldCharType="end"/>
    </w:r>
    <w:r w:rsidRPr="0082092B">
      <w:instrText xml:space="preserve"> = 0 "</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instrText>14</w:instrText>
    </w:r>
    <w:r w:rsidRPr="0082092B">
      <w:fldChar w:fldCharType="end"/>
    </w:r>
  </w:p>
  <w:p w:rsidR="005F425D" w:rsidRPr="0082092B" w:rsidRDefault="005F425D">
    <w:pPr>
      <w:pStyle w:val="SidfotH"/>
      <w:framePr w:w="8732" w:h="284" w:hRule="exact" w:hSpace="0" w:vSpace="0" w:wrap="around" w:xAlign="inside" w:y="13042" w:anchorLock="0"/>
    </w:pPr>
    <w:r w:rsidRPr="0082092B">
      <w:instrText>""</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0082092B">
      <w:rPr>
        <w:noProof/>
      </w:rPr>
      <w:instrText>1</w:instrText>
    </w:r>
    <w:r w:rsidRPr="0082092B">
      <w:fldChar w:fldCharType="end"/>
    </w:r>
    <w:r w:rsidRPr="0082092B">
      <w:instrText>"</w:instrText>
    </w:r>
    <w:r w:rsidRPr="0082092B">
      <w:fldChar w:fldCharType="separate"/>
    </w:r>
    <w:r w:rsidR="0082092B">
      <w:rPr>
        <w:noProof/>
      </w:rPr>
      <w:t>1</w:t>
    </w:r>
    <w:r w:rsidRPr="0082092B">
      <w:fldChar w:fldCharType="end"/>
    </w:r>
  </w:p>
  <w:p w:rsidR="005F425D" w:rsidRPr="0082092B" w:rsidRDefault="005F425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957" w:h="283" w:hRule="exact" w:hSpace="0" w:vSpace="0" w:wrap="around" w:xAlign="inside" w:y="13040"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14</w:t>
    </w:r>
    <w:r w:rsidRPr="0082092B">
      <w:fldChar w:fldCharType="end"/>
    </w:r>
  </w:p>
  <w:p w:rsidR="005F425D" w:rsidRPr="0082092B" w:rsidRDefault="005F425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H"/>
      <w:framePr w:w="8957" w:h="283" w:hRule="exact" w:hSpace="0" w:vSpace="0" w:wrap="around" w:xAlign="inside" w:y="13040"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13</w:t>
    </w:r>
    <w:r w:rsidRPr="0082092B">
      <w:fldChar w:fldCharType="end"/>
    </w:r>
  </w:p>
  <w:p w:rsidR="005F425D" w:rsidRPr="0082092B" w:rsidRDefault="005F425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957" w:h="283" w:hRule="exact" w:hSpace="0" w:vSpace="0" w:wrap="around" w:xAlign="inside" w:y="13040" w:anchorLock="0"/>
    </w:pPr>
    <w:r w:rsidRPr="0082092B">
      <w:fldChar w:fldCharType="begin" w:fldLock="1"/>
    </w:r>
    <w:r w:rsidRPr="0082092B">
      <w:instrText xml:space="preserve"> if </w:instrText>
    </w:r>
    <w:r w:rsidRPr="0082092B">
      <w:fldChar w:fldCharType="begin" w:fldLock="1"/>
    </w:r>
    <w:r w:rsidRPr="0082092B">
      <w:instrText xml:space="preserve"> = </w:instrText>
    </w:r>
    <w:r w:rsidRPr="0082092B">
      <w:fldChar w:fldCharType="begin" w:fldLock="1"/>
    </w:r>
    <w:r w:rsidRPr="0082092B">
      <w:instrText xml:space="preserve"> = </w:instrText>
    </w:r>
    <w:r w:rsidRPr="0082092B">
      <w:fldChar w:fldCharType="begin" w:fldLock="1"/>
    </w:r>
    <w:r w:rsidRPr="0082092B">
      <w:instrText xml:space="preserve"> page</w:instrText>
    </w:r>
    <w:r w:rsidRPr="0082092B">
      <w:fldChar w:fldCharType="separate"/>
    </w:r>
    <w:r w:rsidRPr="0082092B">
      <w:instrText>3</w:instrText>
    </w:r>
    <w:r w:rsidRPr="0082092B">
      <w:fldChar w:fldCharType="end"/>
    </w:r>
    <w:r w:rsidRPr="0082092B">
      <w:instrText xml:space="preserve">/2 </w:instrText>
    </w:r>
    <w:r w:rsidRPr="0082092B">
      <w:fldChar w:fldCharType="separate"/>
    </w:r>
    <w:r w:rsidRPr="0082092B">
      <w:instrText>1,5</w:instrText>
    </w:r>
    <w:r w:rsidRPr="0082092B">
      <w:fldChar w:fldCharType="end"/>
    </w:r>
    <w:r w:rsidRPr="0082092B">
      <w:instrText xml:space="preserve"> - </w:instrText>
    </w:r>
    <w:r w:rsidRPr="0082092B">
      <w:fldChar w:fldCharType="begin" w:fldLock="1"/>
    </w:r>
    <w:r w:rsidRPr="0082092B">
      <w:instrText xml:space="preserve"> = int(</w:instrText>
    </w:r>
    <w:r w:rsidRPr="0082092B">
      <w:fldChar w:fldCharType="begin" w:fldLock="1"/>
    </w:r>
    <w:r w:rsidRPr="0082092B">
      <w:instrText xml:space="preserve"> page</w:instrText>
    </w:r>
    <w:r w:rsidRPr="0082092B">
      <w:fldChar w:fldCharType="separate"/>
    </w:r>
    <w:r w:rsidRPr="0082092B">
      <w:instrText>3</w:instrText>
    </w:r>
    <w:r w:rsidRPr="0082092B">
      <w:fldChar w:fldCharType="end"/>
    </w:r>
    <w:r w:rsidRPr="0082092B">
      <w:instrText xml:space="preserve">/2) </w:instrText>
    </w:r>
    <w:r w:rsidRPr="0082092B">
      <w:fldChar w:fldCharType="separate"/>
    </w:r>
    <w:r w:rsidRPr="0082092B">
      <w:instrText>1</w:instrText>
    </w:r>
    <w:r w:rsidRPr="0082092B">
      <w:fldChar w:fldCharType="end"/>
    </w:r>
    <w:r w:rsidRPr="0082092B">
      <w:fldChar w:fldCharType="separate"/>
    </w:r>
    <w:r w:rsidRPr="0082092B">
      <w:instrText>0,5</w:instrText>
    </w:r>
    <w:r w:rsidRPr="0082092B">
      <w:fldChar w:fldCharType="end"/>
    </w:r>
    <w:r w:rsidRPr="0082092B">
      <w:instrText xml:space="preserve"> = 0 "</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instrText>4</w:instrText>
    </w:r>
    <w:r w:rsidRPr="0082092B">
      <w:fldChar w:fldCharType="end"/>
    </w:r>
  </w:p>
  <w:p w:rsidR="005F425D" w:rsidRPr="0082092B" w:rsidRDefault="005F425D">
    <w:pPr>
      <w:pStyle w:val="SidfotH"/>
      <w:framePr w:w="8957" w:h="283" w:hRule="exact" w:hSpace="0" w:vSpace="0" w:wrap="around" w:xAlign="inside" w:y="13040" w:anchorLock="0"/>
    </w:pPr>
    <w:r w:rsidRPr="0082092B">
      <w:instrText>""</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instrText>3</w:instrText>
    </w:r>
    <w:r w:rsidRPr="0082092B">
      <w:fldChar w:fldCharType="end"/>
    </w:r>
    <w:r w:rsidRPr="0082092B">
      <w:instrText>"</w:instrText>
    </w:r>
    <w:r w:rsidRPr="0082092B">
      <w:fldChar w:fldCharType="separate"/>
    </w:r>
    <w:r w:rsidRPr="0082092B">
      <w:t>3</w:t>
    </w:r>
    <w:r w:rsidRPr="0082092B">
      <w:fldChar w:fldCharType="end"/>
    </w:r>
  </w:p>
  <w:p w:rsidR="005F425D" w:rsidRPr="0082092B" w:rsidRDefault="005F425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732" w:h="284" w:hRule="exact" w:hSpace="0" w:vSpace="0" w:wrap="around" w:xAlign="inside" w:y="13042"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18</w:t>
    </w:r>
    <w:r w:rsidRPr="0082092B">
      <w:fldChar w:fldCharType="end"/>
    </w:r>
  </w:p>
  <w:p w:rsidR="005F425D" w:rsidRPr="0082092B" w:rsidRDefault="005F425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H"/>
      <w:framePr w:w="8732" w:h="284" w:hRule="exact" w:hSpace="0" w:vSpace="0" w:wrap="around" w:xAlign="inside" w:y="13042" w:anchorLock="0"/>
    </w:pP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t>19</w:t>
    </w:r>
    <w:r w:rsidRPr="0082092B">
      <w:fldChar w:fldCharType="end"/>
    </w:r>
  </w:p>
  <w:p w:rsidR="005F425D" w:rsidRPr="0082092B" w:rsidRDefault="005F425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fotV"/>
      <w:framePr w:w="8732" w:h="284" w:hRule="exact" w:hSpace="0" w:vSpace="0" w:wrap="around" w:xAlign="inside" w:y="13042" w:anchorLock="0"/>
    </w:pPr>
    <w:r w:rsidRPr="0082092B">
      <w:fldChar w:fldCharType="begin" w:fldLock="1"/>
    </w:r>
    <w:r w:rsidRPr="0082092B">
      <w:instrText xml:space="preserve"> if </w:instrText>
    </w:r>
    <w:r w:rsidRPr="0082092B">
      <w:fldChar w:fldCharType="begin" w:fldLock="1"/>
    </w:r>
    <w:r w:rsidRPr="0082092B">
      <w:instrText xml:space="preserve"> = </w:instrText>
    </w:r>
    <w:r w:rsidRPr="0082092B">
      <w:fldChar w:fldCharType="begin" w:fldLock="1"/>
    </w:r>
    <w:r w:rsidRPr="0082092B">
      <w:instrText xml:space="preserve"> = </w:instrText>
    </w:r>
    <w:r w:rsidRPr="0082092B">
      <w:fldChar w:fldCharType="begin" w:fldLock="1"/>
    </w:r>
    <w:r w:rsidRPr="0082092B">
      <w:instrText xml:space="preserve"> page</w:instrText>
    </w:r>
    <w:r w:rsidRPr="0082092B">
      <w:fldChar w:fldCharType="separate"/>
    </w:r>
    <w:r w:rsidRPr="0082092B">
      <w:instrText>15</w:instrText>
    </w:r>
    <w:r w:rsidRPr="0082092B">
      <w:fldChar w:fldCharType="end"/>
    </w:r>
    <w:r w:rsidRPr="0082092B">
      <w:instrText xml:space="preserve">/2 </w:instrText>
    </w:r>
    <w:r w:rsidRPr="0082092B">
      <w:fldChar w:fldCharType="separate"/>
    </w:r>
    <w:r w:rsidRPr="0082092B">
      <w:instrText>7,5</w:instrText>
    </w:r>
    <w:r w:rsidRPr="0082092B">
      <w:fldChar w:fldCharType="end"/>
    </w:r>
    <w:r w:rsidRPr="0082092B">
      <w:instrText xml:space="preserve"> - </w:instrText>
    </w:r>
    <w:r w:rsidRPr="0082092B">
      <w:fldChar w:fldCharType="begin" w:fldLock="1"/>
    </w:r>
    <w:r w:rsidRPr="0082092B">
      <w:instrText xml:space="preserve"> = int(</w:instrText>
    </w:r>
    <w:r w:rsidRPr="0082092B">
      <w:fldChar w:fldCharType="begin" w:fldLock="1"/>
    </w:r>
    <w:r w:rsidRPr="0082092B">
      <w:instrText xml:space="preserve"> page</w:instrText>
    </w:r>
    <w:r w:rsidRPr="0082092B">
      <w:fldChar w:fldCharType="separate"/>
    </w:r>
    <w:r w:rsidRPr="0082092B">
      <w:instrText>15</w:instrText>
    </w:r>
    <w:r w:rsidRPr="0082092B">
      <w:fldChar w:fldCharType="end"/>
    </w:r>
    <w:r w:rsidRPr="0082092B">
      <w:instrText xml:space="preserve">/2) </w:instrText>
    </w:r>
    <w:r w:rsidRPr="0082092B">
      <w:fldChar w:fldCharType="separate"/>
    </w:r>
    <w:r w:rsidRPr="0082092B">
      <w:instrText>7</w:instrText>
    </w:r>
    <w:r w:rsidRPr="0082092B">
      <w:fldChar w:fldCharType="end"/>
    </w:r>
    <w:r w:rsidRPr="0082092B">
      <w:fldChar w:fldCharType="separate"/>
    </w:r>
    <w:r w:rsidRPr="0082092B">
      <w:instrText>0,5</w:instrText>
    </w:r>
    <w:r w:rsidRPr="0082092B">
      <w:fldChar w:fldCharType="end"/>
    </w:r>
    <w:r w:rsidRPr="0082092B">
      <w:instrText xml:space="preserve"> = 0 "</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instrText>16</w:instrText>
    </w:r>
    <w:r w:rsidRPr="0082092B">
      <w:fldChar w:fldCharType="end"/>
    </w:r>
  </w:p>
  <w:p w:rsidR="005F425D" w:rsidRPr="0082092B" w:rsidRDefault="005F425D">
    <w:pPr>
      <w:pStyle w:val="SidfotH"/>
      <w:framePr w:w="8732" w:h="284" w:hRule="exact" w:hSpace="0" w:vSpace="0" w:wrap="around" w:xAlign="inside" w:y="13042" w:anchorLock="0"/>
    </w:pPr>
    <w:r w:rsidRPr="0082092B">
      <w:instrText>""</w:instrText>
    </w:r>
    <w:r w:rsidRPr="0082092B">
      <w:fldChar w:fldCharType="begin" w:fldLock="1"/>
    </w:r>
    <w:r w:rsidRPr="0082092B">
      <w:instrText xml:space="preserve"> P</w:instrText>
    </w:r>
    <w:r w:rsidRPr="0082092B">
      <w:instrText>A</w:instrText>
    </w:r>
    <w:r w:rsidRPr="0082092B">
      <w:instrText xml:space="preserve">GE </w:instrText>
    </w:r>
    <w:r w:rsidRPr="0082092B">
      <w:fldChar w:fldCharType="separate"/>
    </w:r>
    <w:r w:rsidRPr="0082092B">
      <w:instrText>15</w:instrText>
    </w:r>
    <w:r w:rsidRPr="0082092B">
      <w:fldChar w:fldCharType="end"/>
    </w:r>
    <w:r w:rsidRPr="0082092B">
      <w:instrText>"</w:instrText>
    </w:r>
    <w:r w:rsidRPr="0082092B">
      <w:fldChar w:fldCharType="separate"/>
    </w:r>
    <w:r w:rsidRPr="0082092B">
      <w:t>15</w:t>
    </w:r>
    <w:r w:rsidRPr="0082092B">
      <w:fldChar w:fldCharType="end"/>
    </w:r>
  </w:p>
  <w:p w:rsidR="005F425D" w:rsidRPr="0082092B" w:rsidRDefault="005F4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25D" w:rsidRPr="0082092B" w:rsidRDefault="005F425D">
      <w:pPr>
        <w:pStyle w:val="Sidfot"/>
      </w:pPr>
    </w:p>
  </w:footnote>
  <w:footnote w:type="continuationSeparator" w:id="0">
    <w:p w:rsidR="005F425D" w:rsidRPr="0082092B" w:rsidRDefault="005F425D">
      <w:pPr>
        <w:spacing w:before="0" w:line="240" w:lineRule="auto"/>
      </w:pPr>
      <w:r w:rsidRPr="008209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Jmn"/>
      <w:framePr w:w="8732" w:h="567" w:hRule="exact" w:vSpace="0" w:wrap="around" w:vAnchor="page" w:y="341" w:anchorLock="0"/>
    </w:pPr>
    <w:r w:rsidRPr="0082092B">
      <w:rPr>
        <w:rStyle w:val="SidhuvudUtskott"/>
      </w:rPr>
      <w:t>2001/02:FiU7y</w:t>
    </w:r>
    <w:r w:rsidRPr="0082092B">
      <w:t xml:space="preserve">     </w:t>
    </w:r>
    <w:r w:rsidRPr="0082092B">
      <w:rPr>
        <w:rStyle w:val="SidhuvudBilaga"/>
      </w:rPr>
      <w:t xml:space="preserve"> </w:t>
    </w:r>
  </w:p>
  <w:p w:rsidR="005F425D" w:rsidRPr="0082092B" w:rsidRDefault="005F425D">
    <w:pPr>
      <w:pStyle w:val="SidhuvudKantJmn"/>
      <w:framePr w:w="8732" w:h="567" w:hRule="exact" w:vSpace="0" w:wrap="around" w:vAnchor="page" w:y="341" w:anchorLock="0"/>
    </w:pPr>
  </w:p>
  <w:p w:rsidR="005F425D" w:rsidRPr="0082092B" w:rsidRDefault="005F425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Jmn"/>
      <w:framePr w:w="8732" w:h="567" w:hRule="exact" w:vSpace="0" w:wrap="around" w:vAnchor="page" w:y="341" w:anchorLock="0"/>
    </w:pPr>
    <w:r w:rsidRPr="0082092B">
      <w:rPr>
        <w:rStyle w:val="SidhuvudUtskott"/>
      </w:rPr>
      <w:fldChar w:fldCharType="begin" w:fldLock="1"/>
    </w:r>
    <w:r w:rsidRPr="0082092B">
      <w:rPr>
        <w:rStyle w:val="SidhuvudUtskott"/>
      </w:rPr>
      <w:instrText xml:space="preserve"> DOCPROPERTY BetänkandeÅr</w:instrText>
    </w:r>
    <w:r w:rsidRPr="0082092B">
      <w:rPr>
        <w:rStyle w:val="SidhuvudUtskott"/>
      </w:rPr>
      <w:fldChar w:fldCharType="separate"/>
    </w:r>
    <w:r w:rsidRPr="0082092B">
      <w:rPr>
        <w:rStyle w:val="SidhuvudUtskott"/>
      </w:rPr>
      <w:t>2001/02</w:t>
    </w:r>
    <w:r w:rsidRPr="0082092B">
      <w:rPr>
        <w:rStyle w:val="SidhuvudUtskott"/>
      </w:rPr>
      <w:fldChar w:fldCharType="end"/>
    </w:r>
    <w:r w:rsidRPr="0082092B">
      <w:rPr>
        <w:rStyle w:val="SidhuvudUtskott"/>
      </w:rPr>
      <w:t>:</w:t>
    </w:r>
    <w:r w:rsidRPr="0082092B">
      <w:rPr>
        <w:rStyle w:val="SidhuvudUtskott"/>
      </w:rPr>
      <w:fldChar w:fldCharType="begin" w:fldLock="1"/>
    </w:r>
    <w:r w:rsidRPr="0082092B">
      <w:rPr>
        <w:rStyle w:val="SidhuvudUtskott"/>
      </w:rPr>
      <w:instrText xml:space="preserve"> DOCPROPERTY Utskott</w:instrText>
    </w:r>
    <w:r w:rsidRPr="0082092B">
      <w:rPr>
        <w:rStyle w:val="SidhuvudUtskott"/>
      </w:rPr>
      <w:fldChar w:fldCharType="separate"/>
    </w:r>
    <w:r w:rsidRPr="0082092B">
      <w:rPr>
        <w:rStyle w:val="SidhuvudUtskott"/>
      </w:rPr>
      <w:t>FiU</w: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DOCPROPERTY BetänkandeNr</w:instrText>
    </w:r>
    <w:r w:rsidRPr="0082092B">
      <w:rPr>
        <w:rStyle w:val="SidhuvudUtskott"/>
      </w:rPr>
      <w:fldChar w:fldCharType="separate"/>
    </w:r>
    <w:r w:rsidRPr="0082092B">
      <w:rPr>
        <w:rStyle w:val="SidhuvudUtskott"/>
      </w:rPr>
      <w:t>7y</w:t>
    </w:r>
    <w:r w:rsidRPr="0082092B">
      <w:rPr>
        <w:rStyle w:val="SidhuvudUtskott"/>
      </w:rPr>
      <w:fldChar w:fldCharType="end"/>
    </w:r>
    <w:r w:rsidRPr="0082092B">
      <w:t xml:space="preserve">     </w:t>
    </w:r>
    <w:r w:rsidRPr="0082092B">
      <w:rPr>
        <w:rStyle w:val="SidhuvudBilaga"/>
      </w:rPr>
      <w:t xml:space="preserve"> </w:t>
    </w:r>
    <w:r w:rsidRPr="0082092B">
      <w:rPr>
        <w:rStyle w:val="SidhuvudRubrikReferens"/>
      </w:rPr>
      <w:fldChar w:fldCharType="begin" w:fldLock="1"/>
    </w:r>
    <w:r w:rsidRPr="0082092B">
      <w:rPr>
        <w:rStyle w:val="SidhuvudRubrikReferens"/>
      </w:rPr>
      <w:instrText xml:space="preserve"> StyleREF "Rubrik 1" </w:instrText>
    </w:r>
    <w:r w:rsidRPr="0082092B">
      <w:rPr>
        <w:rStyle w:val="SidhuvudRubrikReferens"/>
      </w:rPr>
      <w:fldChar w:fldCharType="separate"/>
    </w:r>
    <w:r w:rsidRPr="0082092B">
      <w:rPr>
        <w:rStyle w:val="SidhuvudRubrikReferens"/>
      </w:rPr>
      <w:t>Avvikande meningar</w:t>
    </w:r>
    <w:r w:rsidRPr="0082092B">
      <w:rPr>
        <w:rStyle w:val="SidhuvudRubrikReferens"/>
      </w:rPr>
      <w:fldChar w:fldCharType="end"/>
    </w:r>
  </w:p>
  <w:p w:rsidR="005F425D" w:rsidRPr="0082092B" w:rsidRDefault="005F425D">
    <w:pPr>
      <w:pStyle w:val="SidhuvudKantJmn"/>
      <w:framePr w:w="8732" w:h="567" w:hRule="exact" w:vSpace="0" w:wrap="around" w:vAnchor="page" w:y="341" w:anchorLock="0"/>
    </w:pPr>
    <w:r w:rsidRPr="0082092B">
      <w:rPr>
        <w:rStyle w:val="SidhuvudUtskott"/>
      </w:rPr>
      <w:fldChar w:fldCharType="begin" w:fldLock="1"/>
    </w:r>
    <w:r w:rsidRPr="0082092B">
      <w:rPr>
        <w:rStyle w:val="SidhuvudUtskott"/>
      </w:rPr>
      <w:instrText xml:space="preserve"> DOCPROPERTY Status</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if </w:instrText>
    </w:r>
    <w:r w:rsidRPr="0082092B">
      <w:rPr>
        <w:rStyle w:val="SidhuvudUtskott"/>
      </w:rPr>
      <w:fldChar w:fldCharType="begin" w:fldLock="1"/>
    </w:r>
    <w:r w:rsidRPr="0082092B">
      <w:rPr>
        <w:rStyle w:val="SidhuvudUtskott"/>
      </w:rPr>
      <w:instrText xml:space="preserve"> DOCPROPERTY "UtkastDatum"</w:instrText>
    </w:r>
    <w:r w:rsidRPr="0082092B">
      <w:rPr>
        <w:rStyle w:val="SidhuvudUtskott"/>
      </w:rPr>
      <w:fldChar w:fldCharType="separate"/>
    </w:r>
    <w:r w:rsidRPr="0082092B">
      <w:rPr>
        <w:rStyle w:val="SidhuvudUtskott"/>
      </w:rPr>
      <w:instrText>Nej</w:instrText>
    </w:r>
    <w:r w:rsidRPr="0082092B">
      <w:rPr>
        <w:rStyle w:val="SidhuvudUtskott"/>
      </w:rPr>
      <w:fldChar w:fldCharType="end"/>
    </w:r>
    <w:r w:rsidRPr="0082092B">
      <w:rPr>
        <w:rStyle w:val="SidhuvudUtskott"/>
      </w:rPr>
      <w:instrText xml:space="preserve"> = "Ja" "    </w:instrText>
    </w:r>
    <w:r w:rsidRPr="0082092B">
      <w:rPr>
        <w:rStyle w:val="SidhuvudUtskott"/>
      </w:rPr>
      <w:fldChar w:fldCharType="begin" w:fldLock="1"/>
    </w:r>
    <w:r w:rsidRPr="0082092B">
      <w:rPr>
        <w:rStyle w:val="SidhuvudUtskott"/>
      </w:rPr>
      <w:instrText xml:space="preserve"> PRINTDATE \@ "yyyy-MM-dd HH.mm" </w:instrText>
    </w:r>
    <w:r w:rsidRPr="0082092B">
      <w:rPr>
        <w:rStyle w:val="SidhuvudUtskott"/>
      </w:rPr>
      <w:fldChar w:fldCharType="separate"/>
    </w:r>
    <w:r w:rsidRPr="0082092B">
      <w:rPr>
        <w:rStyle w:val="SidhuvudUtskott"/>
      </w:rPr>
      <w:instrText>2000-08-11 16.42</w:instrText>
    </w:r>
    <w:r w:rsidRPr="0082092B">
      <w:rPr>
        <w:rStyle w:val="SidhuvudUtskott"/>
      </w:rPr>
      <w:fldChar w:fldCharType="end"/>
    </w:r>
    <w:r w:rsidRPr="0082092B">
      <w:rPr>
        <w:rStyle w:val="SidhuvudUtskott"/>
      </w:rPr>
      <w:instrText xml:space="preserve">" </w:instrText>
    </w:r>
    <w:r w:rsidRPr="0082092B">
      <w:rPr>
        <w:rStyle w:val="SidhuvudUtskott"/>
      </w:rPr>
      <w:fldChar w:fldCharType="end"/>
    </w:r>
  </w:p>
  <w:p w:rsidR="005F425D" w:rsidRPr="0082092B" w:rsidRDefault="005F425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Udda"/>
      <w:framePr w:w="8732" w:h="567" w:hRule="exact" w:vSpace="0" w:wrap="around" w:vAnchor="page" w:y="341" w:anchorLock="0"/>
    </w:pPr>
    <w:r w:rsidRPr="0082092B">
      <w:rPr>
        <w:rStyle w:val="SidhuvudRubrikReferens"/>
      </w:rPr>
      <w:t>Särskilda yttranden</w:t>
    </w:r>
    <w:r w:rsidRPr="0082092B">
      <w:rPr>
        <w:rStyle w:val="SidhuvudBilaga"/>
      </w:rPr>
      <w:t xml:space="preserve"> </w:t>
    </w:r>
    <w:r w:rsidRPr="0082092B">
      <w:t xml:space="preserve">     </w:t>
    </w:r>
    <w:r w:rsidRPr="0082092B">
      <w:rPr>
        <w:rStyle w:val="SidhuvudUtskott"/>
      </w:rPr>
      <w:t>2001/02:FiU7y</w:t>
    </w:r>
  </w:p>
  <w:p w:rsidR="005F425D" w:rsidRPr="0082092B" w:rsidRDefault="005F425D">
    <w:pPr>
      <w:pStyle w:val="SidhuvudKantUdda"/>
      <w:framePr w:w="8732" w:h="567" w:hRule="exact" w:vSpace="0" w:wrap="around" w:vAnchor="page" w:y="341" w:anchorLock="0"/>
    </w:pPr>
  </w:p>
  <w:p w:rsidR="005F425D" w:rsidRPr="0082092B" w:rsidRDefault="005F425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Jmn"/>
      <w:framePr w:w="8732" w:h="567" w:hRule="exact" w:vSpace="0" w:wrap="around" w:vAnchor="page" w:y="341" w:anchorLock="0"/>
    </w:pPr>
    <w:r w:rsidRPr="0082092B">
      <w:rPr>
        <w:rStyle w:val="SidhuvudUtskott"/>
      </w:rPr>
      <w:t>2001/02:FiU7y</w:t>
    </w:r>
    <w:r w:rsidRPr="0082092B">
      <w:t xml:space="preserve">    </w:t>
    </w:r>
  </w:p>
  <w:p w:rsidR="005F425D" w:rsidRPr="0082092B" w:rsidRDefault="005F425D">
    <w:pPr>
      <w:pStyle w:val="SidhuvudKantJmn"/>
      <w:framePr w:w="8732" w:h="567" w:hRule="exact" w:vSpace="0" w:wrap="around" w:vAnchor="page" w:y="341" w:anchorLock="0"/>
    </w:pPr>
  </w:p>
  <w:p w:rsidR="005F425D" w:rsidRPr="0082092B" w:rsidRDefault="005F425D">
    <w:pPr>
      <w:pStyle w:val="SidhuvudKantUdda"/>
      <w:framePr w:w="8732" w:h="567" w:hRule="exact" w:vSpace="0" w:wrap="around" w:vAnchor="page" w:y="341" w:anchorLock="0"/>
    </w:pPr>
    <w:r w:rsidRPr="0082092B">
      <w:rPr>
        <w:rStyle w:val="SidhuvudRubrikReferens"/>
        <w:smallCaps w:val="0"/>
        <w:spacing w:val="0"/>
        <w:sz w:val="19"/>
      </w:rPr>
      <w:t xml:space="preserve"> </w:t>
    </w:r>
  </w:p>
  <w:p w:rsidR="005F425D" w:rsidRPr="0082092B" w:rsidRDefault="005F425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Jmn"/>
      <w:framePr w:w="8732" w:h="567" w:hRule="exact" w:vSpace="0" w:wrap="around" w:vAnchor="page" w:y="341" w:anchorLock="0"/>
    </w:pPr>
    <w:r w:rsidRPr="0082092B">
      <w:rPr>
        <w:rStyle w:val="SidhuvudUtskott"/>
      </w:rPr>
      <w:fldChar w:fldCharType="begin" w:fldLock="1"/>
    </w:r>
    <w:r w:rsidRPr="0082092B">
      <w:rPr>
        <w:rStyle w:val="SidhuvudUtskott"/>
      </w:rPr>
      <w:instrText xml:space="preserve"> DOCPROPERTY BetänkandeÅr</w:instrText>
    </w:r>
    <w:r w:rsidRPr="0082092B">
      <w:rPr>
        <w:rStyle w:val="SidhuvudUtskott"/>
      </w:rPr>
      <w:fldChar w:fldCharType="separate"/>
    </w:r>
    <w:r w:rsidRPr="0082092B">
      <w:rPr>
        <w:rStyle w:val="SidhuvudUtskott"/>
      </w:rPr>
      <w:t>2001/02</w:t>
    </w:r>
    <w:r w:rsidRPr="0082092B">
      <w:rPr>
        <w:rStyle w:val="SidhuvudUtskott"/>
      </w:rPr>
      <w:fldChar w:fldCharType="end"/>
    </w:r>
    <w:r w:rsidRPr="0082092B">
      <w:rPr>
        <w:rStyle w:val="SidhuvudUtskott"/>
      </w:rPr>
      <w:t>:</w:t>
    </w:r>
    <w:r w:rsidRPr="0082092B">
      <w:rPr>
        <w:rStyle w:val="SidhuvudUtskott"/>
      </w:rPr>
      <w:fldChar w:fldCharType="begin" w:fldLock="1"/>
    </w:r>
    <w:r w:rsidRPr="0082092B">
      <w:rPr>
        <w:rStyle w:val="SidhuvudUtskott"/>
      </w:rPr>
      <w:instrText xml:space="preserve"> DOCPROPERTY Utskott</w:instrText>
    </w:r>
    <w:r w:rsidRPr="0082092B">
      <w:rPr>
        <w:rStyle w:val="SidhuvudUtskott"/>
      </w:rPr>
      <w:fldChar w:fldCharType="separate"/>
    </w:r>
    <w:r w:rsidRPr="0082092B">
      <w:rPr>
        <w:rStyle w:val="SidhuvudUtskott"/>
      </w:rPr>
      <w:t>FiU</w: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DOCPROPERTY BetänkandeNr</w:instrText>
    </w:r>
    <w:r w:rsidRPr="0082092B">
      <w:rPr>
        <w:rStyle w:val="SidhuvudUtskott"/>
      </w:rPr>
      <w:fldChar w:fldCharType="separate"/>
    </w:r>
    <w:r w:rsidRPr="0082092B">
      <w:rPr>
        <w:rStyle w:val="SidhuvudUtskott"/>
      </w:rPr>
      <w:t>7y</w:t>
    </w:r>
    <w:r w:rsidRPr="0082092B">
      <w:rPr>
        <w:rStyle w:val="SidhuvudUtskott"/>
      </w:rPr>
      <w:fldChar w:fldCharType="end"/>
    </w:r>
    <w:r w:rsidRPr="0082092B">
      <w:t xml:space="preserve">     </w:t>
    </w:r>
    <w:r w:rsidRPr="0082092B">
      <w:rPr>
        <w:rStyle w:val="SidhuvudBilaga"/>
      </w:rPr>
      <w:t xml:space="preserve"> </w:t>
    </w:r>
    <w:r w:rsidRPr="0082092B">
      <w:rPr>
        <w:rStyle w:val="SidhuvudRubrikReferens"/>
      </w:rPr>
      <w:fldChar w:fldCharType="begin" w:fldLock="1"/>
    </w:r>
    <w:r w:rsidRPr="0082092B">
      <w:rPr>
        <w:rStyle w:val="SidhuvudRubrikReferens"/>
      </w:rPr>
      <w:instrText xml:space="preserve"> StyleREF "Rubrik 1" </w:instrText>
    </w:r>
    <w:r w:rsidRPr="0082092B">
      <w:rPr>
        <w:rStyle w:val="SidhuvudRubrikReferens"/>
      </w:rPr>
      <w:fldChar w:fldCharType="separate"/>
    </w:r>
    <w:r w:rsidRPr="0082092B">
      <w:rPr>
        <w:rStyle w:val="SidhuvudRubrikReferens"/>
      </w:rPr>
      <w:t>Särskilda yttranden</w:t>
    </w:r>
    <w:r w:rsidRPr="0082092B">
      <w:rPr>
        <w:rStyle w:val="SidhuvudRubrikReferens"/>
      </w:rPr>
      <w:fldChar w:fldCharType="end"/>
    </w:r>
  </w:p>
  <w:p w:rsidR="005F425D" w:rsidRPr="0082092B" w:rsidRDefault="005F425D">
    <w:pPr>
      <w:pStyle w:val="SidhuvudKantJmn"/>
      <w:framePr w:w="8732" w:h="567" w:hRule="exact" w:vSpace="0" w:wrap="around" w:vAnchor="page" w:y="341" w:anchorLock="0"/>
    </w:pPr>
    <w:r w:rsidRPr="0082092B">
      <w:rPr>
        <w:rStyle w:val="SidhuvudUtskott"/>
      </w:rPr>
      <w:fldChar w:fldCharType="begin" w:fldLock="1"/>
    </w:r>
    <w:r w:rsidRPr="0082092B">
      <w:rPr>
        <w:rStyle w:val="SidhuvudUtskott"/>
      </w:rPr>
      <w:instrText xml:space="preserve"> DOCPROPERTY Status</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if </w:instrText>
    </w:r>
    <w:r w:rsidRPr="0082092B">
      <w:rPr>
        <w:rStyle w:val="SidhuvudUtskott"/>
      </w:rPr>
      <w:fldChar w:fldCharType="begin" w:fldLock="1"/>
    </w:r>
    <w:r w:rsidRPr="0082092B">
      <w:rPr>
        <w:rStyle w:val="SidhuvudUtskott"/>
      </w:rPr>
      <w:instrText xml:space="preserve"> DOCPROPERTY "UtkastDatum"</w:instrText>
    </w:r>
    <w:r w:rsidRPr="0082092B">
      <w:rPr>
        <w:rStyle w:val="SidhuvudUtskott"/>
      </w:rPr>
      <w:fldChar w:fldCharType="separate"/>
    </w:r>
    <w:r w:rsidRPr="0082092B">
      <w:rPr>
        <w:rStyle w:val="SidhuvudUtskott"/>
      </w:rPr>
      <w:instrText>Nej</w:instrText>
    </w:r>
    <w:r w:rsidRPr="0082092B">
      <w:rPr>
        <w:rStyle w:val="SidhuvudUtskott"/>
      </w:rPr>
      <w:fldChar w:fldCharType="end"/>
    </w:r>
    <w:r w:rsidRPr="0082092B">
      <w:rPr>
        <w:rStyle w:val="SidhuvudUtskott"/>
      </w:rPr>
      <w:instrText xml:space="preserve"> = "Ja" "    </w:instrText>
    </w:r>
    <w:r w:rsidRPr="0082092B">
      <w:rPr>
        <w:rStyle w:val="SidhuvudUtskott"/>
      </w:rPr>
      <w:fldChar w:fldCharType="begin" w:fldLock="1"/>
    </w:r>
    <w:r w:rsidRPr="0082092B">
      <w:rPr>
        <w:rStyle w:val="SidhuvudUtskott"/>
      </w:rPr>
      <w:instrText xml:space="preserve"> PRINTDATE \@ "yyyy-MM-dd HH.mm" </w:instrText>
    </w:r>
    <w:r w:rsidRPr="0082092B">
      <w:rPr>
        <w:rStyle w:val="SidhuvudUtskott"/>
      </w:rPr>
      <w:fldChar w:fldCharType="separate"/>
    </w:r>
    <w:r w:rsidRPr="0082092B">
      <w:rPr>
        <w:rStyle w:val="SidhuvudUtskott"/>
      </w:rPr>
      <w:instrText>2000-08-11 16.42</w:instrText>
    </w:r>
    <w:r w:rsidRPr="0082092B">
      <w:rPr>
        <w:rStyle w:val="SidhuvudUtskott"/>
      </w:rPr>
      <w:fldChar w:fldCharType="end"/>
    </w:r>
    <w:r w:rsidRPr="0082092B">
      <w:rPr>
        <w:rStyle w:val="SidhuvudUtskott"/>
      </w:rPr>
      <w:instrText xml:space="preserve">" </w:instrText>
    </w:r>
    <w:r w:rsidRPr="0082092B">
      <w:rPr>
        <w:rStyle w:val="SidhuvudUtskott"/>
      </w:rPr>
      <w:fldChar w:fldCharType="end"/>
    </w:r>
  </w:p>
  <w:p w:rsidR="005F425D" w:rsidRPr="0082092B" w:rsidRDefault="005F425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Udda"/>
      <w:framePr w:w="8732" w:h="567" w:hRule="exact" w:vSpace="0" w:wrap="around" w:vAnchor="page" w:y="341" w:anchorLock="0"/>
    </w:pPr>
    <w:r w:rsidRPr="0082092B">
      <w:rPr>
        <w:rStyle w:val="SidhuvudRubrikReferens"/>
      </w:rPr>
      <w:fldChar w:fldCharType="begin" w:fldLock="1"/>
    </w:r>
    <w:r w:rsidRPr="0082092B">
      <w:rPr>
        <w:rStyle w:val="SidhuvudRubrikReferens"/>
      </w:rPr>
      <w:instrText xml:space="preserve"> StyleREF "Rubrik 1" </w:instrText>
    </w:r>
    <w:r w:rsidRPr="0082092B">
      <w:rPr>
        <w:rStyle w:val="SidhuvudRubrikReferens"/>
      </w:rPr>
      <w:fldChar w:fldCharType="separate"/>
    </w:r>
    <w:r w:rsidRPr="0082092B">
      <w:rPr>
        <w:rStyle w:val="SidhuvudRubrikReferens"/>
      </w:rPr>
      <w:t>Särskilda yttranden</w:t>
    </w:r>
    <w:r w:rsidRPr="0082092B">
      <w:rPr>
        <w:rStyle w:val="SidhuvudRubrikReferens"/>
      </w:rPr>
      <w:fldChar w:fldCharType="end"/>
    </w:r>
    <w:r w:rsidRPr="0082092B">
      <w:rPr>
        <w:rStyle w:val="SidhuvudBilaga"/>
      </w:rPr>
      <w:t xml:space="preserve"> </w:t>
    </w:r>
    <w:r w:rsidRPr="0082092B">
      <w:t xml:space="preserve">     </w:t>
    </w:r>
    <w:r w:rsidRPr="0082092B">
      <w:rPr>
        <w:rStyle w:val="SidhuvudUtskott"/>
      </w:rPr>
      <w:fldChar w:fldCharType="begin" w:fldLock="1"/>
    </w:r>
    <w:r w:rsidRPr="0082092B">
      <w:rPr>
        <w:rStyle w:val="SidhuvudUtskott"/>
      </w:rPr>
      <w:instrText xml:space="preserve"> DOCPROPERTY BetänkandeÅr</w:instrText>
    </w:r>
    <w:r w:rsidRPr="0082092B">
      <w:rPr>
        <w:rStyle w:val="SidhuvudUtskott"/>
      </w:rPr>
      <w:fldChar w:fldCharType="separate"/>
    </w:r>
    <w:r w:rsidRPr="0082092B">
      <w:rPr>
        <w:rStyle w:val="SidhuvudUtskott"/>
      </w:rPr>
      <w:t>2001/02</w:t>
    </w:r>
    <w:r w:rsidRPr="0082092B">
      <w:rPr>
        <w:rStyle w:val="SidhuvudUtskott"/>
      </w:rPr>
      <w:fldChar w:fldCharType="end"/>
    </w:r>
    <w:r w:rsidRPr="0082092B">
      <w:rPr>
        <w:rStyle w:val="SidhuvudUtskott"/>
      </w:rPr>
      <w:t>:</w:t>
    </w:r>
    <w:r w:rsidRPr="0082092B">
      <w:rPr>
        <w:rStyle w:val="SidhuvudUtskott"/>
      </w:rPr>
      <w:fldChar w:fldCharType="begin" w:fldLock="1"/>
    </w:r>
    <w:r w:rsidRPr="0082092B">
      <w:rPr>
        <w:rStyle w:val="SidhuvudUtskott"/>
      </w:rPr>
      <w:instrText xml:space="preserve"> DOCPROPERTY</w:instrText>
    </w:r>
    <w:r w:rsidRPr="0082092B">
      <w:instrText xml:space="preserve"> </w:instrText>
    </w:r>
    <w:r w:rsidRPr="0082092B">
      <w:rPr>
        <w:rStyle w:val="SidhuvudUtskott"/>
      </w:rPr>
      <w:instrText>Utskott</w:instrText>
    </w:r>
    <w:r w:rsidRPr="0082092B">
      <w:rPr>
        <w:rStyle w:val="SidhuvudUtskott"/>
      </w:rPr>
      <w:fldChar w:fldCharType="separate"/>
    </w:r>
    <w:r w:rsidRPr="0082092B">
      <w:rPr>
        <w:rStyle w:val="SidhuvudUtskott"/>
      </w:rPr>
      <w:t>FiU</w: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DOCPROPERTY Betä</w:instrText>
    </w:r>
    <w:r w:rsidRPr="0082092B">
      <w:rPr>
        <w:rStyle w:val="SidhuvudUtskott"/>
      </w:rPr>
      <w:instrText>n</w:instrText>
    </w:r>
    <w:r w:rsidRPr="0082092B">
      <w:rPr>
        <w:rStyle w:val="SidhuvudUtskott"/>
      </w:rPr>
      <w:instrText>kandeNr</w:instrText>
    </w:r>
    <w:r w:rsidRPr="0082092B">
      <w:rPr>
        <w:rStyle w:val="SidhuvudUtskott"/>
      </w:rPr>
      <w:fldChar w:fldCharType="separate"/>
    </w:r>
    <w:r w:rsidRPr="0082092B">
      <w:rPr>
        <w:rStyle w:val="SidhuvudUtskott"/>
      </w:rPr>
      <w:t>7y</w:t>
    </w:r>
    <w:r w:rsidRPr="0082092B">
      <w:rPr>
        <w:rStyle w:val="SidhuvudUtskott"/>
      </w:rPr>
      <w:fldChar w:fldCharType="end"/>
    </w:r>
  </w:p>
  <w:p w:rsidR="005F425D" w:rsidRPr="0082092B" w:rsidRDefault="005F425D">
    <w:pPr>
      <w:pStyle w:val="SidhuvudKantUdda"/>
      <w:framePr w:w="8732" w:h="567" w:hRule="exact" w:vSpace="0" w:wrap="around" w:vAnchor="page" w:y="341" w:anchorLock="0"/>
    </w:pPr>
    <w:r w:rsidRPr="0082092B">
      <w:rPr>
        <w:rStyle w:val="SidhuvudUtskott"/>
      </w:rPr>
      <w:fldChar w:fldCharType="begin" w:fldLock="1"/>
    </w:r>
    <w:r w:rsidRPr="0082092B">
      <w:rPr>
        <w:rStyle w:val="SidhuvudUtskott"/>
      </w:rPr>
      <w:instrText xml:space="preserve"> if </w:instrText>
    </w:r>
    <w:r w:rsidRPr="0082092B">
      <w:rPr>
        <w:rStyle w:val="SidhuvudUtskott"/>
      </w:rPr>
      <w:fldChar w:fldCharType="begin" w:fldLock="1"/>
    </w:r>
    <w:r w:rsidRPr="0082092B">
      <w:rPr>
        <w:rStyle w:val="SidhuvudUtskott"/>
      </w:rPr>
      <w:instrText xml:space="preserve"> DOCPROPERTY "UtkastDatum"</w:instrText>
    </w:r>
    <w:r w:rsidRPr="0082092B">
      <w:rPr>
        <w:rStyle w:val="SidhuvudUtskott"/>
      </w:rPr>
      <w:fldChar w:fldCharType="separate"/>
    </w:r>
    <w:r w:rsidRPr="0082092B">
      <w:rPr>
        <w:rStyle w:val="SidhuvudUtskott"/>
      </w:rPr>
      <w:instrText>Nej</w:instrText>
    </w:r>
    <w:r w:rsidRPr="0082092B">
      <w:rPr>
        <w:rStyle w:val="SidhuvudUtskott"/>
      </w:rPr>
      <w:fldChar w:fldCharType="end"/>
    </w:r>
    <w:r w:rsidRPr="0082092B">
      <w:rPr>
        <w:rStyle w:val="SidhuvudUtskott"/>
      </w:rPr>
      <w:instrText xml:space="preserve"> = "Ja" "</w:instrText>
    </w:r>
    <w:r w:rsidRPr="0082092B">
      <w:rPr>
        <w:rStyle w:val="SidhuvudUtskott"/>
      </w:rPr>
      <w:fldChar w:fldCharType="begin" w:fldLock="1"/>
    </w:r>
    <w:r w:rsidRPr="0082092B">
      <w:rPr>
        <w:rStyle w:val="SidhuvudUtskott"/>
      </w:rPr>
      <w:instrText xml:space="preserve"> PRINTDATE \@ "yyyy-MM-dd HH.mm    " </w:instrText>
    </w:r>
    <w:r w:rsidRPr="0082092B">
      <w:rPr>
        <w:rStyle w:val="SidhuvudUtskott"/>
      </w:rPr>
      <w:fldChar w:fldCharType="separate"/>
    </w:r>
    <w:r w:rsidRPr="0082092B">
      <w:rPr>
        <w:rStyle w:val="SidhuvudUtskott"/>
      </w:rPr>
      <w:instrText>2000-08-11 16.42</w:instrText>
    </w:r>
    <w:r w:rsidRPr="0082092B">
      <w:rPr>
        <w:rStyle w:val="SidhuvudUtskott"/>
      </w:rPr>
      <w:fldChar w:fldCharType="end"/>
    </w:r>
    <w:r w:rsidRPr="0082092B">
      <w:rPr>
        <w:rStyle w:val="SidhuvudUtskott"/>
      </w:rPr>
      <w:instrText xml:space="preserve">" </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w:instrText>
    </w:r>
    <w:r w:rsidRPr="0082092B">
      <w:rPr>
        <w:rStyle w:val="SidhuvudUtskott"/>
      </w:rPr>
      <w:instrText>O</w:instrText>
    </w:r>
    <w:r w:rsidRPr="0082092B">
      <w:rPr>
        <w:rStyle w:val="SidhuvudUtskott"/>
      </w:rPr>
      <w:instrText>PERTY Status</w:instrText>
    </w:r>
    <w:r w:rsidRPr="0082092B">
      <w:rPr>
        <w:rStyle w:val="SidhuvudUtskott"/>
      </w:rPr>
      <w:fldChar w:fldCharType="end"/>
    </w:r>
  </w:p>
  <w:p w:rsidR="005F425D" w:rsidRPr="0082092B" w:rsidRDefault="005F425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Jmn"/>
      <w:framePr w:w="8732" w:h="567" w:hRule="exact" w:vSpace="0" w:wrap="around" w:vAnchor="page" w:y="341" w:anchorLock="0"/>
    </w:pPr>
    <w:r w:rsidRPr="0082092B">
      <w:rPr>
        <w:rStyle w:val="SidhuvudUtskott"/>
      </w:rPr>
      <w:t>2001/02:FiU7y</w:t>
    </w:r>
    <w:r w:rsidRPr="0082092B">
      <w:t xml:space="preserve">    </w:t>
    </w:r>
  </w:p>
  <w:p w:rsidR="005F425D" w:rsidRPr="0082092B" w:rsidRDefault="005F425D">
    <w:pPr>
      <w:pStyle w:val="SidhuvudKantJmn"/>
      <w:framePr w:w="8732" w:h="567" w:hRule="exact" w:vSpace="0" w:wrap="around" w:vAnchor="page" w:y="341" w:anchorLock="0"/>
    </w:pPr>
  </w:p>
  <w:p w:rsidR="005F425D" w:rsidRPr="0082092B" w:rsidRDefault="005F425D">
    <w:pPr>
      <w:pStyle w:val="SidhuvudKantUdda"/>
      <w:framePr w:w="8732" w:h="567" w:hRule="exact" w:vSpace="0" w:wrap="around" w:vAnchor="page" w:y="341" w:anchorLock="0"/>
    </w:pPr>
    <w:r w:rsidRPr="0082092B">
      <w:rPr>
        <w:rStyle w:val="SidhuvudRubrikReferens"/>
        <w:smallCaps w:val="0"/>
        <w:spacing w:val="0"/>
        <w:sz w:val="19"/>
      </w:rPr>
      <w:t xml:space="preserve"> </w:t>
    </w:r>
  </w:p>
  <w:p w:rsidR="005F425D" w:rsidRPr="0082092B" w:rsidRDefault="005F425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Udda"/>
      <w:framePr w:w="8732" w:h="567" w:hRule="exact" w:vSpace="0" w:wrap="around" w:vAnchor="page" w:y="341" w:anchorLock="0"/>
    </w:pPr>
    <w:r w:rsidRPr="0082092B">
      <w:rPr>
        <w:rStyle w:val="SidhuvudRubrikReferens"/>
      </w:rPr>
      <w:fldChar w:fldCharType="begin" w:fldLock="1"/>
    </w:r>
    <w:r w:rsidRPr="0082092B">
      <w:rPr>
        <w:rStyle w:val="SidhuvudRubrikReferens"/>
      </w:rPr>
      <w:instrText xml:space="preserve"> StyleREF "Rubrik 1" </w:instrText>
    </w:r>
    <w:r w:rsidRPr="0082092B">
      <w:rPr>
        <w:rStyle w:val="SidhuvudRubrikReferens"/>
      </w:rPr>
      <w:fldChar w:fldCharType="end"/>
    </w:r>
    <w:r w:rsidRPr="0082092B">
      <w:rPr>
        <w:rStyle w:val="SidhuvudBilaga"/>
      </w:rPr>
      <w:t xml:space="preserve"> </w:t>
    </w:r>
    <w:r w:rsidRPr="0082092B">
      <w:t xml:space="preserve">     </w:t>
    </w:r>
    <w:r w:rsidRPr="0082092B">
      <w:rPr>
        <w:rStyle w:val="SidhuvudUtskott"/>
      </w:rPr>
      <w:fldChar w:fldCharType="begin" w:fldLock="1"/>
    </w:r>
    <w:r w:rsidRPr="0082092B">
      <w:rPr>
        <w:rStyle w:val="SidhuvudUtskott"/>
      </w:rPr>
      <w:instrText xml:space="preserve"> DOCPROPERTY BetänkandeÅr</w:instrText>
    </w:r>
    <w:r w:rsidRPr="0082092B">
      <w:rPr>
        <w:rStyle w:val="SidhuvudUtskott"/>
      </w:rPr>
      <w:fldChar w:fldCharType="separate"/>
    </w:r>
    <w:r w:rsidRPr="0082092B">
      <w:rPr>
        <w:rStyle w:val="SidhuvudUtskott"/>
      </w:rPr>
      <w:t>2001/02</w:t>
    </w:r>
    <w:r w:rsidRPr="0082092B">
      <w:rPr>
        <w:rStyle w:val="SidhuvudUtskott"/>
      </w:rPr>
      <w:fldChar w:fldCharType="end"/>
    </w:r>
    <w:r w:rsidRPr="0082092B">
      <w:rPr>
        <w:rStyle w:val="SidhuvudUtskott"/>
      </w:rPr>
      <w:t>:</w:t>
    </w:r>
    <w:r w:rsidRPr="0082092B">
      <w:rPr>
        <w:rStyle w:val="SidhuvudUtskott"/>
      </w:rPr>
      <w:fldChar w:fldCharType="begin" w:fldLock="1"/>
    </w:r>
    <w:r w:rsidRPr="0082092B">
      <w:rPr>
        <w:rStyle w:val="SidhuvudUtskott"/>
      </w:rPr>
      <w:instrText xml:space="preserve"> DOCPROPERTY</w:instrText>
    </w:r>
    <w:r w:rsidRPr="0082092B">
      <w:instrText xml:space="preserve"> </w:instrText>
    </w:r>
    <w:r w:rsidRPr="0082092B">
      <w:rPr>
        <w:rStyle w:val="SidhuvudUtskott"/>
      </w:rPr>
      <w:instrText>Utskott</w:instrText>
    </w:r>
    <w:r w:rsidRPr="0082092B">
      <w:rPr>
        <w:rStyle w:val="SidhuvudUtskott"/>
      </w:rPr>
      <w:fldChar w:fldCharType="separate"/>
    </w:r>
    <w:r w:rsidRPr="0082092B">
      <w:rPr>
        <w:rStyle w:val="SidhuvudUtskott"/>
      </w:rPr>
      <w:t>FiU</w: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DOCPROPERTY Betä</w:instrText>
    </w:r>
    <w:r w:rsidRPr="0082092B">
      <w:rPr>
        <w:rStyle w:val="SidhuvudUtskott"/>
      </w:rPr>
      <w:instrText>n</w:instrText>
    </w:r>
    <w:r w:rsidRPr="0082092B">
      <w:rPr>
        <w:rStyle w:val="SidhuvudUtskott"/>
      </w:rPr>
      <w:instrText>kandeNr</w:instrText>
    </w:r>
    <w:r w:rsidRPr="0082092B">
      <w:rPr>
        <w:rStyle w:val="SidhuvudUtskott"/>
      </w:rPr>
      <w:fldChar w:fldCharType="separate"/>
    </w:r>
    <w:r w:rsidRPr="0082092B">
      <w:rPr>
        <w:rStyle w:val="SidhuvudUtskott"/>
      </w:rPr>
      <w:t>7y</w:t>
    </w:r>
    <w:r w:rsidRPr="0082092B">
      <w:rPr>
        <w:rStyle w:val="SidhuvudUtskott"/>
      </w:rPr>
      <w:fldChar w:fldCharType="end"/>
    </w:r>
  </w:p>
  <w:p w:rsidR="005F425D" w:rsidRPr="0082092B" w:rsidRDefault="005F425D">
    <w:pPr>
      <w:pStyle w:val="SidhuvudKantUdda"/>
      <w:framePr w:w="8732" w:h="567" w:hRule="exact" w:vSpace="0" w:wrap="around" w:vAnchor="page" w:y="341" w:anchorLock="0"/>
    </w:pPr>
    <w:r w:rsidRPr="0082092B">
      <w:rPr>
        <w:rStyle w:val="SidhuvudUtskott"/>
      </w:rPr>
      <w:fldChar w:fldCharType="begin" w:fldLock="1"/>
    </w:r>
    <w:r w:rsidRPr="0082092B">
      <w:rPr>
        <w:rStyle w:val="SidhuvudUtskott"/>
      </w:rPr>
      <w:instrText xml:space="preserve"> if </w:instrText>
    </w:r>
    <w:r w:rsidRPr="0082092B">
      <w:rPr>
        <w:rStyle w:val="SidhuvudUtskott"/>
      </w:rPr>
      <w:fldChar w:fldCharType="begin" w:fldLock="1"/>
    </w:r>
    <w:r w:rsidRPr="0082092B">
      <w:rPr>
        <w:rStyle w:val="SidhuvudUtskott"/>
      </w:rPr>
      <w:instrText xml:space="preserve"> DOCPROPERTY "UtkastDatum"</w:instrText>
    </w:r>
    <w:r w:rsidRPr="0082092B">
      <w:rPr>
        <w:rStyle w:val="SidhuvudUtskott"/>
      </w:rPr>
      <w:fldChar w:fldCharType="separate"/>
    </w:r>
    <w:r w:rsidRPr="0082092B">
      <w:rPr>
        <w:rStyle w:val="SidhuvudUtskott"/>
      </w:rPr>
      <w:instrText>Nej</w:instrText>
    </w:r>
    <w:r w:rsidRPr="0082092B">
      <w:rPr>
        <w:rStyle w:val="SidhuvudUtskott"/>
      </w:rPr>
      <w:fldChar w:fldCharType="end"/>
    </w:r>
    <w:r w:rsidRPr="0082092B">
      <w:rPr>
        <w:rStyle w:val="SidhuvudUtskott"/>
      </w:rPr>
      <w:instrText xml:space="preserve"> = "Ja" "</w:instrText>
    </w:r>
    <w:r w:rsidRPr="0082092B">
      <w:rPr>
        <w:rStyle w:val="SidhuvudUtskott"/>
      </w:rPr>
      <w:fldChar w:fldCharType="begin" w:fldLock="1"/>
    </w:r>
    <w:r w:rsidRPr="0082092B">
      <w:rPr>
        <w:rStyle w:val="SidhuvudUtskott"/>
      </w:rPr>
      <w:instrText xml:space="preserve"> PRINTDATE \@ "yyyy-MM-dd HH.mm    " </w:instrText>
    </w:r>
    <w:r w:rsidRPr="0082092B">
      <w:rPr>
        <w:rStyle w:val="SidhuvudUtskott"/>
      </w:rPr>
      <w:fldChar w:fldCharType="separate"/>
    </w:r>
    <w:r w:rsidRPr="0082092B">
      <w:rPr>
        <w:rStyle w:val="SidhuvudUtskott"/>
      </w:rPr>
      <w:instrText>2000-08-11 16.42</w:instrText>
    </w:r>
    <w:r w:rsidRPr="0082092B">
      <w:rPr>
        <w:rStyle w:val="SidhuvudUtskott"/>
      </w:rPr>
      <w:fldChar w:fldCharType="end"/>
    </w:r>
    <w:r w:rsidRPr="0082092B">
      <w:rPr>
        <w:rStyle w:val="SidhuvudUtskott"/>
      </w:rPr>
      <w:instrText xml:space="preserve">" </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w:instrText>
    </w:r>
    <w:r w:rsidRPr="0082092B">
      <w:rPr>
        <w:rStyle w:val="SidhuvudUtskott"/>
      </w:rPr>
      <w:instrText>O</w:instrText>
    </w:r>
    <w:r w:rsidRPr="0082092B">
      <w:rPr>
        <w:rStyle w:val="SidhuvudUtskott"/>
      </w:rPr>
      <w:instrText>PERTY Status</w:instrText>
    </w:r>
    <w:r w:rsidRPr="0082092B">
      <w:rPr>
        <w:rStyle w:val="SidhuvudUtskott"/>
      </w:rPr>
      <w:fldChar w:fldCharType="end"/>
    </w:r>
  </w:p>
  <w:p w:rsidR="005F425D" w:rsidRPr="0082092B" w:rsidRDefault="005F425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Jmn"/>
      <w:framePr w:w="8732" w:h="567" w:hRule="exact" w:vSpace="0" w:wrap="around" w:vAnchor="page" w:y="341" w:anchorLock="0"/>
    </w:pPr>
    <w:r w:rsidRPr="0082092B">
      <w:fldChar w:fldCharType="begin" w:fldLock="1"/>
    </w:r>
    <w:r w:rsidRPr="0082092B">
      <w:instrText xml:space="preserve"> if </w:instrText>
    </w:r>
    <w:r w:rsidRPr="0082092B">
      <w:fldChar w:fldCharType="begin" w:fldLock="1"/>
    </w:r>
    <w:r w:rsidRPr="0082092B">
      <w:instrText xml:space="preserve"> page</w:instrText>
    </w:r>
    <w:r w:rsidRPr="0082092B">
      <w:fldChar w:fldCharType="separate"/>
    </w:r>
    <w:r w:rsidR="0082092B">
      <w:rPr>
        <w:noProof/>
      </w:rPr>
      <w:instrText>1</w:instrText>
    </w:r>
    <w:r w:rsidRPr="0082092B">
      <w:fldChar w:fldCharType="end"/>
    </w:r>
    <w:r w:rsidRPr="0082092B">
      <w:instrText xml:space="preserve"> &gt; 1 "</w:instrText>
    </w:r>
    <w:r w:rsidRPr="0082092B">
      <w:fldChar w:fldCharType="begin" w:fldLock="1"/>
    </w:r>
    <w:r w:rsidRPr="0082092B">
      <w:instrText xml:space="preserve"> if </w:instrText>
    </w:r>
    <w:r w:rsidRPr="0082092B">
      <w:fldChar w:fldCharType="begin" w:fldLock="1"/>
    </w:r>
    <w:r w:rsidRPr="0082092B">
      <w:instrText xml:space="preserve"> = </w:instrText>
    </w:r>
    <w:r w:rsidRPr="0082092B">
      <w:fldChar w:fldCharType="begin" w:fldLock="1"/>
    </w:r>
    <w:r w:rsidRPr="0082092B">
      <w:instrText xml:space="preserve"> = </w:instrText>
    </w:r>
    <w:r w:rsidRPr="0082092B">
      <w:fldChar w:fldCharType="begin" w:fldLock="1"/>
    </w:r>
    <w:r w:rsidRPr="0082092B">
      <w:instrText xml:space="preserve"> page</w:instrText>
    </w:r>
    <w:r w:rsidRPr="0082092B">
      <w:fldChar w:fldCharType="separate"/>
    </w:r>
    <w:r w:rsidRPr="0082092B">
      <w:instrText>3</w:instrText>
    </w:r>
    <w:r w:rsidRPr="0082092B">
      <w:fldChar w:fldCharType="end"/>
    </w:r>
    <w:r w:rsidRPr="0082092B">
      <w:instrText xml:space="preserve">/2 </w:instrText>
    </w:r>
    <w:r w:rsidRPr="0082092B">
      <w:fldChar w:fldCharType="separate"/>
    </w:r>
    <w:r w:rsidRPr="0082092B">
      <w:instrText>1,5</w:instrText>
    </w:r>
    <w:r w:rsidRPr="0082092B">
      <w:fldChar w:fldCharType="end"/>
    </w:r>
    <w:r w:rsidRPr="0082092B">
      <w:instrText xml:space="preserve"> - </w:instrText>
    </w:r>
    <w:r w:rsidRPr="0082092B">
      <w:fldChar w:fldCharType="begin" w:fldLock="1"/>
    </w:r>
    <w:r w:rsidRPr="0082092B">
      <w:instrText xml:space="preserve"> = int(</w:instrText>
    </w:r>
    <w:r w:rsidRPr="0082092B">
      <w:fldChar w:fldCharType="begin" w:fldLock="1"/>
    </w:r>
    <w:r w:rsidRPr="0082092B">
      <w:instrText xml:space="preserve"> page</w:instrText>
    </w:r>
    <w:r w:rsidRPr="0082092B">
      <w:fldChar w:fldCharType="separate"/>
    </w:r>
    <w:r w:rsidRPr="0082092B">
      <w:instrText>3</w:instrText>
    </w:r>
    <w:r w:rsidRPr="0082092B">
      <w:fldChar w:fldCharType="end"/>
    </w:r>
    <w:r w:rsidRPr="0082092B">
      <w:instrText xml:space="preserve">/2) </w:instrText>
    </w:r>
    <w:r w:rsidRPr="0082092B">
      <w:fldChar w:fldCharType="separate"/>
    </w:r>
    <w:r w:rsidRPr="0082092B">
      <w:instrText>1</w:instrText>
    </w:r>
    <w:r w:rsidRPr="0082092B">
      <w:fldChar w:fldCharType="end"/>
    </w:r>
    <w:r w:rsidRPr="0082092B">
      <w:fldChar w:fldCharType="separate"/>
    </w:r>
    <w:r w:rsidRPr="0082092B">
      <w:instrText>0,5</w:instrText>
    </w:r>
    <w:r w:rsidRPr="0082092B">
      <w:fldChar w:fldCharType="end"/>
    </w:r>
    <w:r w:rsidRPr="0082092B">
      <w:instrText xml:space="preserve"> = 0 "</w:instrText>
    </w:r>
    <w:r w:rsidRPr="0082092B">
      <w:rPr>
        <w:rStyle w:val="SidhuvudUtskott"/>
      </w:rPr>
      <w:fldChar w:fldCharType="begin" w:fldLock="1"/>
    </w:r>
    <w:r w:rsidRPr="0082092B">
      <w:rPr>
        <w:rStyle w:val="SidhuvudUtskott"/>
      </w:rPr>
      <w:instrText xml:space="preserve"> DOCPROPERTY BetänkandeÅr</w:instrText>
    </w:r>
    <w:r w:rsidRPr="0082092B">
      <w:rPr>
        <w:rStyle w:val="SidhuvudUtskott"/>
      </w:rPr>
      <w:fldChar w:fldCharType="separate"/>
    </w:r>
    <w:r w:rsidRPr="0082092B">
      <w:rPr>
        <w:rStyle w:val="SidhuvudUtskott"/>
      </w:rPr>
      <w:instrText>1999/2000</w:instrText>
    </w:r>
    <w:r w:rsidRPr="0082092B">
      <w:rPr>
        <w:rStyle w:val="SidhuvudUtskott"/>
      </w:rPr>
      <w:fldChar w:fldCharType="end"/>
    </w:r>
    <w:r w:rsidRPr="0082092B">
      <w:rPr>
        <w:rStyle w:val="SidhuvudUtskott"/>
      </w:rPr>
      <w:instrText>:</w:instrText>
    </w:r>
    <w:r w:rsidRPr="0082092B">
      <w:rPr>
        <w:rStyle w:val="SidhuvudUtskott"/>
      </w:rPr>
      <w:fldChar w:fldCharType="begin" w:fldLock="1"/>
    </w:r>
    <w:r w:rsidRPr="0082092B">
      <w:rPr>
        <w:rStyle w:val="SidhuvudUtskott"/>
      </w:rPr>
      <w:instrText xml:space="preserve"> DOCPR</w:instrText>
    </w:r>
    <w:r w:rsidRPr="0082092B">
      <w:rPr>
        <w:rStyle w:val="SidhuvudUtskott"/>
      </w:rPr>
      <w:instrText>O</w:instrText>
    </w:r>
    <w:r w:rsidRPr="0082092B">
      <w:rPr>
        <w:rStyle w:val="SidhuvudUtskott"/>
      </w:rPr>
      <w:instrText>PE</w:instrText>
    </w:r>
    <w:r w:rsidRPr="0082092B">
      <w:rPr>
        <w:rStyle w:val="SidhuvudUtskott"/>
      </w:rPr>
      <w:instrText>R</w:instrText>
    </w:r>
    <w:r w:rsidRPr="0082092B">
      <w:rPr>
        <w:rStyle w:val="SidhuvudUtskott"/>
      </w:rPr>
      <w:instrText>TY Utskott</w:instrText>
    </w:r>
    <w:r w:rsidRPr="0082092B">
      <w:rPr>
        <w:rStyle w:val="SidhuvudUtskott"/>
      </w:rPr>
      <w:fldChar w:fldCharType="separate"/>
    </w:r>
    <w:r w:rsidRPr="0082092B">
      <w:rPr>
        <w:rStyle w:val="SidhuvudUtskott"/>
      </w:rPr>
      <w:instrText>BoU</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DOCPROPERTY BetänkandeNr</w:instrText>
    </w:r>
    <w:r w:rsidRPr="0082092B">
      <w:rPr>
        <w:rStyle w:val="SidhuvudUtskott"/>
      </w:rPr>
      <w:fldChar w:fldCharType="separate"/>
    </w:r>
    <w:r w:rsidRPr="0082092B">
      <w:rPr>
        <w:rStyle w:val="SidhuvudUtskott"/>
      </w:rPr>
      <w:instrText>6678</w:instrText>
    </w:r>
    <w:r w:rsidRPr="0082092B">
      <w:rPr>
        <w:rStyle w:val="SidhuvudUtskott"/>
      </w:rPr>
      <w:fldChar w:fldCharType="end"/>
    </w:r>
    <w:r w:rsidRPr="0082092B">
      <w:instrText xml:space="preserve">    </w:instrText>
    </w:r>
  </w:p>
  <w:p w:rsidR="005F425D" w:rsidRPr="0082092B" w:rsidRDefault="005F425D">
    <w:pPr>
      <w:pStyle w:val="SidhuvudKantJmn"/>
      <w:framePr w:w="8732" w:h="567" w:hRule="exact" w:vSpace="0" w:wrap="around" w:vAnchor="page" w:y="341" w:anchorLock="0"/>
    </w:pPr>
    <w:r w:rsidRPr="0082092B">
      <w:rPr>
        <w:rStyle w:val="SidhuvudUtskott"/>
      </w:rPr>
      <w:fldChar w:fldCharType="begin" w:fldLock="1"/>
    </w:r>
    <w:r w:rsidRPr="0082092B">
      <w:rPr>
        <w:rStyle w:val="SidhuvudUtskott"/>
      </w:rPr>
      <w:instrText xml:space="preserve"> DOCPROPERTY Status</w:instrText>
    </w:r>
    <w:r w:rsidRPr="0082092B">
      <w:rPr>
        <w:rStyle w:val="SidhuvudUtskott"/>
      </w:rPr>
      <w:fldChar w:fldCharType="separate"/>
    </w:r>
    <w:r w:rsidRPr="0082092B">
      <w:rPr>
        <w:rStyle w:val="SidhuvudUtskott"/>
      </w:rPr>
      <w:instrText>Utkast</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if </w:instrText>
    </w:r>
    <w:r w:rsidRPr="0082092B">
      <w:rPr>
        <w:rStyle w:val="SidhuvudUtskott"/>
      </w:rPr>
      <w:fldChar w:fldCharType="begin" w:fldLock="1"/>
    </w:r>
    <w:r w:rsidRPr="0082092B">
      <w:rPr>
        <w:rStyle w:val="SidhuvudUtskott"/>
      </w:rPr>
      <w:instrText xml:space="preserve"> DOCPROPERTY "UtkastDatum"</w:instrText>
    </w:r>
    <w:r w:rsidRPr="0082092B">
      <w:rPr>
        <w:rStyle w:val="SidhuvudUtskott"/>
      </w:rPr>
      <w:fldChar w:fldCharType="separate"/>
    </w:r>
    <w:r w:rsidRPr="0082092B">
      <w:rPr>
        <w:rStyle w:val="SidhuvudUtskott"/>
      </w:rPr>
      <w:instrText>Nej</w:instrText>
    </w:r>
    <w:r w:rsidRPr="0082092B">
      <w:rPr>
        <w:rStyle w:val="SidhuvudUtskott"/>
      </w:rPr>
      <w:fldChar w:fldCharType="end"/>
    </w:r>
    <w:r w:rsidRPr="0082092B">
      <w:rPr>
        <w:rStyle w:val="SidhuvudUtskott"/>
      </w:rPr>
      <w:instrText xml:space="preserve"> = "Ja" "    </w:instrText>
    </w:r>
    <w:r w:rsidRPr="0082092B">
      <w:rPr>
        <w:rStyle w:val="SidhuvudUtskott"/>
      </w:rPr>
      <w:fldChar w:fldCharType="begin" w:fldLock="1"/>
    </w:r>
    <w:r w:rsidRPr="0082092B">
      <w:rPr>
        <w:rStyle w:val="SidhuvudUtskott"/>
      </w:rPr>
      <w:instrText xml:space="preserve"> PRINTDATE \@ "yyyy-MM-dd HH.mm" </w:instrText>
    </w:r>
    <w:r w:rsidRPr="0082092B">
      <w:rPr>
        <w:rStyle w:val="SidhuvudUtskott"/>
      </w:rPr>
      <w:fldChar w:fldCharType="separate"/>
    </w:r>
    <w:r w:rsidRPr="0082092B">
      <w:rPr>
        <w:rStyle w:val="SidhuvudUtskott"/>
      </w:rPr>
      <w:instrText>2000-08-11 16.42</w:instrText>
    </w:r>
    <w:r w:rsidRPr="0082092B">
      <w:rPr>
        <w:rStyle w:val="SidhuvudUtskott"/>
      </w:rPr>
      <w:fldChar w:fldCharType="end"/>
    </w:r>
    <w:r w:rsidRPr="0082092B">
      <w:rPr>
        <w:rStyle w:val="SidhuvudUtskott"/>
      </w:rPr>
      <w:instrText xml:space="preserve">" </w:instrText>
    </w:r>
    <w:r w:rsidRPr="0082092B">
      <w:rPr>
        <w:rStyle w:val="SidhuvudUtskott"/>
      </w:rPr>
      <w:fldChar w:fldCharType="separate"/>
    </w:r>
    <w:r w:rsidRPr="0082092B">
      <w:rPr>
        <w:rStyle w:val="SidhuvudUtskott"/>
      </w:rPr>
      <w:fldChar w:fldCharType="end"/>
    </w:r>
  </w:p>
  <w:p w:rsidR="005F425D" w:rsidRPr="0082092B" w:rsidRDefault="005F425D">
    <w:pPr>
      <w:pStyle w:val="SidhuvudKantUdda"/>
      <w:framePr w:w="8732" w:h="567" w:hRule="exact" w:vSpace="0" w:wrap="around" w:vAnchor="page" w:y="341" w:anchorLock="0"/>
    </w:pPr>
    <w:r w:rsidRPr="0082092B">
      <w:rPr>
        <w:rStyle w:val="SidhuvudRubrikReferens"/>
        <w:smallCaps w:val="0"/>
        <w:spacing w:val="0"/>
        <w:sz w:val="19"/>
      </w:rPr>
      <w:instrText xml:space="preserve"> </w:instrText>
    </w:r>
    <w:r w:rsidRPr="0082092B">
      <w:instrText xml:space="preserve">"  "  </w:instrText>
    </w:r>
    <w:r w:rsidRPr="0082092B">
      <w:rPr>
        <w:rStyle w:val="SidhuvudUtskott"/>
      </w:rPr>
      <w:fldChar w:fldCharType="begin" w:fldLock="1"/>
    </w:r>
    <w:r w:rsidRPr="0082092B">
      <w:rPr>
        <w:rStyle w:val="SidhuvudUtskott"/>
      </w:rPr>
      <w:instrText xml:space="preserve"> DOCPROPERTY BetänkandeÅr</w:instrText>
    </w:r>
    <w:r w:rsidRPr="0082092B">
      <w:rPr>
        <w:rStyle w:val="SidhuvudUtskott"/>
      </w:rPr>
      <w:fldChar w:fldCharType="separate"/>
    </w:r>
    <w:r w:rsidRPr="0082092B">
      <w:rPr>
        <w:rStyle w:val="SidhuvudUtskott"/>
      </w:rPr>
      <w:instrText>1999/2000</w:instrText>
    </w:r>
    <w:r w:rsidRPr="0082092B">
      <w:rPr>
        <w:rStyle w:val="SidhuvudUtskott"/>
      </w:rPr>
      <w:fldChar w:fldCharType="end"/>
    </w:r>
    <w:r w:rsidRPr="0082092B">
      <w:rPr>
        <w:rStyle w:val="SidhuvudUtskott"/>
      </w:rPr>
      <w:instrText>:</w:instrText>
    </w:r>
    <w:r w:rsidRPr="0082092B">
      <w:rPr>
        <w:rStyle w:val="SidhuvudUtskott"/>
      </w:rPr>
      <w:fldChar w:fldCharType="begin" w:fldLock="1"/>
    </w:r>
    <w:r w:rsidRPr="0082092B">
      <w:rPr>
        <w:rStyle w:val="SidhuvudUtskott"/>
      </w:rPr>
      <w:instrText xml:space="preserve"> DOCPROPERTY Utskott</w:instrText>
    </w:r>
    <w:r w:rsidRPr="0082092B">
      <w:rPr>
        <w:rStyle w:val="SidhuvudUtskott"/>
      </w:rPr>
      <w:fldChar w:fldCharType="separate"/>
    </w:r>
    <w:r w:rsidRPr="0082092B">
      <w:rPr>
        <w:rStyle w:val="SidhuvudUtskott"/>
      </w:rPr>
      <w:instrText>BoU</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DOCPROPERTY BetänkandeNr</w:instrText>
    </w:r>
    <w:r w:rsidRPr="0082092B">
      <w:rPr>
        <w:rStyle w:val="SidhuvudUtskott"/>
      </w:rPr>
      <w:fldChar w:fldCharType="separate"/>
    </w:r>
    <w:r w:rsidRPr="0082092B">
      <w:rPr>
        <w:rStyle w:val="SidhuvudUtskott"/>
      </w:rPr>
      <w:instrText>6678</w:instrText>
    </w:r>
    <w:r w:rsidRPr="0082092B">
      <w:rPr>
        <w:rStyle w:val="SidhuvudUtskott"/>
      </w:rPr>
      <w:fldChar w:fldCharType="end"/>
    </w:r>
  </w:p>
  <w:p w:rsidR="005F425D" w:rsidRPr="0082092B" w:rsidRDefault="005F425D">
    <w:pPr>
      <w:pStyle w:val="SidhuvudKantUdda"/>
      <w:framePr w:w="8732" w:h="567" w:hRule="exact" w:vSpace="0" w:wrap="around" w:vAnchor="page" w:y="341" w:anchorLock="0"/>
    </w:pPr>
    <w:r w:rsidRPr="0082092B">
      <w:rPr>
        <w:rStyle w:val="SidhuvudUtskott"/>
      </w:rPr>
      <w:fldChar w:fldCharType="begin" w:fldLock="1"/>
    </w:r>
    <w:r w:rsidRPr="0082092B">
      <w:rPr>
        <w:rStyle w:val="SidhuvudUtskott"/>
      </w:rPr>
      <w:instrText xml:space="preserve"> if </w:instrText>
    </w:r>
    <w:r w:rsidRPr="0082092B">
      <w:rPr>
        <w:rStyle w:val="SidhuvudUtskott"/>
      </w:rPr>
      <w:fldChar w:fldCharType="begin" w:fldLock="1"/>
    </w:r>
    <w:r w:rsidRPr="0082092B">
      <w:rPr>
        <w:rStyle w:val="SidhuvudUtskott"/>
      </w:rPr>
      <w:instrText xml:space="preserve"> DOCPROPERTY "UtkastDatum"</w:instrText>
    </w:r>
    <w:r w:rsidRPr="0082092B">
      <w:rPr>
        <w:rStyle w:val="SidhuvudUtskott"/>
      </w:rPr>
      <w:fldChar w:fldCharType="separate"/>
    </w:r>
    <w:r w:rsidRPr="0082092B">
      <w:rPr>
        <w:rStyle w:val="SidhuvudUtskott"/>
      </w:rPr>
      <w:instrText>Nej</w:instrText>
    </w:r>
    <w:r w:rsidRPr="0082092B">
      <w:rPr>
        <w:rStyle w:val="SidhuvudUtskott"/>
      </w:rPr>
      <w:fldChar w:fldCharType="end"/>
    </w:r>
    <w:r w:rsidRPr="0082092B">
      <w:rPr>
        <w:rStyle w:val="SidhuvudUtskott"/>
      </w:rPr>
      <w:instrText xml:space="preserve"> = "Ja" "</w:instrText>
    </w:r>
    <w:r w:rsidRPr="0082092B">
      <w:rPr>
        <w:rStyle w:val="SidhuvudUtskott"/>
      </w:rPr>
      <w:fldChar w:fldCharType="begin" w:fldLock="1"/>
    </w:r>
    <w:r w:rsidRPr="0082092B">
      <w:rPr>
        <w:rStyle w:val="SidhuvudUtskott"/>
      </w:rPr>
      <w:instrText xml:space="preserve"> PRINTDATE \@ "yyyy-MM-dd HH.mm    " </w:instrText>
    </w:r>
    <w:r w:rsidRPr="0082092B">
      <w:rPr>
        <w:rStyle w:val="SidhuvudUtskott"/>
      </w:rPr>
      <w:fldChar w:fldCharType="separate"/>
    </w:r>
    <w:r w:rsidRPr="0082092B">
      <w:rPr>
        <w:rStyle w:val="SidhuvudUtskott"/>
      </w:rPr>
      <w:instrText>2000-08-11 16.42</w:instrText>
    </w:r>
    <w:r w:rsidRPr="0082092B">
      <w:rPr>
        <w:rStyle w:val="SidhuvudUtskott"/>
      </w:rPr>
      <w:fldChar w:fldCharType="end"/>
    </w:r>
    <w:r w:rsidRPr="0082092B">
      <w:rPr>
        <w:rStyle w:val="SidhuvudUtskott"/>
      </w:rPr>
      <w:instrText xml:space="preserve">" </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w:instrText>
    </w:r>
    <w:r w:rsidRPr="0082092B">
      <w:rPr>
        <w:rStyle w:val="SidhuvudUtskott"/>
      </w:rPr>
      <w:instrText>O</w:instrText>
    </w:r>
    <w:r w:rsidRPr="0082092B">
      <w:rPr>
        <w:rStyle w:val="SidhuvudUtskott"/>
      </w:rPr>
      <w:instrText>PERTY Status</w:instrText>
    </w:r>
    <w:r w:rsidRPr="0082092B">
      <w:rPr>
        <w:rStyle w:val="SidhuvudUtskott"/>
      </w:rPr>
      <w:fldChar w:fldCharType="separate"/>
    </w:r>
    <w:r w:rsidRPr="0082092B">
      <w:rPr>
        <w:rStyle w:val="SidhuvudUtskott"/>
      </w:rPr>
      <w:instrText>Utkast 2</w:instrText>
    </w:r>
    <w:r w:rsidRPr="0082092B">
      <w:rPr>
        <w:rStyle w:val="SidhuvudUtskott"/>
      </w:rPr>
      <w:fldChar w:fldCharType="end"/>
    </w:r>
    <w:r w:rsidRPr="0082092B">
      <w:instrText>"</w:instrText>
    </w:r>
    <w:r w:rsidRPr="0082092B">
      <w:fldChar w:fldCharType="separate"/>
    </w:r>
    <w:r w:rsidRPr="0082092B">
      <w:instrText xml:space="preserve">  </w:instrText>
    </w:r>
    <w:r w:rsidRPr="0082092B">
      <w:rPr>
        <w:rStyle w:val="SidhuvudUtskott"/>
      </w:rPr>
      <w:fldChar w:fldCharType="begin" w:fldLock="1"/>
    </w:r>
    <w:r w:rsidRPr="0082092B">
      <w:rPr>
        <w:rStyle w:val="SidhuvudUtskott"/>
      </w:rPr>
      <w:instrText xml:space="preserve"> DOCPROPERTY BetänkandeÅr</w:instrText>
    </w:r>
    <w:r w:rsidRPr="0082092B">
      <w:rPr>
        <w:rStyle w:val="SidhuvudUtskott"/>
      </w:rPr>
      <w:fldChar w:fldCharType="separate"/>
    </w:r>
    <w:r w:rsidRPr="0082092B">
      <w:rPr>
        <w:rStyle w:val="SidhuvudUtskott"/>
      </w:rPr>
      <w:instrText>1999/2000</w:instrText>
    </w:r>
    <w:r w:rsidRPr="0082092B">
      <w:rPr>
        <w:rStyle w:val="SidhuvudUtskott"/>
      </w:rPr>
      <w:fldChar w:fldCharType="end"/>
    </w:r>
    <w:r w:rsidRPr="0082092B">
      <w:rPr>
        <w:rStyle w:val="SidhuvudUtskott"/>
      </w:rPr>
      <w:instrText>:</w:instrText>
    </w:r>
    <w:r w:rsidRPr="0082092B">
      <w:rPr>
        <w:rStyle w:val="SidhuvudUtskott"/>
      </w:rPr>
      <w:fldChar w:fldCharType="begin" w:fldLock="1"/>
    </w:r>
    <w:r w:rsidRPr="0082092B">
      <w:rPr>
        <w:rStyle w:val="SidhuvudUtskott"/>
      </w:rPr>
      <w:instrText xml:space="preserve"> DOCPROPERTY Utskott</w:instrText>
    </w:r>
    <w:r w:rsidRPr="0082092B">
      <w:rPr>
        <w:rStyle w:val="SidhuvudUtskott"/>
      </w:rPr>
      <w:fldChar w:fldCharType="separate"/>
    </w:r>
    <w:r w:rsidRPr="0082092B">
      <w:rPr>
        <w:rStyle w:val="SidhuvudUtskott"/>
      </w:rPr>
      <w:instrText>BoU</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DOCPROPERTY BetänkandeNr</w:instrText>
    </w:r>
    <w:r w:rsidRPr="0082092B">
      <w:rPr>
        <w:rStyle w:val="SidhuvudUtskott"/>
      </w:rPr>
      <w:fldChar w:fldCharType="separate"/>
    </w:r>
    <w:r w:rsidRPr="0082092B">
      <w:rPr>
        <w:rStyle w:val="SidhuvudUtskott"/>
      </w:rPr>
      <w:instrText>6678</w:instrText>
    </w:r>
    <w:r w:rsidRPr="0082092B">
      <w:rPr>
        <w:rStyle w:val="SidhuvudUtskott"/>
      </w:rPr>
      <w:fldChar w:fldCharType="end"/>
    </w:r>
  </w:p>
  <w:p w:rsidR="005F425D" w:rsidRPr="0082092B" w:rsidRDefault="005F425D">
    <w:pPr>
      <w:pStyle w:val="SidhuvudKantUdda"/>
      <w:framePr w:w="8732" w:h="567" w:hRule="exact" w:vSpace="0" w:wrap="around" w:vAnchor="page" w:y="341" w:anchorLock="0"/>
    </w:pPr>
    <w:r w:rsidRPr="0082092B">
      <w:rPr>
        <w:rStyle w:val="SidhuvudUtskott"/>
      </w:rPr>
      <w:fldChar w:fldCharType="begin" w:fldLock="1"/>
    </w:r>
    <w:r w:rsidRPr="0082092B">
      <w:rPr>
        <w:rStyle w:val="SidhuvudUtskott"/>
      </w:rPr>
      <w:instrText xml:space="preserve"> if </w:instrText>
    </w:r>
    <w:r w:rsidRPr="0082092B">
      <w:rPr>
        <w:rStyle w:val="SidhuvudUtskott"/>
      </w:rPr>
      <w:fldChar w:fldCharType="begin" w:fldLock="1"/>
    </w:r>
    <w:r w:rsidRPr="0082092B">
      <w:rPr>
        <w:rStyle w:val="SidhuvudUtskott"/>
      </w:rPr>
      <w:instrText xml:space="preserve"> DOCPROPERTY "UtkastDatum"</w:instrText>
    </w:r>
    <w:r w:rsidRPr="0082092B">
      <w:rPr>
        <w:rStyle w:val="SidhuvudUtskott"/>
      </w:rPr>
      <w:fldChar w:fldCharType="separate"/>
    </w:r>
    <w:r w:rsidRPr="0082092B">
      <w:rPr>
        <w:rStyle w:val="SidhuvudUtskott"/>
      </w:rPr>
      <w:instrText>Nej</w:instrText>
    </w:r>
    <w:r w:rsidRPr="0082092B">
      <w:rPr>
        <w:rStyle w:val="SidhuvudUtskott"/>
      </w:rPr>
      <w:fldChar w:fldCharType="end"/>
    </w:r>
    <w:r w:rsidRPr="0082092B">
      <w:rPr>
        <w:rStyle w:val="SidhuvudUtskott"/>
      </w:rPr>
      <w:instrText xml:space="preserve"> = "Ja" "</w:instrText>
    </w:r>
    <w:r w:rsidRPr="0082092B">
      <w:rPr>
        <w:rStyle w:val="SidhuvudUtskott"/>
      </w:rPr>
      <w:fldChar w:fldCharType="begin" w:fldLock="1"/>
    </w:r>
    <w:r w:rsidRPr="0082092B">
      <w:rPr>
        <w:rStyle w:val="SidhuvudUtskott"/>
      </w:rPr>
      <w:instrText xml:space="preserve"> PRINTDATE \@ "yyyy-MM-dd HH.mm    " </w:instrText>
    </w:r>
    <w:r w:rsidRPr="0082092B">
      <w:rPr>
        <w:rStyle w:val="SidhuvudUtskott"/>
      </w:rPr>
      <w:fldChar w:fldCharType="separate"/>
    </w:r>
    <w:r w:rsidRPr="0082092B">
      <w:rPr>
        <w:rStyle w:val="SidhuvudUtskott"/>
      </w:rPr>
      <w:instrText>2000-08-11 16.42</w:instrText>
    </w:r>
    <w:r w:rsidRPr="0082092B">
      <w:rPr>
        <w:rStyle w:val="SidhuvudUtskott"/>
      </w:rPr>
      <w:fldChar w:fldCharType="end"/>
    </w:r>
    <w:r w:rsidRPr="0082092B">
      <w:rPr>
        <w:rStyle w:val="SidhuvudUtskott"/>
      </w:rPr>
      <w:instrText xml:space="preserve">" </w:instrText>
    </w:r>
    <w:r w:rsidRPr="0082092B">
      <w:rPr>
        <w:rStyle w:val="SidhuvudUtskott"/>
      </w:rPr>
      <w:fldChar w:fldCharType="end"/>
    </w:r>
    <w:r w:rsidRPr="0082092B">
      <w:rPr>
        <w:rStyle w:val="SidhuvudUtskott"/>
      </w:rPr>
      <w:fldChar w:fldCharType="begin" w:fldLock="1"/>
    </w:r>
    <w:r w:rsidRPr="0082092B">
      <w:rPr>
        <w:rStyle w:val="SidhuvudUtskott"/>
      </w:rPr>
      <w:instrText xml:space="preserve"> DOCPR</w:instrText>
    </w:r>
    <w:r w:rsidRPr="0082092B">
      <w:rPr>
        <w:rStyle w:val="SidhuvudUtskott"/>
      </w:rPr>
      <w:instrText>O</w:instrText>
    </w:r>
    <w:r w:rsidRPr="0082092B">
      <w:rPr>
        <w:rStyle w:val="SidhuvudUtskott"/>
      </w:rPr>
      <w:instrText>PERTY Status</w:instrText>
    </w:r>
    <w:r w:rsidRPr="0082092B">
      <w:rPr>
        <w:rStyle w:val="SidhuvudUtskott"/>
      </w:rPr>
      <w:fldChar w:fldCharType="separate"/>
    </w:r>
    <w:r w:rsidRPr="0082092B">
      <w:rPr>
        <w:rStyle w:val="SidhuvudUtskott"/>
      </w:rPr>
      <w:instrText>Utkast 2</w:instrText>
    </w:r>
    <w:r w:rsidRPr="0082092B">
      <w:rPr>
        <w:rStyle w:val="SidhuvudUtskott"/>
      </w:rPr>
      <w:fldChar w:fldCharType="end"/>
    </w:r>
    <w:r w:rsidRPr="0082092B">
      <w:fldChar w:fldCharType="end"/>
    </w:r>
    <w:r w:rsidRPr="0082092B">
      <w:instrText>" " "</w:instrText>
    </w:r>
    <w:r w:rsidRPr="0082092B">
      <w:fldChar w:fldCharType="separate"/>
    </w:r>
    <w:r w:rsidR="0082092B" w:rsidRPr="0082092B">
      <w:rPr>
        <w:noProof/>
      </w:rPr>
      <w:t xml:space="preserve"> </w:t>
    </w:r>
    <w:r w:rsidRPr="0082092B">
      <w:fldChar w:fldCharType="end"/>
    </w:r>
  </w:p>
  <w:p w:rsidR="005F425D" w:rsidRPr="0082092B" w:rsidRDefault="005F425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Jmn"/>
      <w:framePr w:w="8957" w:h="624" w:hRule="exact" w:vSpace="0" w:wrap="around" w:vAnchor="page" w:y="171" w:anchorLock="0"/>
    </w:pPr>
    <w:r w:rsidRPr="0082092B">
      <w:rPr>
        <w:rStyle w:val="SidhuvudUtskott"/>
      </w:rPr>
      <w:t>2001/02:FiU7y</w:t>
    </w:r>
    <w:r w:rsidRPr="0082092B">
      <w:t xml:space="preserve">     </w:t>
    </w:r>
    <w:r w:rsidRPr="0082092B">
      <w:rPr>
        <w:rStyle w:val="SidhuvudBilaga"/>
      </w:rPr>
      <w:t xml:space="preserve"> </w:t>
    </w:r>
    <w:r w:rsidRPr="0082092B">
      <w:rPr>
        <w:rStyle w:val="SidhuvudRubrikReferens"/>
      </w:rPr>
      <w:t>Utskottet</w:t>
    </w:r>
  </w:p>
  <w:p w:rsidR="005F425D" w:rsidRPr="0082092B" w:rsidRDefault="005F425D">
    <w:pPr>
      <w:pStyle w:val="SidhuvudKantJmn"/>
      <w:framePr w:w="8957" w:h="624" w:hRule="exact" w:vSpace="0" w:wrap="around" w:vAnchor="page" w:y="171" w:anchorLock="0"/>
    </w:pPr>
  </w:p>
  <w:p w:rsidR="005F425D" w:rsidRPr="0082092B" w:rsidRDefault="005F425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Udda"/>
      <w:framePr w:w="8957" w:h="624" w:hRule="exact" w:vSpace="0" w:wrap="around" w:vAnchor="page" w:y="171" w:anchorLock="0"/>
    </w:pPr>
    <w:r w:rsidRPr="0082092B">
      <w:rPr>
        <w:rStyle w:val="SidhuvudRubrikReferens"/>
      </w:rPr>
      <w:t>Utskottet</w:t>
    </w:r>
    <w:r w:rsidRPr="0082092B">
      <w:rPr>
        <w:rStyle w:val="SidhuvudBilaga"/>
      </w:rPr>
      <w:t xml:space="preserve"> </w:t>
    </w:r>
    <w:r w:rsidRPr="0082092B">
      <w:t xml:space="preserve">     </w:t>
    </w:r>
    <w:r w:rsidRPr="0082092B">
      <w:rPr>
        <w:rStyle w:val="SidhuvudUtskott"/>
      </w:rPr>
      <w:t>2001/02:FiU7y</w:t>
    </w:r>
  </w:p>
  <w:p w:rsidR="005F425D" w:rsidRPr="0082092B" w:rsidRDefault="005F425D">
    <w:pPr>
      <w:pStyle w:val="SidhuvudKantUdda"/>
      <w:framePr w:w="8957" w:h="624" w:hRule="exact" w:vSpace="0" w:wrap="around" w:vAnchor="page" w:y="171" w:anchorLock="0"/>
    </w:pPr>
  </w:p>
  <w:p w:rsidR="005F425D" w:rsidRPr="0082092B" w:rsidRDefault="005F425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Udda"/>
      <w:framePr w:w="8957" w:h="624" w:hRule="exact" w:vSpace="0" w:wrap="around" w:vAnchor="page" w:y="171" w:anchorLock="0"/>
    </w:pPr>
    <w:r w:rsidRPr="0082092B">
      <w:t xml:space="preserve">  </w:t>
    </w:r>
    <w:r w:rsidRPr="0082092B">
      <w:rPr>
        <w:rStyle w:val="SidhuvudUtskott"/>
      </w:rPr>
      <w:t>2001/02:FiU7y</w:t>
    </w:r>
  </w:p>
  <w:p w:rsidR="005F425D" w:rsidRPr="0082092B" w:rsidRDefault="005F425D">
    <w:pPr>
      <w:pStyle w:val="SidhuvudKantUdda"/>
      <w:framePr w:w="8957" w:h="624" w:hRule="exact" w:vSpace="0" w:wrap="around" w:vAnchor="page" w:y="171" w:anchorLock="0"/>
    </w:pPr>
  </w:p>
  <w:p w:rsidR="005F425D" w:rsidRPr="0082092B" w:rsidRDefault="005F425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Jmn"/>
      <w:framePr w:w="8732" w:h="567" w:hRule="exact" w:vSpace="0" w:wrap="around" w:vAnchor="page" w:y="341" w:anchorLock="0"/>
    </w:pPr>
    <w:r w:rsidRPr="0082092B">
      <w:rPr>
        <w:rStyle w:val="SidhuvudUtskott"/>
      </w:rPr>
      <w:t>2001/02:FiU7y</w:t>
    </w:r>
    <w:r w:rsidRPr="0082092B">
      <w:t xml:space="preserve">     </w:t>
    </w:r>
    <w:r w:rsidRPr="0082092B">
      <w:rPr>
        <w:rStyle w:val="SidhuvudBilaga"/>
      </w:rPr>
      <w:t xml:space="preserve"> </w:t>
    </w:r>
    <w:r w:rsidRPr="0082092B">
      <w:rPr>
        <w:rStyle w:val="SidhuvudRubrikReferens"/>
      </w:rPr>
      <w:t>Avvikande meningar</w:t>
    </w:r>
  </w:p>
  <w:p w:rsidR="005F425D" w:rsidRPr="0082092B" w:rsidRDefault="005F425D">
    <w:pPr>
      <w:pStyle w:val="SidhuvudKantJmn"/>
      <w:framePr w:w="8732" w:h="567" w:hRule="exact" w:vSpace="0" w:wrap="around" w:vAnchor="page" w:y="341" w:anchorLock="0"/>
    </w:pPr>
  </w:p>
  <w:p w:rsidR="005F425D" w:rsidRPr="0082092B" w:rsidRDefault="005F425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Udda"/>
      <w:framePr w:w="8732" w:h="567" w:hRule="exact" w:vSpace="0" w:wrap="around" w:vAnchor="page" w:y="341" w:anchorLock="0"/>
    </w:pPr>
    <w:r w:rsidRPr="0082092B">
      <w:rPr>
        <w:rStyle w:val="SidhuvudRubrikReferens"/>
      </w:rPr>
      <w:t>Avvikande meningar</w:t>
    </w:r>
    <w:r w:rsidRPr="0082092B">
      <w:rPr>
        <w:rStyle w:val="SidhuvudBilaga"/>
      </w:rPr>
      <w:t xml:space="preserve"> </w:t>
    </w:r>
    <w:r w:rsidRPr="0082092B">
      <w:t xml:space="preserve">     </w:t>
    </w:r>
    <w:r w:rsidRPr="0082092B">
      <w:rPr>
        <w:rStyle w:val="SidhuvudUtskott"/>
      </w:rPr>
      <w:t>2001/02:FiU7y</w:t>
    </w:r>
  </w:p>
  <w:p w:rsidR="005F425D" w:rsidRPr="0082092B" w:rsidRDefault="005F425D">
    <w:pPr>
      <w:pStyle w:val="SidhuvudKantUdda"/>
      <w:framePr w:w="8732" w:h="567" w:hRule="exact" w:vSpace="0" w:wrap="around" w:vAnchor="page" w:y="341" w:anchorLock="0"/>
    </w:pPr>
  </w:p>
  <w:p w:rsidR="005F425D" w:rsidRPr="0082092B" w:rsidRDefault="005F425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D" w:rsidRPr="0082092B" w:rsidRDefault="005F425D">
    <w:pPr>
      <w:pStyle w:val="SidhuvudKantUdda"/>
      <w:framePr w:w="8732" w:h="567" w:hRule="exact" w:vSpace="0" w:wrap="around" w:vAnchor="page" w:y="341" w:anchorLock="0"/>
    </w:pPr>
    <w:r w:rsidRPr="0082092B">
      <w:t xml:space="preserve">  </w:t>
    </w:r>
    <w:r w:rsidRPr="0082092B">
      <w:rPr>
        <w:rStyle w:val="SidhuvudUtskott"/>
      </w:rPr>
      <w:t>2001/02:FiU7y</w:t>
    </w:r>
  </w:p>
  <w:p w:rsidR="005F425D" w:rsidRPr="0082092B" w:rsidRDefault="005F425D">
    <w:pPr>
      <w:pStyle w:val="SidhuvudKantUdda"/>
      <w:framePr w:w="8732" w:h="567" w:hRule="exact" w:vSpace="0" w:wrap="around" w:vAnchor="page" w:y="341" w:anchorLock="0"/>
    </w:pPr>
  </w:p>
  <w:p w:rsidR="005F425D" w:rsidRPr="0082092B" w:rsidRDefault="005F425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CAC0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210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F4C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5E92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7853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1082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F05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4629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92E5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66DD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E155BC5"/>
    <w:multiLevelType w:val="singleLevel"/>
    <w:tmpl w:val="D5E07CA2"/>
    <w:lvl w:ilvl="0">
      <w:start w:val="10"/>
      <w:numFmt w:val="decimal"/>
      <w:lvlText w:val="%1"/>
      <w:lvlJc w:val="left"/>
      <w:pPr>
        <w:tabs>
          <w:tab w:val="num" w:pos="1305"/>
        </w:tabs>
        <w:ind w:left="1305" w:hanging="1305"/>
      </w:pPr>
      <w:rPr>
        <w:rFonts w:hint="default"/>
      </w:rPr>
    </w:lvl>
  </w:abstractNum>
  <w:abstractNum w:abstractNumId="18" w15:restartNumberingAfterBreak="0">
    <w:nsid w:val="136E18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0" w15:restartNumberingAfterBreak="0">
    <w:nsid w:val="175A0783"/>
    <w:multiLevelType w:val="singleLevel"/>
    <w:tmpl w:val="5A722D82"/>
    <w:lvl w:ilvl="0">
      <w:start w:val="1"/>
      <w:numFmt w:val="decimal"/>
      <w:lvlRestart w:val="0"/>
      <w:lvlText w:val="%1."/>
      <w:lvlJc w:val="left"/>
      <w:pPr>
        <w:tabs>
          <w:tab w:val="num" w:pos="340"/>
        </w:tabs>
        <w:ind w:left="340" w:hanging="340"/>
      </w:pPr>
    </w:lvl>
  </w:abstractNum>
  <w:abstractNum w:abstractNumId="21" w15:restartNumberingAfterBreak="0">
    <w:nsid w:val="1DE33613"/>
    <w:multiLevelType w:val="singleLevel"/>
    <w:tmpl w:val="07022C54"/>
    <w:lvl w:ilvl="0">
      <w:start w:val="1"/>
      <w:numFmt w:val="decimal"/>
      <w:lvlRestart w:val="0"/>
      <w:lvlText w:val="%1."/>
      <w:lvlJc w:val="left"/>
      <w:pPr>
        <w:tabs>
          <w:tab w:val="num" w:pos="340"/>
        </w:tabs>
        <w:ind w:left="340" w:hanging="340"/>
      </w:pPr>
    </w:lvl>
  </w:abstractNum>
  <w:abstractNum w:abstractNumId="22" w15:restartNumberingAfterBreak="0">
    <w:nsid w:val="386E12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9F6179"/>
    <w:multiLevelType w:val="singleLevel"/>
    <w:tmpl w:val="5234F638"/>
    <w:lvl w:ilvl="0">
      <w:start w:val="2002"/>
      <w:numFmt w:val="bullet"/>
      <w:lvlText w:val="-"/>
      <w:lvlJc w:val="left"/>
      <w:pPr>
        <w:tabs>
          <w:tab w:val="num" w:pos="360"/>
        </w:tabs>
        <w:ind w:left="360" w:hanging="360"/>
      </w:pPr>
      <w:rPr>
        <w:rFonts w:hint="default"/>
      </w:rPr>
    </w:lvl>
  </w:abstractNum>
  <w:abstractNum w:abstractNumId="24" w15:restartNumberingAfterBreak="0">
    <w:nsid w:val="499065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A7E7B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EE4381"/>
    <w:multiLevelType w:val="singleLevel"/>
    <w:tmpl w:val="F6EC6592"/>
    <w:lvl w:ilvl="0">
      <w:start w:val="1"/>
      <w:numFmt w:val="decimal"/>
      <w:lvlText w:val="%1."/>
      <w:lvlJc w:val="left"/>
      <w:pPr>
        <w:tabs>
          <w:tab w:val="num" w:pos="587"/>
        </w:tabs>
        <w:ind w:left="587" w:hanging="360"/>
      </w:pPr>
      <w:rPr>
        <w:rFonts w:hint="default"/>
      </w:rPr>
    </w:lvl>
  </w:abstractNum>
  <w:abstractNum w:abstractNumId="27" w15:restartNumberingAfterBreak="0">
    <w:nsid w:val="4F7E4F64"/>
    <w:multiLevelType w:val="singleLevel"/>
    <w:tmpl w:val="5234F638"/>
    <w:lvl w:ilvl="0">
      <w:start w:val="9"/>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ABC353B"/>
    <w:multiLevelType w:val="singleLevel"/>
    <w:tmpl w:val="652CC330"/>
    <w:lvl w:ilvl="0">
      <w:start w:val="1"/>
      <w:numFmt w:val="decimal"/>
      <w:lvlRestart w:val="0"/>
      <w:lvlText w:val="%1."/>
      <w:lvlJc w:val="left"/>
      <w:pPr>
        <w:tabs>
          <w:tab w:val="num" w:pos="340"/>
        </w:tabs>
        <w:ind w:left="340" w:hanging="340"/>
      </w:pPr>
    </w:lvl>
  </w:abstractNum>
  <w:abstractNum w:abstractNumId="29" w15:restartNumberingAfterBreak="0">
    <w:nsid w:val="6F846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FC3130"/>
    <w:multiLevelType w:val="singleLevel"/>
    <w:tmpl w:val="92B4903A"/>
    <w:lvl w:ilvl="0">
      <w:start w:val="1"/>
      <w:numFmt w:val="decimal"/>
      <w:lvlText w:val="%1."/>
      <w:lvlJc w:val="left"/>
      <w:pPr>
        <w:tabs>
          <w:tab w:val="num" w:pos="587"/>
        </w:tabs>
        <w:ind w:left="587" w:hanging="360"/>
      </w:pPr>
      <w:rPr>
        <w:rFonts w:hint="default"/>
      </w:rPr>
    </w:lvl>
  </w:abstractNum>
  <w:num w:numId="1" w16cid:durableId="392046095">
    <w:abstractNumId w:val="19"/>
  </w:num>
  <w:num w:numId="2" w16cid:durableId="1425492488">
    <w:abstractNumId w:val="17"/>
  </w:num>
  <w:num w:numId="3" w16cid:durableId="1426999951">
    <w:abstractNumId w:val="20"/>
  </w:num>
  <w:num w:numId="4" w16cid:durableId="488638578">
    <w:abstractNumId w:val="21"/>
  </w:num>
  <w:num w:numId="5" w16cid:durableId="507984516">
    <w:abstractNumId w:val="28"/>
  </w:num>
  <w:num w:numId="6" w16cid:durableId="286401030">
    <w:abstractNumId w:val="11"/>
  </w:num>
  <w:num w:numId="7" w16cid:durableId="1972830257">
    <w:abstractNumId w:val="27"/>
  </w:num>
  <w:num w:numId="8" w16cid:durableId="65303300">
    <w:abstractNumId w:val="10"/>
  </w:num>
  <w:num w:numId="9" w16cid:durableId="777414100">
    <w:abstractNumId w:val="8"/>
  </w:num>
  <w:num w:numId="10" w16cid:durableId="1392001294">
    <w:abstractNumId w:val="3"/>
  </w:num>
  <w:num w:numId="11" w16cid:durableId="1828009743">
    <w:abstractNumId w:val="2"/>
  </w:num>
  <w:num w:numId="12" w16cid:durableId="1823349767">
    <w:abstractNumId w:val="1"/>
  </w:num>
  <w:num w:numId="13" w16cid:durableId="1606812647">
    <w:abstractNumId w:val="0"/>
  </w:num>
  <w:num w:numId="14" w16cid:durableId="1890874040">
    <w:abstractNumId w:val="9"/>
  </w:num>
  <w:num w:numId="15" w16cid:durableId="1005787815">
    <w:abstractNumId w:val="7"/>
  </w:num>
  <w:num w:numId="16" w16cid:durableId="943534899">
    <w:abstractNumId w:val="6"/>
  </w:num>
  <w:num w:numId="17" w16cid:durableId="1923099216">
    <w:abstractNumId w:val="5"/>
  </w:num>
  <w:num w:numId="18" w16cid:durableId="151989335">
    <w:abstractNumId w:val="4"/>
  </w:num>
  <w:num w:numId="19" w16cid:durableId="884751887">
    <w:abstractNumId w:val="23"/>
  </w:num>
  <w:num w:numId="20" w16cid:durableId="375738538">
    <w:abstractNumId w:val="12"/>
    <w:lvlOverride w:ilvl="0"/>
    <w:lvlOverride w:ilvl="1"/>
    <w:lvlOverride w:ilvl="2"/>
    <w:lvlOverride w:ilvl="3">
      <w:startOverride w:val="1"/>
    </w:lvlOverride>
    <w:lvlOverride w:ilvl="4"/>
    <w:lvlOverride w:ilvl="5"/>
    <w:lvlOverride w:ilvl="6"/>
    <w:lvlOverride w:ilvl="7"/>
  </w:num>
  <w:num w:numId="21" w16cid:durableId="1334527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897017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50798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883667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63397816">
    <w:abstractNumId w:val="11"/>
    <w:lvlOverride w:ilvl="0">
      <w:lvl w:ilvl="0">
        <w:numFmt w:val="bullet"/>
        <w:lvlText w:val=""/>
        <w:legacy w:legacy="1" w:legacySpace="0" w:legacyIndent="360"/>
        <w:lvlJc w:val="left"/>
        <w:pPr>
          <w:ind w:left="720" w:hanging="360"/>
        </w:pPr>
        <w:rPr>
          <w:rFonts w:ascii="Symbol" w:hAnsi="Symbol" w:hint="default"/>
        </w:rPr>
      </w:lvl>
    </w:lvlOverride>
  </w:num>
  <w:num w:numId="26" w16cid:durableId="25520305">
    <w:abstractNumId w:val="26"/>
  </w:num>
  <w:num w:numId="27" w16cid:durableId="574241952">
    <w:abstractNumId w:val="30"/>
  </w:num>
  <w:num w:numId="28" w16cid:durableId="305479540">
    <w:abstractNumId w:val="24"/>
  </w:num>
  <w:num w:numId="29" w16cid:durableId="314723763">
    <w:abstractNumId w:val="18"/>
  </w:num>
  <w:num w:numId="30" w16cid:durableId="615331687">
    <w:abstractNumId w:val="25"/>
  </w:num>
  <w:num w:numId="31" w16cid:durableId="674305387">
    <w:abstractNumId w:val="22"/>
  </w:num>
  <w:num w:numId="32" w16cid:durableId="15071348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B11521"/>
    <w:rsid w:val="005F425D"/>
    <w:rsid w:val="0082092B"/>
    <w:rsid w:val="00B115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5FAF5-1BE3-4621-8136-F07FF285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7531</Words>
  <Characters>45792</Characters>
  <Application>Microsoft Office Word</Application>
  <DocSecurity>4</DocSecurity>
  <Lines>848</Lines>
  <Paragraphs>248</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Finansutskottets yttrande</vt:lpstr>
      <vt:lpstr/>
      <vt:lpstr>Till utrikesutskottet</vt:lpstr>
      <vt:lpstr>    Regeringens skrivelser</vt:lpstr>
      <vt:lpstr>3 EU:s utvidgning, i vad avser</vt:lpstr>
      <vt:lpstr>11 Fri rörlighet för tjänster och kapital, i vad avser</vt:lpstr>
      <vt:lpstr>17 Konsumentpolitik, i vad avser </vt:lpstr>
      <vt:lpstr>42 Institutionernas verksamhet, i vad avser</vt:lpstr>
      <vt:lpstr>Utskottet</vt:lpstr>
      <vt:lpstr>    Relationerna mellan EMU-medlemmar och icke-EMU-medlemmar</vt:lpstr>
      <vt:lpstr>Motionen</vt:lpstr>
      <vt:lpstr>Bakgrund</vt:lpstr>
      <vt:lpstr>Finansutskottets ställningstagande </vt:lpstr>
      <vt:lpstr>    Europeiska centralbankens ställning</vt:lpstr>
      <vt:lpstr>Motionen</vt:lpstr>
      <vt:lpstr>Bakgrund</vt:lpstr>
      <vt:lpstr>Finansutskottets ställningstagande</vt:lpstr>
      <vt:lpstr>    Maastrichtfördraget</vt:lpstr>
      <vt:lpstr>Motionen</vt:lpstr>
      <vt:lpstr>Regeringens skrivelser</vt:lpstr>
      <vt:lpstr>Finansutskottets ställningstagande</vt:lpstr>
      <vt:lpstr>    Sveriges inflytande i EU</vt:lpstr>
      <vt:lpstr>Motionen</vt:lpstr>
      <vt:lpstr>Finansutskottets ställningstagande</vt:lpstr>
      <vt:lpstr>    EU:s budget</vt:lpstr>
      <vt:lpstr>Motionen</vt:lpstr>
      <vt:lpstr>Bakgrund om EU:s budget </vt:lpstr>
      <vt:lpstr>Åtgärder för att stärka kampen mot bedrägerier</vt:lpstr>
      <vt:lpstr>Åtgärder för förbättrad styrning och kontroll</vt:lpstr>
      <vt:lpstr>Finansutskottets ställningstagande</vt:lpstr>
      <vt:lpstr>    Miljöfrågor: Gröna räkenskaper och gröna nyckeltal</vt:lpstr>
      <vt:lpstr>Motionen</vt:lpstr>
      <vt:lpstr>Regeringens skrivelse om ordförandeskapet</vt:lpstr>
      <vt:lpstr>Pågående arbete</vt:lpstr>
      <vt:lpstr>Finansutskottets ställningstagande</vt:lpstr>
      <vt:lpstr>Stockholm den 16 april 2002</vt:lpstr>
      <vt:lpstr>Avvikande meningar</vt:lpstr>
      <vt:lpstr>        1. Relationerna mellan EMU-medlemmar och icke-EMU-medlemmar (v, mp) </vt:lpstr>
      <vt:lpstr>        2. Europeiska centralbankens ställning (v, mp)</vt:lpstr>
      <vt:lpstr>        3. Maastrichtfördraget (v, mp)</vt:lpstr>
      <vt:lpstr>        4. Sveriges inflytande i EU (v)</vt:lpstr>
      <vt:lpstr>        5. Sveriges inflytande i EU (mp)</vt:lpstr>
      <vt:lpstr>        6. EU:s budget (m, fp)</vt:lpstr>
      <vt:lpstr>        7. Miljöfrågor: Gröna räkenskaper och gröna nyckeltal (v, mp)</vt:lpstr>
      <vt:lpstr>Särskilda yttranden</vt:lpstr>
      <vt:lpstr>        1. EU:s budget (v, mp)</vt:lpstr>
      <vt:lpstr>        2. Majoritetsbeslut beträffande koldioxidskatter (kd, fp)</vt:lpstr>
      <vt:lpstr>        3. Sveriges ordförandeskap i EU (c)</vt:lpstr>
    </vt:vector>
  </TitlesOfParts>
  <Company>Riksdagen</Company>
  <LinksUpToDate>false</LinksUpToDate>
  <CharactersWithSpaces>53075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2002-04-26T13:12:00Z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