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8A1" w:rsidRPr="005418A1" w:rsidRDefault="005418A1">
      <w:pPr>
        <w:pStyle w:val="Frslagsrubrik"/>
        <w:shd w:val="clear" w:color="000000" w:fill="auto"/>
      </w:pPr>
      <w:r w:rsidRPr="005418A1">
        <w:t>Förslag till riksdagsbeslut</w:t>
      </w:r>
    </w:p>
    <w:p w:rsidR="005418A1" w:rsidRPr="005418A1" w:rsidRDefault="005418A1">
      <w:pPr>
        <w:pStyle w:val="Hemstlatt"/>
        <w:numPr>
          <w:ilvl w:val="0"/>
          <w:numId w:val="1"/>
        </w:numPr>
        <w:shd w:val="clear" w:color="000000" w:fill="auto"/>
      </w:pPr>
      <w:r w:rsidRPr="005418A1">
        <w:t>Riksdagen beslutar att återställa 5 § andra stycket lagen (1999:678) om utstationering av arbetstagare till den lydelse som gällde före SFS (2010:228).</w:t>
      </w:r>
    </w:p>
    <w:p w:rsidR="005418A1" w:rsidRPr="005418A1" w:rsidRDefault="005418A1">
      <w:pPr>
        <w:pStyle w:val="Hemstlatt"/>
        <w:numPr>
          <w:ilvl w:val="0"/>
          <w:numId w:val="1"/>
        </w:numPr>
        <w:shd w:val="clear" w:color="000000" w:fill="auto"/>
      </w:pPr>
      <w:r w:rsidRPr="005418A1">
        <w:t>Riksdagen beslutar att 5 a § lagen (1999:678) om utstati</w:t>
      </w:r>
      <w:r w:rsidRPr="005418A1">
        <w:t>o</w:t>
      </w:r>
      <w:r w:rsidRPr="005418A1">
        <w:t>nering av arbetstagare upphävs och erhåller en ny följande lydelse: 5 a § En stridsåtgärd mot en arbetsgivare i syfte att genom kollektiva</w:t>
      </w:r>
      <w:r w:rsidRPr="005418A1">
        <w:t>v</w:t>
      </w:r>
      <w:r w:rsidRPr="005418A1">
        <w:t>tal få till stånd en reglering av villkoren för utstationerade arbetstag</w:t>
      </w:r>
      <w:r w:rsidRPr="005418A1">
        <w:t>a</w:t>
      </w:r>
      <w:r w:rsidRPr="005418A1">
        <w:t>re får vidtas endast om de villkor som krävs</w:t>
      </w:r>
      <w:r w:rsidRPr="005418A1">
        <w:br/>
        <w:t>1. motsvarar villkoren i ett centralt kollektivavtal som tillämpas i hela Sverige på motsvarande arbetstagare i den aktuella branschen,</w:t>
      </w:r>
      <w:r w:rsidRPr="005418A1">
        <w:br/>
        <w:t>2. bara avser minimilön eller andra villkor på de områden som avses i 5 §, och</w:t>
      </w:r>
      <w:r w:rsidRPr="005418A1">
        <w:br/>
        <w:t xml:space="preserve">3. minst motsvarar det som följer av 5 </w:t>
      </w:r>
      <w:r w:rsidRPr="005418A1">
        <w:t>§ för arbetstagarna. En sådan stridsåtgärd får dock vidtas utan hinder av stycke 1 om stridsåtgärden syftar till att ta till vara medlems intresse.</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att riva upp lex Laval.</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att tillsätta en utredning om lex Laval där arbetsmarknadens parter inbjuds att delta.</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bevisregeln.</w:t>
      </w:r>
    </w:p>
    <w:p w:rsidR="005418A1" w:rsidRPr="005418A1" w:rsidRDefault="005418A1">
      <w:pPr>
        <w:pStyle w:val="Hemstlatt"/>
        <w:numPr>
          <w:ilvl w:val="0"/>
          <w:numId w:val="1"/>
        </w:numPr>
        <w:shd w:val="clear" w:color="000000" w:fill="auto"/>
      </w:pPr>
      <w:r w:rsidRPr="005418A1">
        <w:t>Riksdagen tillkännager för regeringen som sin mening vad som anförs i motionen avseende skadestånd och försäkring att det i lagen (1999:678) om utstationering av arbetstagare införs en b</w:t>
      </w:r>
      <w:r w:rsidRPr="005418A1">
        <w:t>e</w:t>
      </w:r>
      <w:r w:rsidRPr="005418A1">
        <w:t>stämmelse som klargör att det är tillåtet att genom stridsåtgärder fö</w:t>
      </w:r>
      <w:r w:rsidRPr="005418A1">
        <w:t>r</w:t>
      </w:r>
      <w:r w:rsidRPr="005418A1">
        <w:t>må arbetsgivare att teckna försäkringar.</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att regeringen ska agera för att initiativ tas på EU-nivå för att förändra delar av utstationeringsdirekt</w:t>
      </w:r>
      <w:r w:rsidRPr="005418A1">
        <w:t>i</w:t>
      </w:r>
      <w:r w:rsidRPr="005418A1">
        <w:t>vet.</w:t>
      </w:r>
    </w:p>
    <w:p w:rsidR="005418A1" w:rsidRPr="005418A1" w:rsidRDefault="005418A1">
      <w:pPr>
        <w:pStyle w:val="Hemstlatt"/>
        <w:numPr>
          <w:ilvl w:val="0"/>
          <w:numId w:val="1"/>
        </w:numPr>
        <w:shd w:val="clear" w:color="000000" w:fill="auto"/>
      </w:pPr>
      <w:r w:rsidRPr="005418A1">
        <w:lastRenderedPageBreak/>
        <w:t>Riksdagen tillkännager för regeringen som sin mening vad som anförs i motionen om att regeringen aktivt i EU driver frågan om ett socialt protokoll.</w:t>
      </w:r>
      <w:r w:rsidRPr="005418A1">
        <w:rPr>
          <w:rStyle w:val="Fotnotsreferens"/>
        </w:rPr>
        <w:t>1</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att regeringen aktivt agerar för att unda</w:t>
      </w:r>
      <w:r w:rsidRPr="005418A1">
        <w:t>n</w:t>
      </w:r>
      <w:r w:rsidRPr="005418A1">
        <w:t>röja hotet om löne- och villkorsdumpning i Sverige och Eur</w:t>
      </w:r>
      <w:r w:rsidRPr="005418A1">
        <w:t>o</w:t>
      </w:r>
      <w:r w:rsidRPr="005418A1">
        <w:t>pa</w:t>
      </w:r>
      <w:r w:rsidRPr="005418A1">
        <w:rPr>
          <w:color w:val="000000"/>
        </w:rPr>
        <w:t>.</w:t>
      </w:r>
    </w:p>
    <w:p w:rsidR="005418A1" w:rsidRPr="005418A1" w:rsidRDefault="005418A1">
      <w:pPr>
        <w:pStyle w:val="Hemstlatt"/>
        <w:numPr>
          <w:ilvl w:val="0"/>
          <w:numId w:val="1"/>
        </w:numPr>
        <w:shd w:val="clear" w:color="000000" w:fill="auto"/>
      </w:pPr>
      <w:r w:rsidRPr="005418A1">
        <w:t>Riksdagen tillkännager för regeringen som sin mening vad som anförs i motionen om att ratificera ILO 94.</w:t>
      </w: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p>
    <w:p w:rsidR="005418A1" w:rsidRPr="005418A1" w:rsidRDefault="005418A1">
      <w:pPr>
        <w:shd w:val="clear" w:color="000000" w:fill="auto"/>
      </w:pPr>
      <w:r w:rsidRPr="005418A1">
        <w:rPr>
          <w:rStyle w:val="Fotnotsreferens"/>
        </w:rPr>
        <w:t>1</w:t>
      </w:r>
      <w:r w:rsidRPr="005418A1">
        <w:t xml:space="preserve"> Yrkande 8 hänvisat till UU.</w:t>
      </w:r>
    </w:p>
    <w:p w:rsidR="005418A1" w:rsidRPr="005418A1" w:rsidRDefault="005418A1">
      <w:pPr>
        <w:pStyle w:val="Rubrik1"/>
        <w:pageBreakBefore/>
        <w:shd w:val="clear" w:color="000000" w:fill="auto"/>
        <w:spacing w:before="0"/>
      </w:pPr>
      <w:r w:rsidRPr="005418A1">
        <w:t>Motivering</w:t>
      </w:r>
    </w:p>
    <w:p w:rsidR="005418A1" w:rsidRPr="005418A1" w:rsidRDefault="005418A1">
      <w:pPr>
        <w:shd w:val="clear" w:color="000000" w:fill="auto"/>
      </w:pPr>
      <w:r w:rsidRPr="005418A1">
        <w:t>I Sverige ska svenska kollektivavtal tillämpas. Men efter den så kallade L</w:t>
      </w:r>
      <w:r w:rsidRPr="005418A1">
        <w:t>a</w:t>
      </w:r>
      <w:r w:rsidRPr="005418A1">
        <w:t>valdomen måste regelverket som omger kollektivavtalen stärkas. Vi menar att lex Laval</w:t>
      </w:r>
      <w:r w:rsidRPr="005418A1">
        <w:rPr>
          <w:rStyle w:val="Fotnotsreferens"/>
        </w:rPr>
        <w:footnoteReference w:id="2"/>
      </w:r>
      <w:r w:rsidRPr="005418A1">
        <w:t xml:space="preserve"> innehåller en rad allvarliga brister. En förutsättning för de fackliga organisationerna att få kollektivavtal till stånd är den grundlagsskyddade konflikträtten. Den rätten har regeringen inskränkt genom att begränsa mö</w:t>
      </w:r>
      <w:r w:rsidRPr="005418A1">
        <w:t>j</w:t>
      </w:r>
      <w:r w:rsidRPr="005418A1">
        <w:t>ligheten att vidta stridsåtgärder mot en utländsk arbetsgivare som utstation</w:t>
      </w:r>
      <w:r w:rsidRPr="005418A1">
        <w:t>e</w:t>
      </w:r>
      <w:r w:rsidRPr="005418A1">
        <w:t>rar arbetskraft i Sverige. Lex Laval innebär även att utländska arbetstagare löper stor risk att arbeta oförsäkrade på svenska arbetsplatser, eftersom det inte går att ställa krav på arbetsgivare att utstationerade</w:t>
      </w:r>
      <w:r w:rsidRPr="005418A1">
        <w:t xml:space="preserve"> arbetstagare ska fö</w:t>
      </w:r>
      <w:r w:rsidRPr="005418A1">
        <w:t>r</w:t>
      </w:r>
      <w:r w:rsidRPr="005418A1">
        <w:t>säkras på samma sätt som svenska arbetstagare. En utländsk arbetstagare kan därmed bli helt utan ersättning i samband med en olycka med invaliditet som utgång, om inte arbetsgivaren kan betala skadestånd. Vi socialdemokrater vill riva upp lex Laval så att lika löne- och anställningsvillkor kan gälla för alla som jobbar i Sverige.</w:t>
      </w:r>
      <w:r w:rsidRPr="005418A1">
        <w:rPr>
          <w:rStyle w:val="Fotnotsreferens"/>
        </w:rPr>
        <w:footnoteReference w:id="3"/>
      </w:r>
      <w:r w:rsidRPr="005418A1">
        <w:t xml:space="preserve"> Vi vill också säkerställa att utländska företag som har verksamhet i Sverige registrerar sin närvaro här och att dessa företag har en behörig representant på plats så att det är möjligt för de fackliga organisati</w:t>
      </w:r>
      <w:r w:rsidRPr="005418A1">
        <w:t>o</w:t>
      </w:r>
      <w:r w:rsidRPr="005418A1">
        <w:t>nerna att teckna kollektivavtal.</w:t>
      </w:r>
      <w:r w:rsidRPr="005418A1">
        <w:rPr>
          <w:rStyle w:val="Fotnotsreferens"/>
        </w:rPr>
        <w:footnoteReference w:id="4"/>
      </w:r>
    </w:p>
    <w:p w:rsidR="005418A1" w:rsidRPr="005418A1" w:rsidRDefault="005418A1">
      <w:pPr>
        <w:pStyle w:val="Normaltindrag"/>
        <w:shd w:val="clear" w:color="000000" w:fill="auto"/>
      </w:pPr>
      <w:r w:rsidRPr="005418A1">
        <w:t>Den svenska arbetsmarknaden vilar på en omfattande autonomi för a</w:t>
      </w:r>
      <w:r w:rsidRPr="005418A1">
        <w:t>r</w:t>
      </w:r>
      <w:r w:rsidRPr="005418A1">
        <w:t>betsmarknadens parter. Den grundläggande principen på svensk arbetsmar</w:t>
      </w:r>
      <w:r w:rsidRPr="005418A1">
        <w:t>k</w:t>
      </w:r>
      <w:r w:rsidRPr="005418A1">
        <w:t>nad är att huvudansvaret för regleringen av löne- och anställningsvillkor har överlåtits på arbetsmarknadens parter. Det är dessutom klart från EG-domstolens dom i Lavalmålet (p. 68) att det står medlemsstaterna fritt att välja andra system, för att fastställa löne- och anställningsvillkor, än de som uttryckligen följer av utstationeringsdirektivet, däribland den svenska mode</w:t>
      </w:r>
      <w:r w:rsidRPr="005418A1">
        <w:t>l</w:t>
      </w:r>
      <w:r w:rsidRPr="005418A1">
        <w:t xml:space="preserve">len. </w:t>
      </w:r>
    </w:p>
    <w:p w:rsidR="005418A1" w:rsidRPr="005418A1" w:rsidRDefault="005418A1">
      <w:pPr>
        <w:pStyle w:val="Normaltindrag"/>
        <w:shd w:val="clear" w:color="000000" w:fill="auto"/>
      </w:pPr>
      <w:r w:rsidRPr="005418A1">
        <w:t>Socialdemokratin står för människors lika värde och rät</w:t>
      </w:r>
      <w:r w:rsidRPr="005418A1">
        <w:t>t, vilken är en grundbult även för fackföreningsrörelsen. Principen om lika lön för lika arb</w:t>
      </w:r>
      <w:r w:rsidRPr="005418A1">
        <w:t>e</w:t>
      </w:r>
      <w:r w:rsidRPr="005418A1">
        <w:t xml:space="preserve">te utgör tvingande rättsregler såväl nationellt som inom EU-rätten. </w:t>
      </w:r>
    </w:p>
    <w:p w:rsidR="005418A1" w:rsidRPr="005418A1" w:rsidRDefault="005418A1">
      <w:pPr>
        <w:pStyle w:val="Normaltindrag"/>
        <w:shd w:val="clear" w:color="000000" w:fill="auto"/>
      </w:pPr>
      <w:r w:rsidRPr="005418A1">
        <w:t>Denna princip kommer exempelvis till uttryck i FEUF:s artikel 157 och 45.2, i artikel 7.1 i förordning 1612/68 samt senast i det antagna bemanning</w:t>
      </w:r>
      <w:r w:rsidRPr="005418A1">
        <w:t>s</w:t>
      </w:r>
      <w:r w:rsidRPr="005418A1">
        <w:t xml:space="preserve">direktivet. En sådan grundläggande rättsprincip är i linje med såväl nationell rätt (diskrimineringslagstiftning, kollektivavtal, anställningsskyddslag m.m.) som EU-rätt. </w:t>
      </w:r>
    </w:p>
    <w:p w:rsidR="005418A1" w:rsidRPr="005418A1" w:rsidRDefault="005418A1">
      <w:pPr>
        <w:pStyle w:val="Normaltindrag"/>
        <w:shd w:val="clear" w:color="000000" w:fill="auto"/>
      </w:pPr>
      <w:r w:rsidRPr="005418A1">
        <w:t>I Sverige har kollektivavtalen hög täckningsgrad och kollektivavtal har s</w:t>
      </w:r>
      <w:r w:rsidRPr="005418A1">
        <w:t>e</w:t>
      </w:r>
      <w:r w:rsidRPr="005418A1">
        <w:t>dan länge tecknats även med utländska arbetsgivare som utstationerar sin arbetskraft till Sverige på tillfällig basis. Genom kollektivavtalet garanteras konkurrensneutralitet mellan företagen och förekomsten av att individer e</w:t>
      </w:r>
      <w:r w:rsidRPr="005418A1">
        <w:t>x</w:t>
      </w:r>
      <w:r w:rsidRPr="005418A1">
        <w:t>ploateras minimeras dramatiskt då fackförbunden ges möjlighet för kontroll och efterlevnad av ingånget avtal. Det kan noteras att det är de fackliga org</w:t>
      </w:r>
      <w:r w:rsidRPr="005418A1">
        <w:t>a</w:t>
      </w:r>
      <w:r w:rsidRPr="005418A1">
        <w:t>nisationerna som övervakar den svenska arbetsmarknaden där möjligheten att teckna kollektivavtal, ytterst med hjälp av adekvata str</w:t>
      </w:r>
      <w:r w:rsidRPr="005418A1">
        <w:t xml:space="preserve">idsåtgärder, är det instrument som garanterar konkurrensneutralitet mellan arbetsgivarna samt goda arbetsvillkor och löner för arbetarna. </w:t>
      </w:r>
    </w:p>
    <w:p w:rsidR="005418A1" w:rsidRPr="005418A1" w:rsidRDefault="005418A1">
      <w:pPr>
        <w:pStyle w:val="Normaltindrag"/>
        <w:shd w:val="clear" w:color="000000" w:fill="auto"/>
      </w:pPr>
      <w:r w:rsidRPr="005418A1">
        <w:t>Med ökad internationalisering och fler utländska aktörer i Sverige krävs att regelverken som omger kollektivavtalen stärks, inte försvagas. Genom de förändringar som den borgerliga regeringen genomförde av framförallt utst</w:t>
      </w:r>
      <w:r w:rsidRPr="005418A1">
        <w:t>a</w:t>
      </w:r>
      <w:r w:rsidRPr="005418A1">
        <w:t>tioneringslagen har regeringen underminerat den svenska modellen och en diskriminering uppkommer i form av att utländska arbetstagare inte kan åtnj</w:t>
      </w:r>
      <w:r w:rsidRPr="005418A1">
        <w:t>u</w:t>
      </w:r>
      <w:r w:rsidRPr="005418A1">
        <w:t>ta samma rättigheter som inhemska arbetstagare i form av att de täcks av svenskt kollektivavtal, ytterst efter att stridsåtgärder vidtagits.</w:t>
      </w:r>
    </w:p>
    <w:p w:rsidR="005418A1" w:rsidRPr="005418A1" w:rsidRDefault="005418A1">
      <w:pPr>
        <w:pStyle w:val="Rubrik2"/>
        <w:shd w:val="clear" w:color="000000" w:fill="auto"/>
      </w:pPr>
      <w:r w:rsidRPr="005418A1">
        <w:t>Arbetstidens förläggning</w:t>
      </w:r>
    </w:p>
    <w:p w:rsidR="005418A1" w:rsidRPr="005418A1" w:rsidRDefault="005418A1">
      <w:pPr>
        <w:shd w:val="clear" w:color="000000" w:fill="auto"/>
      </w:pPr>
      <w:r w:rsidRPr="005418A1">
        <w:t>Utländska utstationerade arbetstagare har att finna sig i att deras arbetstid</w:t>
      </w:r>
      <w:r w:rsidRPr="005418A1">
        <w:t>s</w:t>
      </w:r>
      <w:r w:rsidRPr="005418A1">
        <w:t>schema kan ändras från dag till annan, eftersom regeringen har undantagit dessa arbetstagare från 12 § arbetstidslagen. 12 § arbetstidslagen garanterar en arbetstagare att, som huvudregel, personen i fråga har rätt att erhålla b</w:t>
      </w:r>
      <w:r w:rsidRPr="005418A1">
        <w:t>e</w:t>
      </w:r>
      <w:r w:rsidRPr="005418A1">
        <w:t>sked om ändringar i fråga om den ordinarie arbetstiden och jourtidens fö</w:t>
      </w:r>
      <w:r w:rsidRPr="005418A1">
        <w:t>r</w:t>
      </w:r>
      <w:r w:rsidRPr="005418A1">
        <w:t>läggning minst två veckar i förväg. Det finns inget i Lavaldomen som antyder att denna bestämmelse skulle stå i strid mot EU-rätten och det kan konstateras att regeringen återigen söker försämra för de arbetst</w:t>
      </w:r>
      <w:r w:rsidRPr="005418A1">
        <w:t>agare som utstationeras till Sverige.  Vi anser därför att den gamla lydelsen i 5 § stycket 2 lagen (1999:678) om utstationering av arbetstagare skall återinföras.</w:t>
      </w:r>
    </w:p>
    <w:p w:rsidR="005418A1" w:rsidRPr="005418A1" w:rsidRDefault="005418A1">
      <w:pPr>
        <w:pStyle w:val="Rubrik2"/>
        <w:shd w:val="clear" w:color="000000" w:fill="auto"/>
      </w:pPr>
      <w:r w:rsidRPr="005418A1">
        <w:t>Bevisregeln</w:t>
      </w:r>
    </w:p>
    <w:p w:rsidR="005418A1" w:rsidRPr="005418A1" w:rsidRDefault="005418A1">
      <w:pPr>
        <w:shd w:val="clear" w:color="000000" w:fill="auto"/>
      </w:pPr>
      <w:r w:rsidRPr="005418A1">
        <w:t>Regeringen har genomfört ytterst långtgående inskränkningar i fackliga org</w:t>
      </w:r>
      <w:r w:rsidRPr="005418A1">
        <w:t>a</w:t>
      </w:r>
      <w:r w:rsidRPr="005418A1">
        <w:t>nisationers rättigheter att vidta stridsåtgärder för att kunna teckna kollektiva</w:t>
      </w:r>
      <w:r w:rsidRPr="005418A1">
        <w:t>v</w:t>
      </w:r>
      <w:r w:rsidRPr="005418A1">
        <w:t>tal genom införande av den så kallade bevisregeln, 5 § sista stycket utstati</w:t>
      </w:r>
      <w:r w:rsidRPr="005418A1">
        <w:t>o</w:t>
      </w:r>
      <w:r w:rsidRPr="005418A1">
        <w:t xml:space="preserve">neringslagen.  </w:t>
      </w:r>
    </w:p>
    <w:p w:rsidR="005418A1" w:rsidRPr="005418A1" w:rsidRDefault="005418A1">
      <w:pPr>
        <w:pStyle w:val="Normaltindrag"/>
        <w:shd w:val="clear" w:color="000000" w:fill="auto"/>
      </w:pPr>
      <w:r w:rsidRPr="005418A1">
        <w:t>Det är inte ovanligt i vissa branscher att dubbla avtal upprättas inför en u</w:t>
      </w:r>
      <w:r w:rsidRPr="005418A1">
        <w:t>t</w:t>
      </w:r>
      <w:r w:rsidRPr="005418A1">
        <w:t>stationering till Sverige, där ett av avtalen utgör ett skenavtal med högre l</w:t>
      </w:r>
      <w:r w:rsidRPr="005418A1">
        <w:t>ö</w:t>
      </w:r>
      <w:r w:rsidRPr="005418A1">
        <w:t xml:space="preserve">nenivåer som ska visas för myndigheter och fackliga organisationer samtidigt som det verkliga avtalet på en lägre nivå hålls hemligt. Det kan således bli mycket svårt för en facklig organisation att motbevisa påståenden om att nivåerna i skenavtalet avspeglar de nivåer som i realiteten tillämpas. Regeln gör det enkelt att göra gällande fredsplikt i Arbetsdomstolen. </w:t>
      </w:r>
    </w:p>
    <w:p w:rsidR="005418A1" w:rsidRPr="005418A1" w:rsidRDefault="005418A1">
      <w:pPr>
        <w:pStyle w:val="Normaltindrag"/>
        <w:shd w:val="clear" w:color="000000" w:fill="auto"/>
      </w:pPr>
      <w:r w:rsidRPr="005418A1">
        <w:t xml:space="preserve">Bevisregeln innebär vidare att det i många fall helt kommer att </w:t>
      </w:r>
      <w:r w:rsidRPr="005418A1">
        <w:t>saknas ko</w:t>
      </w:r>
      <w:r w:rsidRPr="005418A1">
        <w:t>n</w:t>
      </w:r>
      <w:r w:rsidRPr="005418A1">
        <w:t>troll och övervakning av att utstationerande arbetsgivare följer sina arbet</w:t>
      </w:r>
      <w:r w:rsidRPr="005418A1">
        <w:t>s</w:t>
      </w:r>
      <w:r w:rsidRPr="005418A1">
        <w:t xml:space="preserve">rättsliga skyldigheter. </w:t>
      </w:r>
    </w:p>
    <w:p w:rsidR="005418A1" w:rsidRPr="005418A1" w:rsidRDefault="005418A1">
      <w:pPr>
        <w:pStyle w:val="Normaltindrag"/>
        <w:shd w:val="clear" w:color="000000" w:fill="auto"/>
      </w:pPr>
      <w:r w:rsidRPr="005418A1">
        <w:t>Enligt artikel 5 i utstationeringsdirektivet åläggs medlemsstaterna att se till att effektiva åtgärder kan vidtas vid brott mot direktivet. Sverige är således förpliktigat att säkerställa att det finns effektiva kontroll- och övervakning</w:t>
      </w:r>
      <w:r w:rsidRPr="005418A1">
        <w:t>s</w:t>
      </w:r>
      <w:r w:rsidRPr="005418A1">
        <w:t>mekanismer även för utstationerade arbetstagare. Utan kollektivavtal med en svensk facklig organisation finns det i Sverige, till skillnad mot de flesta andra medlemsländerna, ingen sådan kontroll. Att överlämna till de utstati</w:t>
      </w:r>
      <w:r w:rsidRPr="005418A1">
        <w:t>o</w:t>
      </w:r>
      <w:r w:rsidRPr="005418A1">
        <w:t>nerade arbetstagarna att helt på egen hand tillvarata sina rättigheter måste anses strida mot det grundskydd som utstationeringsdirektivet är avsett att garantera. Utan kollektivavtal finns det heller ingen påföljd för den arbetsg</w:t>
      </w:r>
      <w:r w:rsidRPr="005418A1">
        <w:t>i</w:t>
      </w:r>
      <w:r w:rsidRPr="005418A1">
        <w:t>vare som bryter mot sina skyldigheter, vilket det fi</w:t>
      </w:r>
      <w:r w:rsidRPr="005418A1">
        <w:t>nns i länder där staten svarar för övervakningen.</w:t>
      </w:r>
    </w:p>
    <w:p w:rsidR="005418A1" w:rsidRPr="005418A1" w:rsidRDefault="005418A1">
      <w:pPr>
        <w:pStyle w:val="Rubrik2"/>
        <w:shd w:val="clear" w:color="000000" w:fill="auto"/>
      </w:pPr>
      <w:r w:rsidRPr="005418A1">
        <w:t>Sveriges internationella åtaganden</w:t>
      </w:r>
    </w:p>
    <w:p w:rsidR="005418A1" w:rsidRPr="005418A1" w:rsidRDefault="005418A1">
      <w:pPr>
        <w:shd w:val="clear" w:color="000000" w:fill="auto"/>
      </w:pPr>
      <w:r w:rsidRPr="005418A1">
        <w:t>Det kan konstateras att Lavaldomen reser flera viktiga och principiella aspe</w:t>
      </w:r>
      <w:r w:rsidRPr="005418A1">
        <w:t>k</w:t>
      </w:r>
      <w:r w:rsidRPr="005418A1">
        <w:t>ter avseende förhållandet mellan fundamentala ILO-konventioner å ena sidan och EU-rätten samt svensk nationell rätt å andra sidan. Genom Lavaldomen har EU-domstolen inskränkt den fria förenings- och förhandlingsrätten samt rätten att vidtaga fackliga stridsåtgärder på ett sätt som står i strid med ILO-konventionerna nr 87 och nr 98 samt den praxis som ILO:s övervakningso</w:t>
      </w:r>
      <w:r w:rsidRPr="005418A1">
        <w:t>r</w:t>
      </w:r>
      <w:r w:rsidRPr="005418A1">
        <w:t>gan har utvecklat. Även konvention nr 154 om främjande av kollektiva fö</w:t>
      </w:r>
      <w:r w:rsidRPr="005418A1">
        <w:t>r</w:t>
      </w:r>
      <w:r w:rsidRPr="005418A1">
        <w:t>handlingar är åsidosatt. Vidare bör artikel 8.1 d i FN:s konventi</w:t>
      </w:r>
      <w:r w:rsidRPr="005418A1">
        <w:t>on om ek</w:t>
      </w:r>
      <w:r w:rsidRPr="005418A1">
        <w:t>o</w:t>
      </w:r>
      <w:r w:rsidRPr="005418A1">
        <w:t>nomiska, sociala och kulturella rättigheter uppmärksammas då bestämmelsen i fråga garanterar att staten åtar sig att säkerställa rätten att strejka under fö</w:t>
      </w:r>
      <w:r w:rsidRPr="005418A1">
        <w:t>r</w:t>
      </w:r>
      <w:r w:rsidRPr="005418A1">
        <w:t xml:space="preserve">utsättning att den utövas i enlighet med lagstiftningen i aktuell stat. </w:t>
      </w:r>
    </w:p>
    <w:p w:rsidR="005418A1" w:rsidRPr="005418A1" w:rsidRDefault="005418A1">
      <w:pPr>
        <w:pStyle w:val="Normaltindrag"/>
        <w:shd w:val="clear" w:color="000000" w:fill="auto"/>
      </w:pPr>
      <w:r w:rsidRPr="005418A1">
        <w:t>Det bör särskilt observeras att EU-rätten inte upphäver de åtaganden som respektive nationalstat har mot ILO i och med att ratificering har skett av en konvention.</w:t>
      </w:r>
    </w:p>
    <w:p w:rsidR="005418A1" w:rsidRPr="005418A1" w:rsidRDefault="005418A1">
      <w:pPr>
        <w:pStyle w:val="Normaltindrag"/>
        <w:shd w:val="clear" w:color="000000" w:fill="auto"/>
      </w:pPr>
      <w:r w:rsidRPr="005418A1">
        <w:t>Sverige, liksom de andra EU-länderna, är bundet av Europakonventionen om mänskliga rättigheter.  Genom 1995 års lag är den konventionen också svensk lag. EU-domstolen har dessutom slagit fast att konventionen och de mänskliga rättigheter den skyddar utgör en del av gemenskapsrätten, se även artikel 6 FEU samt protokoll (nr 8) om artikel 6.2 i fördraget om Europeiska unionen angående unionens anslutning till europeiska konventionen om skydd för de mänskliga rättigheterna och de grundläggande friheterna.</w:t>
      </w:r>
    </w:p>
    <w:p w:rsidR="005418A1" w:rsidRPr="005418A1" w:rsidRDefault="005418A1">
      <w:pPr>
        <w:pStyle w:val="Normaltindrag"/>
        <w:shd w:val="clear" w:color="000000" w:fill="auto"/>
      </w:pPr>
      <w:r w:rsidRPr="005418A1">
        <w:t xml:space="preserve">Artikel 11 i Europakonventionen ger ett skydd för föreningsfriheten. Kommissionen för mänskliga rättigheter har uttalat att det följer av denna artikel att fackföreningar ska åtnjuta en vidsträckt frihet att främja sina och sina medlemmars intressen. Rätten att vidta stridsåtgärder utgör en del av föreningsfriheten. </w:t>
      </w:r>
    </w:p>
    <w:p w:rsidR="005418A1" w:rsidRPr="005418A1" w:rsidRDefault="005418A1">
      <w:pPr>
        <w:pStyle w:val="Normaltindrag"/>
        <w:shd w:val="clear" w:color="000000" w:fill="auto"/>
      </w:pPr>
      <w:r w:rsidRPr="005418A1">
        <w:t xml:space="preserve">Även om EU-domstolen åberopar nämnda internationella instrument i </w:t>
      </w:r>
      <w:r w:rsidRPr="005418A1">
        <w:br/>
        <w:t>Lavaldomen och konstaterar att rätten att vidta stridsåtgärder är en grun</w:t>
      </w:r>
      <w:r w:rsidRPr="005418A1">
        <w:t>d</w:t>
      </w:r>
      <w:r w:rsidRPr="005418A1">
        <w:t>läggande rättighet inom gemenskapsrätten blir det likväl tydligt att den väljer att gå i en annan riktning än Europadomstolen, då utgången leder till en fö</w:t>
      </w:r>
      <w:r w:rsidRPr="005418A1">
        <w:t>r</w:t>
      </w:r>
      <w:r w:rsidRPr="005418A1">
        <w:t>svagning av skyddet. En stor skillnad är också att EU-domstolen i Lavald</w:t>
      </w:r>
      <w:r w:rsidRPr="005418A1">
        <w:t>o</w:t>
      </w:r>
      <w:r w:rsidRPr="005418A1">
        <w:t>men utgår från det ekonomiska intresset i form av fri rörlighet och därefter prövar om skyddet för arbetstagare kan rättfärdigas som en tillåten begrän</w:t>
      </w:r>
      <w:r w:rsidRPr="005418A1">
        <w:t>s</w:t>
      </w:r>
      <w:r w:rsidRPr="005418A1">
        <w:t>ning av en ekonomisk frihet.  Det är högst tveksamt om e</w:t>
      </w:r>
      <w:r w:rsidRPr="005418A1">
        <w:t>nbart ekonomiska skäl, vilket är främsta grunden för fri tjänsterörlighet, kan motivera en i</w:t>
      </w:r>
      <w:r w:rsidRPr="005418A1">
        <w:t>n</w:t>
      </w:r>
      <w:r w:rsidRPr="005418A1">
        <w:t xml:space="preserve">skränkning av fackliga rättigheter inklusive rätten att vidta stridsåtgärder. </w:t>
      </w:r>
    </w:p>
    <w:p w:rsidR="005418A1" w:rsidRPr="005418A1" w:rsidRDefault="005418A1">
      <w:pPr>
        <w:pStyle w:val="Normaltindrag"/>
        <w:shd w:val="clear" w:color="000000" w:fill="auto"/>
      </w:pPr>
      <w:r w:rsidRPr="005418A1">
        <w:t>Varken den så kallade Stråth-utredningen (SOU 2008:123) eller den bo</w:t>
      </w:r>
      <w:r w:rsidRPr="005418A1">
        <w:t>r</w:t>
      </w:r>
      <w:r w:rsidRPr="005418A1">
        <w:t xml:space="preserve">gerliga regeringen genom proposition 2009/10:48 har beaktat dessa frågor vid lagstiftningen, vilket ej är acceptabelt. </w:t>
      </w:r>
    </w:p>
    <w:p w:rsidR="005418A1" w:rsidRPr="005418A1" w:rsidRDefault="005418A1">
      <w:pPr>
        <w:pStyle w:val="Rubrik2"/>
        <w:shd w:val="clear" w:color="000000" w:fill="auto"/>
      </w:pPr>
      <w:r w:rsidRPr="005418A1">
        <w:t>Skadeståndslagen och försäkringsersättning</w:t>
      </w:r>
    </w:p>
    <w:p w:rsidR="005418A1" w:rsidRPr="005418A1" w:rsidRDefault="005418A1">
      <w:pPr>
        <w:shd w:val="clear" w:color="000000" w:fill="auto"/>
      </w:pPr>
      <w:r w:rsidRPr="005418A1">
        <w:t>Motionärerna anser att det är självklart att skadeståndslagens bestämmelser är tillämpliga på olyckor som inträffar på en svensk arbetsplats. En arbetsgivare som utstationerar arbetstagare till Sverige kommer således att bli sk</w:t>
      </w:r>
      <w:r w:rsidRPr="005418A1">
        <w:t>a</w:t>
      </w:r>
      <w:r w:rsidRPr="005418A1">
        <w:t>deståndsskyldig enligt svensk rätt om en olycka inträffar. För dessa situati</w:t>
      </w:r>
      <w:r w:rsidRPr="005418A1">
        <w:t>o</w:t>
      </w:r>
      <w:r w:rsidRPr="005418A1">
        <w:t>ner bör det gå att kräva att arbetsgivaren har försäkringar så att de utstation</w:t>
      </w:r>
      <w:r w:rsidRPr="005418A1">
        <w:t>e</w:t>
      </w:r>
      <w:r w:rsidRPr="005418A1">
        <w:t>rade arbetstagarna garanteras ett effektivt skydd. Försäkringar bör således betraktas som en del i det skydd som ska garanteras beträffande hälsa och säkerhet på arbetsplatsen. Det bör därför i utstationeringslagen införas en bestämmelse som klargör att det är tillåtet att genom stridsåtgärder förmå arbetsgivare att teckna försäkringar som TFA (trygghe</w:t>
      </w:r>
      <w:r w:rsidRPr="005418A1">
        <w:t>tsförsäkring vid arbet</w:t>
      </w:r>
      <w:r w:rsidRPr="005418A1">
        <w:t>s</w:t>
      </w:r>
      <w:r w:rsidRPr="005418A1">
        <w:t xml:space="preserve">skada) och TGL (tjänstegrupplivförsäkring) med stöd av artikel 3:1 punkten e), säkerhet, hälsa och hygien på arbetsplatsen. </w:t>
      </w:r>
    </w:p>
    <w:p w:rsidR="005418A1" w:rsidRPr="005418A1" w:rsidRDefault="005418A1">
      <w:pPr>
        <w:pStyle w:val="Normaltindrag"/>
        <w:shd w:val="clear" w:color="000000" w:fill="auto"/>
      </w:pPr>
      <w:r w:rsidRPr="005418A1">
        <w:t>Dessutom bör uppmärksammas att försäkringsskyddet är att betrakta som ett löneskydd. Om en olycka inträffar är arbetstagaren försäkrad mot lön</w:t>
      </w:r>
      <w:r w:rsidRPr="005418A1">
        <w:t>e</w:t>
      </w:r>
      <w:r w:rsidRPr="005418A1">
        <w:t>bortfall. Försäkringsskyddet bör således i vart fall betraktas som en komp</w:t>
      </w:r>
      <w:r w:rsidRPr="005418A1">
        <w:t>o</w:t>
      </w:r>
      <w:r w:rsidRPr="005418A1">
        <w:t xml:space="preserve">nent i minimilöneskyddet. </w:t>
      </w:r>
    </w:p>
    <w:p w:rsidR="005418A1" w:rsidRPr="005418A1" w:rsidRDefault="005418A1">
      <w:pPr>
        <w:pStyle w:val="Normaltindrag"/>
        <w:shd w:val="clear" w:color="000000" w:fill="auto"/>
      </w:pPr>
      <w:r w:rsidRPr="005418A1">
        <w:t>Regeringen har berövat utstationerade arbetstagare ett grundläggande skydd som de rimligtvis bör ha. Vi menar att det är direkt stötande att svensk lag skulle innebära att utländska arbetstagare som arbetar i Sverige, till skil</w:t>
      </w:r>
      <w:r w:rsidRPr="005418A1">
        <w:t>l</w:t>
      </w:r>
      <w:r w:rsidRPr="005418A1">
        <w:t>nad från svenska arbetstagare, inte kommer att omfattas av detta grun</w:t>
      </w:r>
      <w:r w:rsidRPr="005418A1">
        <w:t>d</w:t>
      </w:r>
      <w:r w:rsidRPr="005418A1">
        <w:t>läggande 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8A1">
        <w:trPr>
          <w:cantSplit/>
        </w:trPr>
        <w:tc>
          <w:tcPr>
            <w:tcW w:w="3046" w:type="dxa"/>
          </w:tcPr>
          <w:p w:rsidR="005418A1" w:rsidRPr="005418A1" w:rsidRDefault="005418A1">
            <w:pPr>
              <w:pStyle w:val="UnderskriftDatum"/>
              <w:shd w:val="clear" w:color="000000" w:fill="auto"/>
              <w:spacing w:before="240"/>
            </w:pPr>
            <w:r w:rsidRPr="005418A1">
              <w:t>Stockholm den 26 oktober 2010</w:t>
            </w:r>
          </w:p>
        </w:tc>
        <w:tc>
          <w:tcPr>
            <w:tcW w:w="3047" w:type="dxa"/>
          </w:tcPr>
          <w:p w:rsidR="005418A1" w:rsidRPr="005418A1" w:rsidRDefault="005418A1">
            <w:pPr>
              <w:pStyle w:val="Underskrifter"/>
              <w:shd w:val="clear" w:color="000000" w:fill="auto"/>
              <w:spacing w:before="240"/>
            </w:pPr>
          </w:p>
        </w:tc>
      </w:tr>
      <w:tr w:rsidR="00000000" w:rsidRPr="005418A1">
        <w:trPr>
          <w:cantSplit/>
        </w:trPr>
        <w:tc>
          <w:tcPr>
            <w:tcW w:w="3046" w:type="dxa"/>
          </w:tcPr>
          <w:p w:rsidR="005418A1" w:rsidRPr="005418A1" w:rsidRDefault="005418A1">
            <w:pPr>
              <w:pStyle w:val="Underskrifter"/>
              <w:shd w:val="clear" w:color="000000" w:fill="auto"/>
            </w:pPr>
            <w:r w:rsidRPr="005418A1">
              <w:t>Anders Karlsson (S)</w:t>
            </w:r>
          </w:p>
        </w:tc>
        <w:tc>
          <w:tcPr>
            <w:tcW w:w="3046" w:type="dxa"/>
          </w:tcPr>
          <w:p w:rsidR="005418A1" w:rsidRPr="005418A1" w:rsidRDefault="005418A1">
            <w:pPr>
              <w:pStyle w:val="Underskrifter"/>
              <w:shd w:val="clear" w:color="000000" w:fill="auto"/>
            </w:pPr>
          </w:p>
        </w:tc>
      </w:tr>
      <w:tr w:rsidR="00000000" w:rsidRPr="005418A1">
        <w:trPr>
          <w:cantSplit/>
        </w:trPr>
        <w:tc>
          <w:tcPr>
            <w:tcW w:w="3046" w:type="dxa"/>
          </w:tcPr>
          <w:p w:rsidR="005418A1" w:rsidRPr="005418A1" w:rsidRDefault="005418A1">
            <w:pPr>
              <w:pStyle w:val="Underskrifter"/>
              <w:shd w:val="clear" w:color="000000" w:fill="auto"/>
            </w:pPr>
            <w:r w:rsidRPr="005418A1">
              <w:t>Annelie Karlsson (S)</w:t>
            </w:r>
          </w:p>
        </w:tc>
        <w:tc>
          <w:tcPr>
            <w:tcW w:w="3046" w:type="dxa"/>
          </w:tcPr>
          <w:p w:rsidR="005418A1" w:rsidRPr="005418A1" w:rsidRDefault="005418A1">
            <w:pPr>
              <w:pStyle w:val="Underskrifter"/>
              <w:shd w:val="clear" w:color="000000" w:fill="auto"/>
            </w:pPr>
            <w:r w:rsidRPr="005418A1">
              <w:t>Bo Bernhardsson (S)</w:t>
            </w:r>
          </w:p>
        </w:tc>
      </w:tr>
      <w:tr w:rsidR="00000000" w:rsidRPr="005418A1">
        <w:trPr>
          <w:cantSplit/>
        </w:trPr>
        <w:tc>
          <w:tcPr>
            <w:tcW w:w="3046" w:type="dxa"/>
          </w:tcPr>
          <w:p w:rsidR="005418A1" w:rsidRPr="005418A1" w:rsidRDefault="005418A1">
            <w:pPr>
              <w:pStyle w:val="Underskrifter"/>
              <w:shd w:val="clear" w:color="000000" w:fill="auto"/>
            </w:pPr>
            <w:r w:rsidRPr="005418A1">
              <w:t>Christina Zedell (S)</w:t>
            </w:r>
          </w:p>
        </w:tc>
        <w:tc>
          <w:tcPr>
            <w:tcW w:w="3046" w:type="dxa"/>
          </w:tcPr>
          <w:p w:rsidR="005418A1" w:rsidRPr="005418A1" w:rsidRDefault="005418A1">
            <w:pPr>
              <w:pStyle w:val="Underskrifter"/>
              <w:shd w:val="clear" w:color="000000" w:fill="auto"/>
            </w:pPr>
            <w:r w:rsidRPr="005418A1">
              <w:t>Gunnar Sandberg (S)</w:t>
            </w:r>
          </w:p>
        </w:tc>
      </w:tr>
      <w:tr w:rsidR="00000000" w:rsidRPr="005418A1">
        <w:trPr>
          <w:cantSplit/>
        </w:trPr>
        <w:tc>
          <w:tcPr>
            <w:tcW w:w="3046" w:type="dxa"/>
          </w:tcPr>
          <w:p w:rsidR="005418A1" w:rsidRPr="005418A1" w:rsidRDefault="005418A1">
            <w:pPr>
              <w:pStyle w:val="Underskrifter"/>
              <w:shd w:val="clear" w:color="000000" w:fill="auto"/>
            </w:pPr>
            <w:r w:rsidRPr="005418A1">
              <w:t>Lars Mejern Larsson (S)</w:t>
            </w:r>
          </w:p>
        </w:tc>
        <w:tc>
          <w:tcPr>
            <w:tcW w:w="3046" w:type="dxa"/>
          </w:tcPr>
          <w:p w:rsidR="005418A1" w:rsidRPr="005418A1" w:rsidRDefault="005418A1">
            <w:pPr>
              <w:pStyle w:val="Underskrifter"/>
              <w:shd w:val="clear" w:color="000000" w:fill="auto"/>
            </w:pPr>
            <w:r w:rsidRPr="005418A1">
              <w:t>Morgan Johansson (S)</w:t>
            </w:r>
          </w:p>
        </w:tc>
      </w:tr>
      <w:tr w:rsidR="00000000" w:rsidRPr="005418A1">
        <w:trPr>
          <w:cantSplit/>
        </w:trPr>
        <w:tc>
          <w:tcPr>
            <w:tcW w:w="3046" w:type="dxa"/>
          </w:tcPr>
          <w:p w:rsidR="005418A1" w:rsidRPr="005418A1" w:rsidRDefault="005418A1">
            <w:pPr>
              <w:pStyle w:val="Underskrifter"/>
              <w:shd w:val="clear" w:color="000000" w:fill="auto"/>
            </w:pPr>
            <w:r w:rsidRPr="005418A1">
              <w:t>Peter Persson (S)</w:t>
            </w:r>
          </w:p>
        </w:tc>
        <w:tc>
          <w:tcPr>
            <w:tcW w:w="3046" w:type="dxa"/>
          </w:tcPr>
          <w:p w:rsidR="005418A1" w:rsidRPr="005418A1" w:rsidRDefault="005418A1">
            <w:pPr>
              <w:pStyle w:val="Underskrifter"/>
              <w:shd w:val="clear" w:color="000000" w:fill="auto"/>
            </w:pPr>
          </w:p>
        </w:tc>
      </w:tr>
    </w:tbl>
    <w:p w:rsidR="005418A1" w:rsidRPr="005418A1" w:rsidRDefault="005418A1">
      <w:pPr>
        <w:pStyle w:val="Normaltindrag"/>
        <w:shd w:val="clear" w:color="000000" w:fill="auto"/>
      </w:pPr>
    </w:p>
    <w:sectPr w:rsidR="00000000" w:rsidRPr="00541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8A1" w:rsidRPr="005418A1" w:rsidRDefault="005418A1">
      <w:r w:rsidRPr="005418A1">
        <w:separator/>
      </w:r>
    </w:p>
  </w:endnote>
  <w:endnote w:type="continuationSeparator" w:id="0">
    <w:p w:rsidR="005418A1" w:rsidRPr="005418A1" w:rsidRDefault="005418A1">
      <w:r w:rsidRPr="00541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5684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8A1" w:rsidRDefault="00541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098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8A1" w:rsidRDefault="005418A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936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8A1" w:rsidRDefault="00541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8A1" w:rsidRPr="005418A1" w:rsidRDefault="005418A1">
      <w:pPr>
        <w:pStyle w:val="Sidfot"/>
      </w:pPr>
    </w:p>
  </w:footnote>
  <w:footnote w:type="continuationSeparator" w:id="0">
    <w:p w:rsidR="005418A1" w:rsidRPr="005418A1" w:rsidRDefault="005418A1">
      <w:pPr>
        <w:pStyle w:val="Sidfot"/>
      </w:pPr>
    </w:p>
  </w:footnote>
  <w:footnote w:type="continuationNotice" w:id="1">
    <w:p w:rsidR="005418A1" w:rsidRPr="005418A1" w:rsidRDefault="005418A1">
      <w:pPr>
        <w:pStyle w:val="Sidfot"/>
      </w:pPr>
    </w:p>
  </w:footnote>
  <w:footnote w:id="2">
    <w:p w:rsidR="005418A1" w:rsidRPr="005418A1" w:rsidRDefault="005418A1">
      <w:pPr>
        <w:pStyle w:val="Fotnotstext"/>
        <w:spacing w:line="200" w:lineRule="atLeast"/>
        <w:rPr>
          <w:sz w:val="16"/>
          <w:szCs w:val="16"/>
        </w:rPr>
      </w:pPr>
      <w:r w:rsidRPr="005418A1">
        <w:rPr>
          <w:rStyle w:val="Fotnotsreferens"/>
        </w:rPr>
        <w:footnoteRef/>
      </w:r>
      <w:r w:rsidRPr="005418A1">
        <w:t xml:space="preserve"> </w:t>
      </w:r>
      <w:r w:rsidRPr="005418A1">
        <w:rPr>
          <w:sz w:val="16"/>
          <w:szCs w:val="16"/>
        </w:rPr>
        <w:t xml:space="preserve">Lex Laval är regeringens svar på EG-domstolens domslut i Lavalmålet. </w:t>
      </w:r>
    </w:p>
  </w:footnote>
  <w:footnote w:id="3">
    <w:p w:rsidR="005418A1" w:rsidRPr="005418A1" w:rsidRDefault="005418A1">
      <w:pPr>
        <w:pStyle w:val="Fotnotstext"/>
        <w:spacing w:before="0" w:line="200" w:lineRule="atLeast"/>
      </w:pPr>
      <w:r w:rsidRPr="005418A1">
        <w:rPr>
          <w:rStyle w:val="Fotnotsreferens"/>
        </w:rPr>
        <w:footnoteRef/>
      </w:r>
      <w:r w:rsidRPr="005418A1">
        <w:t xml:space="preserve"> </w:t>
      </w:r>
      <w:r w:rsidRPr="005418A1">
        <w:rPr>
          <w:sz w:val="16"/>
          <w:szCs w:val="16"/>
        </w:rPr>
        <w:t xml:space="preserve">Vi vill tillsätta en utredning med uppdrag att finna en lösning som stärker den svenska arbetsmarknadsmodellen. Bevisregeln måste tas bort. Istället bör en regel införas om att en arbetsgivare som hävdar att löner och villkor är godtagbara ska bekräfta tillämpningen av dessa genom ett avtal med arbetstagarorganisationen.  </w:t>
      </w:r>
    </w:p>
  </w:footnote>
  <w:footnote w:id="4">
    <w:p w:rsidR="005418A1" w:rsidRPr="005418A1" w:rsidRDefault="005418A1">
      <w:pPr>
        <w:pStyle w:val="Fotnotstext"/>
        <w:spacing w:before="0" w:line="200" w:lineRule="atLeast"/>
        <w:rPr>
          <w:sz w:val="16"/>
          <w:szCs w:val="16"/>
        </w:rPr>
      </w:pPr>
      <w:r w:rsidRPr="005418A1">
        <w:rPr>
          <w:rStyle w:val="Fotnotsreferens"/>
        </w:rPr>
        <w:footnoteRef/>
      </w:r>
      <w:r w:rsidRPr="005418A1">
        <w:t xml:space="preserve"> </w:t>
      </w:r>
      <w:r w:rsidRPr="005418A1">
        <w:rPr>
          <w:sz w:val="16"/>
          <w:szCs w:val="16"/>
        </w:rPr>
        <w:t>Regeringen avskaffade vid årsskiftet 2009/10 bestämmelsen i filiallagen om att utländska företag ska ha en representant i landet som myndigheter och fack kan kontakta om hur verksamheten bedrivs. En utredning (SOU 2010:46) ”föreslår” att denna bestämmelse åte</w:t>
      </w:r>
      <w:r w:rsidRPr="005418A1">
        <w:rPr>
          <w:sz w:val="16"/>
          <w:szCs w:val="16"/>
        </w:rPr>
        <w:t>r</w:t>
      </w:r>
      <w:r w:rsidRPr="005418A1">
        <w:rPr>
          <w:sz w:val="16"/>
          <w:szCs w:val="16"/>
        </w:rPr>
        <w:t xml:space="preserve">införs.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huvud"/>
    </w:pPr>
    <w:r w:rsidRPr="00541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051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8A1" w:rsidRDefault="00541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huvud"/>
    </w:pPr>
    <w:r w:rsidRPr="00541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984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8A1" w:rsidRDefault="00541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FSHNormal"/>
      <w:tabs>
        <w:tab w:val="right" w:pos="5840"/>
      </w:tabs>
    </w:pPr>
    <w:r w:rsidRPr="005418A1">
      <w:br/>
    </w:r>
    <w:r w:rsidRPr="005418A1">
      <w:fldChar w:fldCharType="begin" w:fldLock="1"/>
    </w:r>
    <w:r w:rsidRPr="005418A1">
      <w:instrText xml:space="preserve"> DOCPROPERTY</w:instrText>
    </w:r>
    <w:r w:rsidRPr="005418A1">
      <w:rPr>
        <w:sz w:val="18"/>
      </w:rPr>
      <w:instrText xml:space="preserve"> "YearUser" *\charformat </w:instrText>
    </w:r>
    <w:r w:rsidRPr="005418A1">
      <w:fldChar w:fldCharType="separate"/>
    </w:r>
    <w:r w:rsidRPr="005418A1">
      <w:t>2010/11</w:t>
    </w:r>
    <w:r w:rsidRPr="005418A1">
      <w:fldChar w:fldCharType="end"/>
    </w:r>
    <w:r w:rsidRPr="005418A1">
      <w:t xml:space="preserve"> </w:t>
    </w:r>
    <w:r w:rsidRPr="005418A1">
      <w:tab/>
      <w:t xml:space="preserve">mnr: </w:t>
    </w:r>
    <w:r w:rsidRPr="005418A1">
      <w:fldChar w:fldCharType="begin" w:fldLock="1"/>
    </w:r>
    <w:r w:rsidRPr="005418A1">
      <w:instrText xml:space="preserve"> DOCPROPERTY</w:instrText>
    </w:r>
    <w:r w:rsidRPr="005418A1">
      <w:rPr>
        <w:sz w:val="18"/>
      </w:rPr>
      <w:instrText xml:space="preserve"> "Motionsnummer" *\charformat </w:instrText>
    </w:r>
    <w:r w:rsidRPr="005418A1">
      <w:fldChar w:fldCharType="separate"/>
    </w:r>
    <w:r w:rsidRPr="005418A1">
      <w:t>A411</w:t>
    </w:r>
    <w:r w:rsidRPr="005418A1">
      <w:fldChar w:fldCharType="end"/>
    </w:r>
    <w:r w:rsidRPr="005418A1">
      <w:br/>
    </w:r>
    <w:r w:rsidRPr="005418A1">
      <w:fldChar w:fldCharType="begin" w:fldLock="1"/>
    </w:r>
    <w:r w:rsidRPr="005418A1">
      <w:instrText xml:space="preserve"> DOCPROPERTY</w:instrText>
    </w:r>
    <w:r w:rsidRPr="005418A1">
      <w:rPr>
        <w:sz w:val="18"/>
      </w:rPr>
      <w:instrText xml:space="preserve"> "Samling" *\charformat </w:instrText>
    </w:r>
    <w:r w:rsidRPr="005418A1">
      <w:fldChar w:fldCharType="end"/>
    </w:r>
    <w:r w:rsidRPr="005418A1">
      <w:tab/>
      <w:t xml:space="preserve">pnr: </w:t>
    </w:r>
    <w:r w:rsidRPr="005418A1">
      <w:fldChar w:fldCharType="begin" w:fldLock="1"/>
    </w:r>
    <w:r w:rsidRPr="005418A1">
      <w:instrText xml:space="preserve"> DOCPROPERTY</w:instrText>
    </w:r>
    <w:r w:rsidRPr="005418A1">
      <w:rPr>
        <w:sz w:val="18"/>
      </w:rPr>
      <w:instrText xml:space="preserve"> "Partinummer" *\charformat </w:instrText>
    </w:r>
    <w:r w:rsidRPr="005418A1">
      <w:fldChar w:fldCharType="separate"/>
    </w:r>
    <w:r w:rsidRPr="005418A1">
      <w:t>S27144</w:t>
    </w:r>
    <w:r w:rsidRPr="005418A1">
      <w:fldChar w:fldCharType="end"/>
    </w:r>
  </w:p>
  <w:p w:rsidR="005418A1" w:rsidRPr="005418A1" w:rsidRDefault="005418A1">
    <w:pPr>
      <w:pStyle w:val="FSHRub1"/>
    </w:pPr>
    <w:r w:rsidRPr="005418A1">
      <w:t>Motion till riksdagen</w:t>
    </w:r>
    <w:r w:rsidRPr="005418A1">
      <w:br/>
    </w:r>
    <w:r w:rsidRPr="005418A1">
      <w:fldChar w:fldCharType="begin" w:fldLock="1"/>
    </w:r>
    <w:r w:rsidRPr="005418A1">
      <w:instrText xml:space="preserve"> DOCPROPERTY "YearUser" *\charformat </w:instrText>
    </w:r>
    <w:r w:rsidRPr="005418A1">
      <w:fldChar w:fldCharType="separate"/>
    </w:r>
    <w:r w:rsidRPr="005418A1">
      <w:t>2010/11</w:t>
    </w:r>
    <w:r w:rsidRPr="005418A1">
      <w:fldChar w:fldCharType="end"/>
    </w:r>
    <w:r w:rsidRPr="005418A1">
      <w:t>:</w:t>
    </w:r>
    <w:r w:rsidRPr="005418A1">
      <w:fldChar w:fldCharType="begin" w:fldLock="1"/>
    </w:r>
    <w:r w:rsidRPr="005418A1">
      <w:instrText xml:space="preserve"> DOCPROPERTY "Motionsnummer" *\charformat </w:instrText>
    </w:r>
    <w:r w:rsidRPr="005418A1">
      <w:fldChar w:fldCharType="separate"/>
    </w:r>
    <w:r w:rsidRPr="005418A1">
      <w:t>A411</w:t>
    </w:r>
    <w:r w:rsidRPr="005418A1">
      <w:fldChar w:fldCharType="end"/>
    </w:r>
  </w:p>
  <w:p w:rsidR="005418A1" w:rsidRPr="005418A1" w:rsidRDefault="005418A1">
    <w:pPr>
      <w:pStyle w:val="FSHNormalS5"/>
    </w:pPr>
    <w:r w:rsidRPr="005418A1">
      <w:fldChar w:fldCharType="begin" w:fldLock="1"/>
    </w:r>
    <w:r w:rsidRPr="005418A1">
      <w:instrText xml:space="preserve"> DOCPROPERTY "MotionarText" *\charformat </w:instrText>
    </w:r>
    <w:r w:rsidRPr="005418A1">
      <w:fldChar w:fldCharType="separate"/>
    </w:r>
    <w:r w:rsidRPr="005418A1">
      <w:t>av Anders Karlsson m.fl. (S)</w:t>
    </w:r>
    <w:r w:rsidRPr="005418A1">
      <w:fldChar w:fldCharType="end"/>
    </w:r>
    <w:r w:rsidRPr="005418A1">
      <w:br/>
    </w:r>
    <w:r w:rsidRPr="005418A1">
      <w:fldChar w:fldCharType="begin" w:fldLock="1"/>
    </w:r>
    <w:r w:rsidRPr="005418A1">
      <w:instrText xml:space="preserve"> DOCPROPERTY "SvarFrasKort" *\charformat </w:instrText>
    </w:r>
    <w:r w:rsidRPr="005418A1">
      <w:fldChar w:fldCharType="end"/>
    </w:r>
  </w:p>
  <w:p w:rsidR="005418A1" w:rsidRPr="005418A1" w:rsidRDefault="005418A1">
    <w:pPr>
      <w:pStyle w:val="FSHTitel"/>
    </w:pPr>
    <w:r w:rsidRPr="005418A1">
      <w:fldChar w:fldCharType="begin" w:fldLock="1"/>
    </w:r>
    <w:r w:rsidRPr="005418A1">
      <w:instrText xml:space="preserve"> DOCPROPERTY</w:instrText>
    </w:r>
    <w:r w:rsidRPr="005418A1">
      <w:rPr>
        <w:sz w:val="18"/>
      </w:rPr>
      <w:instrText xml:space="preserve"> "RubrikSvar" *\charformat </w:instrText>
    </w:r>
    <w:r w:rsidRPr="005418A1">
      <w:fldChar w:fldCharType="separate"/>
    </w:r>
    <w:r w:rsidRPr="005418A1">
      <w:t>Lavalfrågan</w:t>
    </w:r>
    <w:r w:rsidRPr="005418A1">
      <w:fldChar w:fldCharType="end"/>
    </w:r>
  </w:p>
  <w:p w:rsidR="005418A1" w:rsidRPr="005418A1" w:rsidRDefault="005418A1">
    <w:pPr>
      <w:pStyle w:val="Normal00"/>
    </w:pPr>
  </w:p>
  <w:p w:rsidR="005418A1" w:rsidRPr="005418A1" w:rsidRDefault="00541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C12D2"/>
    <w:multiLevelType w:val="hybridMultilevel"/>
    <w:tmpl w:val="4A54E66A"/>
    <w:lvl w:ilvl="0" w:tplc="82D0FE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F4769A"/>
    <w:multiLevelType w:val="hybridMultilevel"/>
    <w:tmpl w:val="78E2FB60"/>
    <w:lvl w:ilvl="0" w:tplc="AE5215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7CA27A6"/>
    <w:multiLevelType w:val="hybridMultilevel"/>
    <w:tmpl w:val="E3B4FD3A"/>
    <w:lvl w:ilvl="0" w:tplc="C1F087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866040">
    <w:abstractNumId w:val="3"/>
  </w:num>
  <w:num w:numId="2" w16cid:durableId="274944035">
    <w:abstractNumId w:val="2"/>
  </w:num>
  <w:num w:numId="3" w16cid:durableId="220484537">
    <w:abstractNumId w:val="1"/>
  </w:num>
  <w:num w:numId="4" w16cid:durableId="839202716">
    <w:abstractNumId w:val="0"/>
  </w:num>
  <w:num w:numId="5" w16cid:durableId="472795256">
    <w:abstractNumId w:val="7"/>
  </w:num>
  <w:num w:numId="6" w16cid:durableId="1615476904">
    <w:abstractNumId w:val="6"/>
  </w:num>
  <w:num w:numId="7" w16cid:durableId="1019619155">
    <w:abstractNumId w:val="5"/>
  </w:num>
  <w:num w:numId="8" w16cid:durableId="1480146511">
    <w:abstractNumId w:val="4"/>
  </w:num>
  <w:num w:numId="9" w16cid:durableId="395787208">
    <w:abstractNumId w:val="8"/>
  </w:num>
  <w:num w:numId="10" w16cid:durableId="361366005">
    <w:abstractNumId w:val="9"/>
  </w:num>
  <w:num w:numId="11" w16cid:durableId="1043552684">
    <w:abstractNumId w:val="10"/>
  </w:num>
  <w:num w:numId="12" w16cid:durableId="1976712698">
    <w:abstractNumId w:val="15"/>
  </w:num>
  <w:num w:numId="13" w16cid:durableId="1560050997">
    <w:abstractNumId w:val="18"/>
  </w:num>
  <w:num w:numId="14" w16cid:durableId="926616388">
    <w:abstractNumId w:val="19"/>
  </w:num>
  <w:num w:numId="15" w16cid:durableId="1833452559">
    <w:abstractNumId w:val="11"/>
  </w:num>
  <w:num w:numId="16" w16cid:durableId="740443083">
    <w:abstractNumId w:val="21"/>
  </w:num>
  <w:num w:numId="17" w16cid:durableId="259528048">
    <w:abstractNumId w:val="20"/>
  </w:num>
  <w:num w:numId="18" w16cid:durableId="771753189">
    <w:abstractNumId w:val="17"/>
  </w:num>
  <w:num w:numId="19" w16cid:durableId="1673754560">
    <w:abstractNumId w:val="14"/>
  </w:num>
  <w:num w:numId="20" w16cid:durableId="1575045435">
    <w:abstractNumId w:val="12"/>
  </w:num>
  <w:num w:numId="21" w16cid:durableId="263805736">
    <w:abstractNumId w:val="13"/>
  </w:num>
  <w:num w:numId="22" w16cid:durableId="1351177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6-01"/>
    <w:docVar w:name="PersonGUIDs" w:val="{92DBB9FE-B795-4B3F-92EF-78927913ECFC},{AB018B20-C6C8-4979-AF3D-07EC2470ED82},{E3F799B0-2A54-451A-B4A7-689065640C0B},{840FBD9F-1C36-4E6C-BB06-CEA2576792B6},{D7F033A5-1DE4-4CDE-A0D2-EF42E3CBA746},{98573A62-87F3-4948-9C7F-DBDBDCA46686},{F4278DF7-7CC9-419F-B497-7752D0709304},{12B68AB1-7D66-4434-8C42-A97EED536B7A}"/>
  </w:docVars>
  <w:rsids>
    <w:rsidRoot w:val="00460601"/>
    <w:rsid w:val="00460601"/>
    <w:rsid w:val="005418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84856F-7886-4A61-A476-8BD07407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1823</Words>
  <Characters>11031</Characters>
  <Application>Microsoft Office Word</Application>
  <DocSecurity>4</DocSecurity>
  <Lines>229</Lines>
  <Paragraphs>53</Paragraphs>
  <ScaleCrop>false</ScaleCrop>
  <HeadingPairs>
    <vt:vector size="2" baseType="variant">
      <vt:variant>
        <vt:lpstr>Rubrik</vt:lpstr>
      </vt:variant>
      <vt:variant>
        <vt:i4>1</vt:i4>
      </vt:variant>
    </vt:vector>
  </HeadingPairs>
  <TitlesOfParts>
    <vt:vector size="1" baseType="lpstr">
      <vt:lpstr>s27144</vt:lpstr>
    </vt:vector>
  </TitlesOfParts>
  <Company>Riksdagen</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s27144</dc:title>
  <dc:subject>s27144</dc:subject>
  <dc:creator>Riksdagen</dc:creator>
  <cp:keywords>Riksdagen</cp:keywords>
  <dc:description>Versal/gemen i partibeteckning. Gemen i tryck för 0910, versal för 1011 och nyare</dc:description>
  <cp:lastModifiedBy>Lars Brink</cp:lastModifiedBy>
  <cp:revision>2</cp:revision>
  <cp:lastPrinted>2011-01-27T15:56:00Z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mot2000_532_2011-06-01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Lavalfrågan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Lavalfrågan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(S)\Karlsson, Annelie (S)\Bernhardsson, Bo (S)\Zedell, Christina (S)\Sandberg, Gunnar (S)\Larsson, Lars Mejern (S)\Johansson, Morgan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Annelie Karlsson (S), Bo Bernhardsson (S), Christina Zedell (S), Gunnar Sandberg (S), Lars Mejern Larsson (S), Morgan Johansson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A411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20102011000000000115000271440069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20102011000000000115000271440069</vt:lpwstr>
  </property>
  <property fmtid="{D5CDD505-2E9C-101B-9397-08002B2CF9AE}" pid="50" name="nummer">
    <vt:lpwstr>411</vt:lpwstr>
  </property>
  <property fmtid="{D5CDD505-2E9C-101B-9397-08002B2CF9AE}" pid="51" name="utskottsbeteckning">
    <vt:lpwstr>A</vt:lpwstr>
  </property>
  <property fmtid="{D5CDD505-2E9C-101B-9397-08002B2CF9AE}" pid="52" name="GlobalUID">
    <vt:lpwstr>{056A300D-DEE0-479E-B9F9-9A51518A969D}</vt:lpwstr>
  </property>
  <property fmtid="{D5CDD505-2E9C-101B-9397-08002B2CF9AE}" pid="53" name="Överföringar">
    <vt:i4>0</vt:i4>
  </property>
  <property fmtid="{D5CDD505-2E9C-101B-9397-08002B2CF9AE}" pid="54" name="Checksum">
    <vt:lpwstr>*0004530648152*</vt:lpwstr>
  </property>
  <property fmtid="{D5CDD505-2E9C-101B-9397-08002B2CF9AE}" pid="55" name="skuggnummer">
    <vt:lpwstr>3009</vt:lpwstr>
  </property>
  <property fmtid="{D5CDD505-2E9C-101B-9397-08002B2CF9AE}" pid="56" name="urixVersion">
    <vt:lpwstr>4.4.0.7</vt:lpwstr>
  </property>
  <property fmtid="{D5CDD505-2E9C-101B-9397-08002B2CF9AE}" pid="57" name="urixOrigin">
    <vt:lpwstr>110601 09:27:29.978</vt:lpwstr>
  </property>
  <property fmtid="{D5CDD505-2E9C-101B-9397-08002B2CF9AE}" pid="58" name="urixGuid">
    <vt:lpwstr>{EB5782C4-DC8E-422D-96F9-2E2D756FDC1B}</vt:lpwstr>
  </property>
</Properties>
</file>