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8306E1">
              <w:rPr>
                <w:b/>
                <w:sz w:val="20"/>
              </w:rPr>
              <w:t>3</w:t>
            </w:r>
            <w:r w:rsidR="006D5D1C">
              <w:rPr>
                <w:b/>
                <w:sz w:val="20"/>
              </w:rPr>
              <w:t>9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F67989">
              <w:rPr>
                <w:sz w:val="20"/>
              </w:rPr>
              <w:t>06</w:t>
            </w:r>
            <w:r w:rsidR="006A23CF" w:rsidRPr="006F58FB">
              <w:rPr>
                <w:sz w:val="20"/>
              </w:rPr>
              <w:t>–</w:t>
            </w:r>
            <w:r w:rsidR="006D5D1C">
              <w:rPr>
                <w:sz w:val="20"/>
              </w:rPr>
              <w:t>13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6D5D1C" w:rsidP="006D5D1C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3C3BA2">
              <w:rPr>
                <w:sz w:val="20"/>
              </w:rPr>
              <w:t>:</w:t>
            </w:r>
            <w:r w:rsidR="00F67989">
              <w:rPr>
                <w:sz w:val="20"/>
              </w:rPr>
              <w:t>00</w:t>
            </w:r>
            <w:r w:rsidR="008508B4" w:rsidRPr="006F58FB">
              <w:rPr>
                <w:sz w:val="20"/>
              </w:rPr>
              <w:t>–</w:t>
            </w:r>
            <w:r w:rsidR="003B04CA">
              <w:rPr>
                <w:sz w:val="20"/>
              </w:rPr>
              <w:t>11:55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6844F6" w:rsidRDefault="006844F6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närvara</w:t>
            </w:r>
          </w:p>
          <w:p w:rsidR="006844F6" w:rsidRDefault="006844F6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844F6" w:rsidRDefault="006844F6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medgav att ledamöterna </w:t>
            </w:r>
            <w:r w:rsidR="005F2F51">
              <w:rPr>
                <w:bCs/>
                <w:color w:val="000000"/>
                <w:szCs w:val="24"/>
              </w:rPr>
              <w:t xml:space="preserve">Beatrice Ask (M), Caroline </w:t>
            </w:r>
            <w:proofErr w:type="spellStart"/>
            <w:r w:rsidR="005F2F51">
              <w:rPr>
                <w:bCs/>
                <w:color w:val="000000"/>
                <w:szCs w:val="24"/>
              </w:rPr>
              <w:t>Nordengrip</w:t>
            </w:r>
            <w:proofErr w:type="spellEnd"/>
            <w:r w:rsidR="005F2F51">
              <w:rPr>
                <w:bCs/>
                <w:color w:val="000000"/>
                <w:szCs w:val="24"/>
              </w:rPr>
              <w:t xml:space="preserve"> (SD)</w:t>
            </w:r>
            <w:r>
              <w:rPr>
                <w:bCs/>
                <w:color w:val="000000"/>
                <w:szCs w:val="24"/>
              </w:rPr>
              <w:t xml:space="preserve"> och </w:t>
            </w:r>
            <w:r w:rsidR="005F2F51">
              <w:rPr>
                <w:bCs/>
                <w:color w:val="000000"/>
                <w:szCs w:val="24"/>
              </w:rPr>
              <w:t>Elisabeth Falkhaven</w:t>
            </w:r>
            <w:r>
              <w:rPr>
                <w:bCs/>
                <w:color w:val="000000"/>
                <w:szCs w:val="24"/>
              </w:rPr>
              <w:t xml:space="preserve"> (MP) tillsammans med tjänsteman från försvarsutskottet fick närvara under sammanträdet vid punkt </w:t>
            </w:r>
            <w:r w:rsidR="005F2F51">
              <w:rPr>
                <w:bCs/>
                <w:color w:val="000000"/>
                <w:szCs w:val="24"/>
              </w:rPr>
              <w:t>1</w:t>
            </w:r>
            <w:r>
              <w:rPr>
                <w:bCs/>
                <w:color w:val="000000"/>
                <w:szCs w:val="24"/>
              </w:rPr>
              <w:t xml:space="preserve"> på föredragningslistan.</w:t>
            </w:r>
          </w:p>
          <w:p w:rsidR="00D07B5B" w:rsidRPr="00D07B5B" w:rsidRDefault="006753A5" w:rsidP="006753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316F3B" w:rsidRPr="00ED752A" w:rsidTr="00C3524A">
        <w:trPr>
          <w:trHeight w:val="884"/>
        </w:trPr>
        <w:tc>
          <w:tcPr>
            <w:tcW w:w="567" w:type="dxa"/>
          </w:tcPr>
          <w:p w:rsidR="00316F3B" w:rsidRPr="000D74B0" w:rsidRDefault="00316F3B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316F3B" w:rsidRPr="00207620" w:rsidRDefault="00316F3B" w:rsidP="00316F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om </w:t>
            </w:r>
            <w:r w:rsidR="008D4383">
              <w:rPr>
                <w:b/>
                <w:bCs/>
                <w:color w:val="000000"/>
                <w:szCs w:val="24"/>
              </w:rPr>
              <w:t>Afg</w:t>
            </w:r>
            <w:r w:rsidR="00A8650D">
              <w:rPr>
                <w:b/>
                <w:bCs/>
                <w:color w:val="000000"/>
                <w:szCs w:val="24"/>
              </w:rPr>
              <w:t>h</w:t>
            </w:r>
            <w:bookmarkStart w:id="0" w:name="_GoBack"/>
            <w:bookmarkEnd w:id="0"/>
            <w:r w:rsidR="008D4383">
              <w:rPr>
                <w:b/>
                <w:bCs/>
                <w:color w:val="000000"/>
                <w:szCs w:val="24"/>
              </w:rPr>
              <w:t xml:space="preserve">anistan och </w:t>
            </w:r>
            <w:r>
              <w:rPr>
                <w:b/>
                <w:bCs/>
                <w:color w:val="000000"/>
                <w:szCs w:val="24"/>
              </w:rPr>
              <w:t>Irak</w:t>
            </w:r>
          </w:p>
          <w:p w:rsidR="00316F3B" w:rsidRDefault="00316F3B" w:rsidP="00316F3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73747" w:rsidRDefault="00316F3B" w:rsidP="00E7374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73747">
              <w:rPr>
                <w:bCs/>
                <w:color w:val="000000"/>
                <w:szCs w:val="24"/>
              </w:rPr>
              <w:t xml:space="preserve">Information om </w:t>
            </w:r>
            <w:r w:rsidR="00E73747" w:rsidRPr="00E73747">
              <w:rPr>
                <w:bCs/>
                <w:color w:val="000000"/>
                <w:szCs w:val="24"/>
              </w:rPr>
              <w:t>Afg</w:t>
            </w:r>
            <w:r w:rsidR="00A8650D">
              <w:rPr>
                <w:bCs/>
                <w:color w:val="000000"/>
                <w:szCs w:val="24"/>
              </w:rPr>
              <w:t>h</w:t>
            </w:r>
            <w:r w:rsidR="00E73747" w:rsidRPr="00E73747">
              <w:rPr>
                <w:bCs/>
                <w:color w:val="000000"/>
                <w:szCs w:val="24"/>
              </w:rPr>
              <w:t>anistan och Irak</w:t>
            </w:r>
            <w:r w:rsidRPr="00E73747">
              <w:rPr>
                <w:bCs/>
                <w:color w:val="000000"/>
                <w:szCs w:val="24"/>
              </w:rPr>
              <w:t xml:space="preserve"> från </w:t>
            </w:r>
            <w:r w:rsidR="00E73747" w:rsidRPr="00E73747">
              <w:rPr>
                <w:bCs/>
                <w:color w:val="000000"/>
                <w:szCs w:val="24"/>
              </w:rPr>
              <w:t>utrikesminister Margot Wallström, kansliråd Oscar Schlyter, departementssekreterarna Marcus Holknekt och Samuel Persson och politiskt sakkunnig Louise Bjarke</w:t>
            </w:r>
            <w:r w:rsidRPr="00E73747">
              <w:rPr>
                <w:bCs/>
                <w:color w:val="000000"/>
                <w:szCs w:val="24"/>
              </w:rPr>
              <w:t xml:space="preserve">, samtliga från </w:t>
            </w:r>
            <w:r w:rsidR="00F95790">
              <w:rPr>
                <w:bCs/>
                <w:color w:val="000000"/>
                <w:szCs w:val="24"/>
              </w:rPr>
              <w:t>U</w:t>
            </w:r>
            <w:r w:rsidR="00E73747" w:rsidRPr="00E73747">
              <w:rPr>
                <w:bCs/>
                <w:color w:val="000000"/>
                <w:szCs w:val="24"/>
              </w:rPr>
              <w:t xml:space="preserve">trikesdepartementet, försvarsminister Peter Hultqvist, kansliråd Anja </w:t>
            </w:r>
            <w:proofErr w:type="spellStart"/>
            <w:r w:rsidR="00E73747" w:rsidRPr="00E73747">
              <w:rPr>
                <w:bCs/>
                <w:color w:val="000000"/>
                <w:szCs w:val="24"/>
              </w:rPr>
              <w:t>Glavinic</w:t>
            </w:r>
            <w:proofErr w:type="spellEnd"/>
            <w:r w:rsidR="00E73747" w:rsidRPr="00E73747">
              <w:rPr>
                <w:bCs/>
                <w:color w:val="000000"/>
                <w:szCs w:val="24"/>
              </w:rPr>
              <w:t xml:space="preserve"> Jones, departementssekreterare Henric Abrahamsson och politiskt sakkunnig Anders Eriksson</w:t>
            </w:r>
            <w:r w:rsidRPr="00E73747">
              <w:rPr>
                <w:bCs/>
                <w:color w:val="000000"/>
                <w:szCs w:val="24"/>
              </w:rPr>
              <w:t>,</w:t>
            </w:r>
            <w:r w:rsidR="00E73747" w:rsidRPr="00E73747">
              <w:rPr>
                <w:bCs/>
                <w:color w:val="000000"/>
                <w:szCs w:val="24"/>
              </w:rPr>
              <w:t xml:space="preserve"> samtliga från Försvarsdepartementet och </w:t>
            </w:r>
            <w:r w:rsidR="005425A1">
              <w:rPr>
                <w:bCs/>
                <w:color w:val="000000"/>
                <w:szCs w:val="24"/>
              </w:rPr>
              <w:t>b</w:t>
            </w:r>
            <w:r w:rsidR="00E73747" w:rsidRPr="00E73747">
              <w:rPr>
                <w:bCs/>
                <w:color w:val="000000"/>
                <w:szCs w:val="24"/>
              </w:rPr>
              <w:t>rigadgeneral Lena Persson Herlitz, kommendör Jonas Wikström och ÖB:s säkerhetspolitiska rådgivare Ingrid Ask, samtliga från Försvarsmakten.</w:t>
            </w:r>
          </w:p>
          <w:p w:rsidR="00316F3B" w:rsidRDefault="00316F3B" w:rsidP="00316F3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316F3B" w:rsidRPr="00061616" w:rsidRDefault="00316F3B" w:rsidP="00316F3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316F3B" w:rsidRDefault="00316F3B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DA6A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A6AE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31E30" w:rsidRDefault="00DA6AE9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UNDP m.m.</w:t>
            </w:r>
          </w:p>
          <w:p w:rsidR="001E400F" w:rsidRDefault="001E400F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A6AE9" w:rsidRDefault="00DA6AE9" w:rsidP="00DA6AE9">
            <w:pPr>
              <w:autoSpaceDE w:val="0"/>
              <w:autoSpaceDN w:val="0"/>
              <w:adjustRightInd w:val="0"/>
            </w:pPr>
            <w:r w:rsidRPr="00463B6D">
              <w:rPr>
                <w:bCs/>
                <w:color w:val="000000"/>
                <w:szCs w:val="24"/>
              </w:rPr>
              <w:t xml:space="preserve">Information om UNDP från chefen för det nordiska </w:t>
            </w:r>
            <w:r w:rsidR="00B37DD4" w:rsidRPr="00463B6D">
              <w:rPr>
                <w:bCs/>
                <w:color w:val="000000"/>
                <w:szCs w:val="24"/>
              </w:rPr>
              <w:t>kontoret</w:t>
            </w:r>
            <w:r w:rsidRPr="00463B6D">
              <w:rPr>
                <w:bCs/>
                <w:color w:val="000000"/>
                <w:szCs w:val="24"/>
              </w:rPr>
              <w:t xml:space="preserve"> </w:t>
            </w:r>
            <w:r w:rsidR="00463B6D" w:rsidRPr="00463B6D">
              <w:t xml:space="preserve">Camilla </w:t>
            </w:r>
            <w:proofErr w:type="spellStart"/>
            <w:r w:rsidR="00463B6D" w:rsidRPr="00463B6D">
              <w:t>Brückner</w:t>
            </w:r>
            <w:proofErr w:type="spellEnd"/>
            <w:r w:rsidR="00463B6D" w:rsidRPr="00463B6D">
              <w:t>, chef</w:t>
            </w:r>
            <w:r w:rsidR="00463B6D">
              <w:t>en</w:t>
            </w:r>
            <w:r w:rsidR="00463B6D" w:rsidRPr="00463B6D">
              <w:t xml:space="preserve"> för det svenska kontoret</w:t>
            </w:r>
            <w:r w:rsidR="00463B6D" w:rsidRPr="00463B6D">
              <w:rPr>
                <w:bCs/>
                <w:color w:val="000000"/>
                <w:szCs w:val="24"/>
              </w:rPr>
              <w:t xml:space="preserve"> </w:t>
            </w:r>
            <w:r w:rsidR="00463B6D" w:rsidRPr="00463B6D">
              <w:t>Carolina Given-Sjölander</w:t>
            </w:r>
            <w:r w:rsidR="00463B6D" w:rsidRPr="00463B6D">
              <w:rPr>
                <w:bCs/>
                <w:color w:val="000000"/>
                <w:szCs w:val="24"/>
              </w:rPr>
              <w:t xml:space="preserve"> och </w:t>
            </w:r>
            <w:r w:rsidR="00463B6D" w:rsidRPr="00463B6D">
              <w:t>projektledare i Sverige Albert Askeljung</w:t>
            </w:r>
            <w:r w:rsidR="00463B6D">
              <w:t>.</w:t>
            </w:r>
          </w:p>
          <w:p w:rsidR="00463B6D" w:rsidRDefault="00463B6D" w:rsidP="00DA6AE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A6AE9" w:rsidRPr="00061616" w:rsidRDefault="00DA6AE9" w:rsidP="00DA6AE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CE5B29" w:rsidRDefault="00CE5B29" w:rsidP="00463B6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753A5" w:rsidRPr="00ED752A" w:rsidTr="00C3524A">
        <w:trPr>
          <w:trHeight w:val="884"/>
        </w:trPr>
        <w:tc>
          <w:tcPr>
            <w:tcW w:w="567" w:type="dxa"/>
          </w:tcPr>
          <w:p w:rsidR="006753A5" w:rsidRDefault="006753A5" w:rsidP="00BE759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E759C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6753A5" w:rsidRDefault="006753A5" w:rsidP="006753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6753A5" w:rsidRDefault="006753A5" w:rsidP="006753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753A5" w:rsidRDefault="006753A5" w:rsidP="006753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protokoll 2018/19:38</w:t>
            </w:r>
            <w:r w:rsidR="00BE759C">
              <w:rPr>
                <w:bCs/>
                <w:color w:val="000000"/>
                <w:szCs w:val="24"/>
              </w:rPr>
              <w:t xml:space="preserve"> och </w:t>
            </w:r>
            <w:r w:rsidR="00BE759C">
              <w:rPr>
                <w:color w:val="000000"/>
                <w:szCs w:val="24"/>
              </w:rPr>
              <w:t xml:space="preserve">besöksprotokoll 2018/19:11, 2018/19:12, 2018/19:13, 2018/19:14, 2018/19:15, 2018/19:16, 2018/19:17 och 2018/19:18  </w:t>
            </w:r>
          </w:p>
          <w:p w:rsidR="006753A5" w:rsidRDefault="006753A5" w:rsidP="00882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E759C" w:rsidRPr="00ED752A" w:rsidTr="00C3524A">
        <w:trPr>
          <w:trHeight w:val="884"/>
        </w:trPr>
        <w:tc>
          <w:tcPr>
            <w:tcW w:w="567" w:type="dxa"/>
          </w:tcPr>
          <w:p w:rsidR="00BE759C" w:rsidRDefault="00BE759C" w:rsidP="00BE759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BE759C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Sveriges medlemskap i FN:s säkerhetsråd 2017–2018 (UU8)</w:t>
            </w:r>
          </w:p>
          <w:p w:rsidR="00BE759C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BE759C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fortsatte behandlingen av skrivelse 2018/19:104 och motioner. </w:t>
            </w:r>
          </w:p>
          <w:p w:rsidR="00522F0D" w:rsidRDefault="00522F0D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BE759C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justerade betänkande 2018/</w:t>
            </w:r>
            <w:proofErr w:type="gramStart"/>
            <w:r>
              <w:rPr>
                <w:bCs/>
                <w:color w:val="000000"/>
                <w:lang w:eastAsia="en-US"/>
              </w:rPr>
              <w:t>19:UU</w:t>
            </w:r>
            <w:proofErr w:type="gramEnd"/>
            <w:r>
              <w:rPr>
                <w:bCs/>
                <w:color w:val="000000"/>
                <w:lang w:eastAsia="en-US"/>
              </w:rPr>
              <w:t>8.</w:t>
            </w:r>
          </w:p>
          <w:p w:rsidR="00BE759C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694A0B" w:rsidRPr="00694A0B" w:rsidRDefault="00ED38CD" w:rsidP="00694A0B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694A0B">
              <w:rPr>
                <w:bCs/>
                <w:color w:val="000000"/>
                <w:lang w:eastAsia="en-US"/>
              </w:rPr>
              <w:t>M-, SD-, C-, V-, KD- och L-ledamöterna anmälde reservationer</w:t>
            </w:r>
            <w:r w:rsidR="00694A0B" w:rsidRPr="00694A0B">
              <w:rPr>
                <w:bCs/>
                <w:color w:val="000000"/>
                <w:lang w:eastAsia="en-US"/>
              </w:rPr>
              <w:t>.</w:t>
            </w:r>
          </w:p>
          <w:p w:rsidR="00694A0B" w:rsidRPr="00694A0B" w:rsidRDefault="00694A0B" w:rsidP="00694A0B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BE759C" w:rsidRPr="005A2906" w:rsidRDefault="00694A0B" w:rsidP="00694A0B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694A0B">
              <w:rPr>
                <w:bCs/>
                <w:color w:val="000000"/>
                <w:lang w:eastAsia="en-US"/>
              </w:rPr>
              <w:t>C-ledamoten anmälde ett särskilt</w:t>
            </w:r>
            <w:r w:rsidR="00ED38CD" w:rsidRPr="00694A0B">
              <w:rPr>
                <w:bCs/>
                <w:color w:val="000000"/>
                <w:lang w:eastAsia="en-US"/>
              </w:rPr>
              <w:t xml:space="preserve"> yttrande</w:t>
            </w:r>
            <w:r w:rsidRPr="00694A0B">
              <w:rPr>
                <w:bCs/>
                <w:color w:val="000000"/>
                <w:lang w:eastAsia="en-US"/>
              </w:rPr>
              <w:t>.</w:t>
            </w:r>
          </w:p>
        </w:tc>
      </w:tr>
      <w:tr w:rsidR="00BE759C" w:rsidRPr="00ED752A" w:rsidTr="00785922">
        <w:trPr>
          <w:trHeight w:val="1145"/>
        </w:trPr>
        <w:tc>
          <w:tcPr>
            <w:tcW w:w="567" w:type="dxa"/>
          </w:tcPr>
          <w:p w:rsidR="00BE759C" w:rsidRDefault="00BE759C" w:rsidP="00521AE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21AE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521AE3" w:rsidRDefault="00521AE3" w:rsidP="00521AE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Inför utrikesrådet och inför allmänna rådet </w:t>
            </w:r>
          </w:p>
          <w:p w:rsidR="00C61D52" w:rsidRDefault="00C61D52" w:rsidP="00521AE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21AE3" w:rsidRDefault="00521AE3" w:rsidP="00521AE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Information inför utrikesrådet och inför allmänna rådet från kabinettssekreterare Annika Söder, departementsråd Louise Calais, kansliråd Anna Uggla och politiskt sakkunnig Magnus </w:t>
            </w:r>
            <w:proofErr w:type="gramStart"/>
            <w:r>
              <w:rPr>
                <w:color w:val="000000"/>
                <w:szCs w:val="24"/>
              </w:rPr>
              <w:t>Nilsson,  samtliga</w:t>
            </w:r>
            <w:proofErr w:type="gramEnd"/>
            <w:r>
              <w:rPr>
                <w:color w:val="000000"/>
                <w:szCs w:val="24"/>
              </w:rPr>
              <w:t xml:space="preserve"> från Utrikesdepartementet.</w:t>
            </w:r>
          </w:p>
          <w:p w:rsidR="00521AE3" w:rsidRDefault="00521AE3" w:rsidP="00521AE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21AE3" w:rsidRDefault="00521AE3" w:rsidP="00521AE3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:rsidR="00BE759C" w:rsidRPr="005A2906" w:rsidRDefault="00BE759C" w:rsidP="00521AE3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BE759C" w:rsidRPr="00A128E5" w:rsidTr="00071D23">
        <w:trPr>
          <w:trHeight w:val="80"/>
        </w:trPr>
        <w:tc>
          <w:tcPr>
            <w:tcW w:w="567" w:type="dxa"/>
          </w:tcPr>
          <w:p w:rsidR="00BE759C" w:rsidRDefault="00BE759C" w:rsidP="00BC6A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C6A2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BE759C" w:rsidRDefault="00BC6A2A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UNDP m.m.</w:t>
            </w:r>
          </w:p>
          <w:p w:rsidR="00BE759C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BE759C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Information från </w:t>
            </w:r>
            <w:r w:rsidR="00A53F5A">
              <w:rPr>
                <w:bCs/>
                <w:color w:val="000000"/>
                <w:lang w:eastAsia="en-US"/>
              </w:rPr>
              <w:t xml:space="preserve">statssekreterare Per Olsson Stridh, enhetschef Per Holmström, biträdande enhetschef Harriet Pedersen, biträdande enhetschef Inger Buxton, departementssekreterare </w:t>
            </w:r>
            <w:proofErr w:type="spellStart"/>
            <w:r w:rsidR="00A53F5A">
              <w:rPr>
                <w:bCs/>
                <w:color w:val="000000"/>
                <w:lang w:eastAsia="en-US"/>
              </w:rPr>
              <w:t>Azadeh</w:t>
            </w:r>
            <w:proofErr w:type="spellEnd"/>
            <w:r w:rsidR="00A53F5A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="00A53F5A">
              <w:rPr>
                <w:bCs/>
                <w:color w:val="000000"/>
                <w:lang w:eastAsia="en-US"/>
              </w:rPr>
              <w:t>Alian</w:t>
            </w:r>
            <w:proofErr w:type="spellEnd"/>
            <w:r w:rsidR="00A53F5A">
              <w:rPr>
                <w:bCs/>
                <w:color w:val="000000"/>
                <w:lang w:eastAsia="en-US"/>
              </w:rPr>
              <w:t xml:space="preserve">-Söderqvist, samordnare Hanna Lambert och politiskt sakkunnig Katarina Hellström, </w:t>
            </w:r>
            <w:r>
              <w:rPr>
                <w:bCs/>
                <w:color w:val="000000"/>
                <w:lang w:eastAsia="en-US"/>
              </w:rPr>
              <w:t xml:space="preserve">samtliga från Utrikesdepartementet. </w:t>
            </w:r>
          </w:p>
          <w:p w:rsidR="00BE759C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BE759C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Ledamöternas frågor besvarades. </w:t>
            </w:r>
          </w:p>
          <w:p w:rsidR="00BE759C" w:rsidRPr="00A128E5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473C5A" w:rsidRPr="00A128E5" w:rsidTr="00071D23">
        <w:trPr>
          <w:trHeight w:val="80"/>
        </w:trPr>
        <w:tc>
          <w:tcPr>
            <w:tcW w:w="567" w:type="dxa"/>
          </w:tcPr>
          <w:p w:rsidR="00473C5A" w:rsidRDefault="00473C5A" w:rsidP="00BC6A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3B04CA" w:rsidRPr="003B04CA" w:rsidRDefault="00FF1967" w:rsidP="00BE759C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 w:rsidRPr="003B04CA">
              <w:rPr>
                <w:b/>
                <w:bCs/>
                <w:color w:val="000000"/>
              </w:rPr>
              <w:t>EU:s och medlemsländernas stöd i genomförandet av Agenda 2030 i utvecklingsländerna</w:t>
            </w:r>
            <w:r w:rsidRPr="003B04CA">
              <w:rPr>
                <w:color w:val="000000"/>
              </w:rPr>
              <w:br/>
            </w:r>
          </w:p>
          <w:p w:rsidR="003B04CA" w:rsidRDefault="003B04CA" w:rsidP="003B04CA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Information från statssekreterare Per Olsson Stridh, enhetschef Per Holmström, biträdande enhetschef Harriet Pedersen, biträdande enhetschef Inger Buxton, departementssekreterare </w:t>
            </w:r>
            <w:proofErr w:type="spellStart"/>
            <w:r>
              <w:rPr>
                <w:bCs/>
                <w:color w:val="000000"/>
                <w:lang w:eastAsia="en-US"/>
              </w:rPr>
              <w:t>Azadeh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Alian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-Söderqvist, samordnare Hanna Lambert och politiskt sakkunnig Katarina Hellström, samtliga från Utrikesdepartementet. </w:t>
            </w:r>
          </w:p>
          <w:p w:rsidR="003B04CA" w:rsidRDefault="003B04CA" w:rsidP="003B04CA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3B04CA" w:rsidRDefault="003B04CA" w:rsidP="003B04CA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Ledamöternas frågor besvarades. </w:t>
            </w:r>
          </w:p>
          <w:p w:rsidR="00473C5A" w:rsidRDefault="00473C5A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1F48B7" w:rsidRPr="00A128E5" w:rsidTr="00071D23">
        <w:trPr>
          <w:trHeight w:val="80"/>
        </w:trPr>
        <w:tc>
          <w:tcPr>
            <w:tcW w:w="567" w:type="dxa"/>
          </w:tcPr>
          <w:p w:rsidR="001F48B7" w:rsidRDefault="001F48B7" w:rsidP="00BC6A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1F48B7" w:rsidRDefault="001F48B7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Ev. </w:t>
            </w:r>
            <w:proofErr w:type="spellStart"/>
            <w:r>
              <w:rPr>
                <w:b/>
                <w:bCs/>
                <w:color w:val="000000"/>
              </w:rPr>
              <w:t>subsidiarietsprövningar</w:t>
            </w:r>
            <w:proofErr w:type="spellEnd"/>
            <w:r>
              <w:rPr>
                <w:b/>
                <w:bCs/>
                <w:color w:val="000000"/>
              </w:rPr>
              <w:t xml:space="preserve"> under riksdagens sommaruppehåll 2019</w:t>
            </w:r>
          </w:p>
          <w:p w:rsidR="001F48B7" w:rsidRDefault="001F48B7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694A0B" w:rsidRDefault="00694A0B" w:rsidP="00694A0B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Cs w:val="24"/>
              </w:rPr>
              <w:t>Utskottet beslutade om att presidiet ges mandat att inleda ev. subsidiaritetsprövningar som inkommer under sommaruppehållet.</w:t>
            </w:r>
          </w:p>
          <w:p w:rsidR="001F48B7" w:rsidRPr="003B04CA" w:rsidRDefault="001F48B7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BE759C" w:rsidRPr="00ED752A" w:rsidTr="00EA48EC">
        <w:trPr>
          <w:trHeight w:val="2920"/>
        </w:trPr>
        <w:tc>
          <w:tcPr>
            <w:tcW w:w="567" w:type="dxa"/>
          </w:tcPr>
          <w:p w:rsidR="00BE759C" w:rsidRPr="00886585" w:rsidRDefault="00BE759C" w:rsidP="001F48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86585">
              <w:rPr>
                <w:b/>
                <w:snapToGrid w:val="0"/>
                <w:szCs w:val="24"/>
              </w:rPr>
              <w:t xml:space="preserve">§ </w:t>
            </w:r>
            <w:r w:rsidR="001F48B7" w:rsidRPr="00886585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886585">
              <w:rPr>
                <w:b/>
                <w:bCs/>
                <w:color w:val="000000"/>
                <w:lang w:eastAsia="en-US"/>
              </w:rPr>
              <w:t xml:space="preserve">Kanslimeddelanden </w:t>
            </w:r>
          </w:p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 xml:space="preserve">Utskottet beslutade om att: </w:t>
            </w:r>
          </w:p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 xml:space="preserve">– </w:t>
            </w:r>
            <w:r w:rsidR="001F48B7" w:rsidRPr="00886585">
              <w:rPr>
                <w:bCs/>
                <w:color w:val="000000"/>
                <w:lang w:eastAsia="en-US"/>
              </w:rPr>
              <w:t xml:space="preserve">Pyry Niemi (S), Kerstin Lundgren (C), Lars Andersson (SD) och Håkan Svenneling (V) deltar vid öppningen av Sverigehuset i Oslo den </w:t>
            </w:r>
            <w:proofErr w:type="gramStart"/>
            <w:r w:rsidR="001F48B7" w:rsidRPr="00886585">
              <w:rPr>
                <w:bCs/>
                <w:color w:val="000000"/>
                <w:lang w:eastAsia="en-US"/>
              </w:rPr>
              <w:t>5-6</w:t>
            </w:r>
            <w:proofErr w:type="gramEnd"/>
            <w:r w:rsidR="001F48B7" w:rsidRPr="00886585">
              <w:rPr>
                <w:bCs/>
                <w:color w:val="000000"/>
                <w:lang w:eastAsia="en-US"/>
              </w:rPr>
              <w:t xml:space="preserve"> september 2019.</w:t>
            </w:r>
            <w:r w:rsidRPr="00886585">
              <w:rPr>
                <w:bCs/>
                <w:color w:val="000000"/>
                <w:lang w:eastAsia="en-US"/>
              </w:rPr>
              <w:t xml:space="preserve"> </w:t>
            </w:r>
          </w:p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 xml:space="preserve">– </w:t>
            </w:r>
            <w:r w:rsidR="001F48B7" w:rsidRPr="00886585">
              <w:rPr>
                <w:bCs/>
                <w:color w:val="000000"/>
                <w:lang w:eastAsia="en-US"/>
              </w:rPr>
              <w:t xml:space="preserve">Aylin Fazelian (S) och Margareta Cederfelt (M) </w:t>
            </w:r>
            <w:r w:rsidRPr="00886585">
              <w:rPr>
                <w:bCs/>
                <w:color w:val="000000"/>
                <w:lang w:eastAsia="en-US"/>
              </w:rPr>
              <w:t>delta</w:t>
            </w:r>
            <w:r w:rsidR="001F48B7" w:rsidRPr="00886585">
              <w:rPr>
                <w:bCs/>
                <w:color w:val="000000"/>
                <w:lang w:eastAsia="en-US"/>
              </w:rPr>
              <w:t>r</w:t>
            </w:r>
            <w:r w:rsidRPr="00886585">
              <w:rPr>
                <w:bCs/>
                <w:color w:val="000000"/>
                <w:lang w:eastAsia="en-US"/>
              </w:rPr>
              <w:t xml:space="preserve"> vid </w:t>
            </w:r>
            <w:proofErr w:type="spellStart"/>
            <w:r w:rsidRPr="00886585">
              <w:rPr>
                <w:bCs/>
                <w:color w:val="000000"/>
                <w:lang w:eastAsia="en-US"/>
              </w:rPr>
              <w:t>Gusp</w:t>
            </w:r>
            <w:proofErr w:type="spellEnd"/>
            <w:r w:rsidRPr="00886585">
              <w:rPr>
                <w:bCs/>
                <w:color w:val="000000"/>
                <w:lang w:eastAsia="en-US"/>
              </w:rPr>
              <w:t>/</w:t>
            </w:r>
            <w:proofErr w:type="spellStart"/>
            <w:r w:rsidRPr="00886585">
              <w:rPr>
                <w:bCs/>
                <w:color w:val="000000"/>
                <w:lang w:eastAsia="en-US"/>
              </w:rPr>
              <w:t>Gsfp</w:t>
            </w:r>
            <w:proofErr w:type="spellEnd"/>
            <w:r w:rsidRPr="00886585">
              <w:rPr>
                <w:bCs/>
                <w:color w:val="000000"/>
                <w:lang w:eastAsia="en-US"/>
              </w:rPr>
              <w:t xml:space="preserve">-konferensen i Helsingfors den </w:t>
            </w:r>
            <w:proofErr w:type="gramStart"/>
            <w:r w:rsidRPr="00886585">
              <w:rPr>
                <w:bCs/>
                <w:color w:val="000000"/>
                <w:lang w:eastAsia="en-US"/>
              </w:rPr>
              <w:t>4-6</w:t>
            </w:r>
            <w:proofErr w:type="gramEnd"/>
            <w:r w:rsidRPr="00886585">
              <w:rPr>
                <w:bCs/>
                <w:color w:val="000000"/>
                <w:lang w:eastAsia="en-US"/>
              </w:rPr>
              <w:t xml:space="preserve"> september</w:t>
            </w:r>
            <w:r w:rsidR="001F48B7" w:rsidRPr="00886585">
              <w:rPr>
                <w:bCs/>
                <w:color w:val="000000"/>
                <w:lang w:eastAsia="en-US"/>
              </w:rPr>
              <w:t xml:space="preserve"> 2019</w:t>
            </w:r>
            <w:r w:rsidRPr="00886585">
              <w:rPr>
                <w:bCs/>
                <w:color w:val="000000"/>
                <w:lang w:eastAsia="en-US"/>
              </w:rPr>
              <w:t xml:space="preserve">. </w:t>
            </w:r>
          </w:p>
          <w:p w:rsidR="001F48B7" w:rsidRPr="00886585" w:rsidRDefault="001F48B7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>Utskottet informerades om</w:t>
            </w:r>
            <w:r w:rsidR="001F48B7" w:rsidRPr="00886585">
              <w:rPr>
                <w:bCs/>
                <w:color w:val="000000"/>
                <w:lang w:eastAsia="en-US"/>
              </w:rPr>
              <w:t xml:space="preserve"> att</w:t>
            </w:r>
            <w:r w:rsidRPr="00886585">
              <w:rPr>
                <w:bCs/>
                <w:color w:val="000000"/>
                <w:lang w:eastAsia="en-US"/>
              </w:rPr>
              <w:t>:</w:t>
            </w:r>
          </w:p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 xml:space="preserve">– </w:t>
            </w:r>
            <w:r w:rsidR="001F48B7" w:rsidRPr="00886585">
              <w:rPr>
                <w:bCs/>
                <w:color w:val="000000"/>
                <w:lang w:eastAsia="en-US"/>
              </w:rPr>
              <w:t>debattlista för UU8 har cirkulerats</w:t>
            </w:r>
            <w:r w:rsidRPr="00886585">
              <w:rPr>
                <w:bCs/>
                <w:color w:val="000000"/>
                <w:lang w:eastAsia="en-US"/>
              </w:rPr>
              <w:t xml:space="preserve">. </w:t>
            </w:r>
          </w:p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 xml:space="preserve">– </w:t>
            </w:r>
            <w:r w:rsidR="001F48B7" w:rsidRPr="00886585">
              <w:rPr>
                <w:bCs/>
                <w:color w:val="000000"/>
                <w:lang w:eastAsia="en-US"/>
              </w:rPr>
              <w:t>första sammanträdet efter riksmötets öppnande äger rum torsdagen den 12 september 2019 kl. 09:30.</w:t>
            </w:r>
          </w:p>
          <w:p w:rsidR="00BE759C" w:rsidRPr="00886585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E13B49" w:rsidRDefault="00BE759C" w:rsidP="00A15E9B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>Utskottet påmindes om</w:t>
            </w:r>
            <w:r w:rsidR="001F48B7" w:rsidRPr="00886585">
              <w:rPr>
                <w:bCs/>
                <w:color w:val="000000"/>
                <w:lang w:eastAsia="en-US"/>
              </w:rPr>
              <w:t xml:space="preserve"> att:</w:t>
            </w:r>
            <w:r w:rsidR="001F48B7" w:rsidRPr="00886585">
              <w:rPr>
                <w:bCs/>
                <w:color w:val="000000"/>
                <w:lang w:eastAsia="en-US"/>
              </w:rPr>
              <w:br/>
              <w:t>– utskottet sammanträder för FAC-föredragning den 11 juli 2019</w:t>
            </w:r>
          </w:p>
          <w:p w:rsidR="00BE759C" w:rsidRPr="00886585" w:rsidRDefault="001F48B7" w:rsidP="00A15E9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886585">
              <w:rPr>
                <w:bCs/>
                <w:color w:val="000000"/>
                <w:lang w:eastAsia="en-US"/>
              </w:rPr>
              <w:t>kl. 11:00.</w:t>
            </w:r>
            <w:r w:rsidR="00BE759C" w:rsidRPr="00886585">
              <w:rPr>
                <w:bCs/>
                <w:color w:val="000000"/>
                <w:lang w:eastAsia="en-US"/>
              </w:rPr>
              <w:t xml:space="preserve"> </w:t>
            </w:r>
          </w:p>
        </w:tc>
      </w:tr>
      <w:tr w:rsidR="00BE759C" w:rsidRPr="00ED752A" w:rsidTr="00D85660">
        <w:trPr>
          <w:trHeight w:val="1299"/>
        </w:trPr>
        <w:tc>
          <w:tcPr>
            <w:tcW w:w="567" w:type="dxa"/>
          </w:tcPr>
          <w:p w:rsidR="00BE759C" w:rsidRPr="001F48B7" w:rsidRDefault="00BE759C" w:rsidP="001F48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F48B7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F48B7" w:rsidRPr="001F48B7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:rsidR="00BE759C" w:rsidRPr="001F48B7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Inkomna skrivelser</w:t>
            </w:r>
          </w:p>
          <w:p w:rsidR="00BE759C" w:rsidRPr="001F48B7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BE759C" w:rsidRPr="001F48B7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Inkomna skrivelser anmäldes enligt bilaga. </w:t>
            </w:r>
          </w:p>
        </w:tc>
      </w:tr>
      <w:tr w:rsidR="001F48B7" w:rsidRPr="00ED752A" w:rsidTr="00D85660">
        <w:trPr>
          <w:trHeight w:val="1299"/>
        </w:trPr>
        <w:tc>
          <w:tcPr>
            <w:tcW w:w="567" w:type="dxa"/>
          </w:tcPr>
          <w:p w:rsidR="001F48B7" w:rsidRPr="001F48B7" w:rsidRDefault="001F48B7" w:rsidP="001F48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F48B7"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</w:tcPr>
          <w:p w:rsidR="001F48B7" w:rsidRPr="001F48B7" w:rsidRDefault="001F48B7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Övriga frågor</w:t>
            </w:r>
          </w:p>
          <w:p w:rsidR="001F48B7" w:rsidRPr="001F48B7" w:rsidRDefault="001F48B7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1F48B7" w:rsidRDefault="001F48B7" w:rsidP="001F48B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Björn Söder (S</w:t>
            </w:r>
            <w:r w:rsidR="002C680B">
              <w:rPr>
                <w:bCs/>
                <w:color w:val="000000"/>
                <w:lang w:eastAsia="en-US"/>
              </w:rPr>
              <w:t>D</w:t>
            </w:r>
            <w:r w:rsidRPr="001F48B7">
              <w:rPr>
                <w:bCs/>
                <w:color w:val="000000"/>
                <w:lang w:eastAsia="en-US"/>
              </w:rPr>
              <w:t xml:space="preserve">) </w:t>
            </w:r>
            <w:r w:rsidR="00972816">
              <w:rPr>
                <w:bCs/>
                <w:color w:val="000000"/>
                <w:lang w:eastAsia="en-US"/>
              </w:rPr>
              <w:t>tog upp fråga om utskottets arbetsformer.</w:t>
            </w:r>
          </w:p>
          <w:p w:rsidR="00972816" w:rsidRPr="001F48B7" w:rsidRDefault="00972816" w:rsidP="001F48B7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1F48B7" w:rsidRDefault="001F48B7" w:rsidP="0097281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Robert Halef (KD) undrade vad som händer med återkallelsen</w:t>
            </w:r>
            <w:r w:rsidR="002305D6">
              <w:rPr>
                <w:bCs/>
                <w:color w:val="000000"/>
                <w:lang w:eastAsia="en-US"/>
              </w:rPr>
              <w:t xml:space="preserve"> av</w:t>
            </w:r>
            <w:r w:rsidRPr="001F48B7">
              <w:rPr>
                <w:bCs/>
                <w:color w:val="000000"/>
                <w:lang w:eastAsia="en-US"/>
              </w:rPr>
              <w:t xml:space="preserve"> </w:t>
            </w:r>
            <w:r w:rsidR="00972816">
              <w:rPr>
                <w:bCs/>
                <w:color w:val="000000"/>
                <w:lang w:eastAsia="en-US"/>
              </w:rPr>
              <w:t>proposition 2017/18:285.</w:t>
            </w:r>
          </w:p>
          <w:p w:rsidR="00972816" w:rsidRPr="001F48B7" w:rsidRDefault="00972816" w:rsidP="0097281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ED38CD" w:rsidRPr="00ED752A" w:rsidTr="00D85660">
        <w:trPr>
          <w:trHeight w:val="1299"/>
        </w:trPr>
        <w:tc>
          <w:tcPr>
            <w:tcW w:w="567" w:type="dxa"/>
          </w:tcPr>
          <w:p w:rsidR="00ED38CD" w:rsidRPr="001F48B7" w:rsidRDefault="00ED38CD" w:rsidP="001F48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:rsidR="00ED38CD" w:rsidRDefault="00ED38CD" w:rsidP="0097281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Reseberättelse Finland </w:t>
            </w:r>
            <w:proofErr w:type="gramStart"/>
            <w:r>
              <w:rPr>
                <w:b/>
                <w:bCs/>
                <w:color w:val="000000"/>
              </w:rPr>
              <w:t>4-5</w:t>
            </w:r>
            <w:proofErr w:type="gramEnd"/>
            <w:r>
              <w:rPr>
                <w:b/>
                <w:bCs/>
                <w:color w:val="000000"/>
              </w:rPr>
              <w:t xml:space="preserve"> mars 2019 och minnesanteckningar GUSP/GSFP- konferensen i Bukarest 7-8 mars 2019</w:t>
            </w:r>
            <w:r w:rsidR="00972816">
              <w:rPr>
                <w:b/>
                <w:bCs/>
                <w:color w:val="000000"/>
              </w:rPr>
              <w:t xml:space="preserve"> </w:t>
            </w:r>
          </w:p>
          <w:p w:rsidR="00972816" w:rsidRDefault="00972816" w:rsidP="0097281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972816" w:rsidRPr="00972816" w:rsidRDefault="00972816" w:rsidP="0097281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972816">
              <w:rPr>
                <w:bCs/>
                <w:color w:val="000000"/>
              </w:rPr>
              <w:t>Lades till handlingarna</w:t>
            </w:r>
            <w:r>
              <w:rPr>
                <w:bCs/>
                <w:color w:val="000000"/>
              </w:rPr>
              <w:t>.</w:t>
            </w:r>
          </w:p>
        </w:tc>
      </w:tr>
      <w:tr w:rsidR="00BE759C" w:rsidRPr="00ED752A" w:rsidTr="00EF626E">
        <w:trPr>
          <w:trHeight w:val="1404"/>
        </w:trPr>
        <w:tc>
          <w:tcPr>
            <w:tcW w:w="567" w:type="dxa"/>
          </w:tcPr>
          <w:p w:rsidR="00BE759C" w:rsidRPr="001F48B7" w:rsidRDefault="00BE759C" w:rsidP="001F48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F48B7">
              <w:rPr>
                <w:b/>
                <w:snapToGrid w:val="0"/>
                <w:szCs w:val="24"/>
              </w:rPr>
              <w:t xml:space="preserve">§ </w:t>
            </w:r>
            <w:r w:rsidR="001F48B7" w:rsidRPr="001F48B7">
              <w:rPr>
                <w:b/>
                <w:snapToGrid w:val="0"/>
                <w:szCs w:val="24"/>
              </w:rPr>
              <w:t>14</w:t>
            </w:r>
          </w:p>
        </w:tc>
        <w:tc>
          <w:tcPr>
            <w:tcW w:w="6947" w:type="dxa"/>
          </w:tcPr>
          <w:p w:rsidR="00BE759C" w:rsidRPr="001F48B7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BE759C" w:rsidRPr="001F48B7" w:rsidRDefault="00BE759C" w:rsidP="00BE759C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BE759C" w:rsidRPr="001F48B7" w:rsidRDefault="00BE759C" w:rsidP="00BE759C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Utskottet beslutade att nästa sammanträde ska äga rum torsdagen den 11 juli 2019 kl. 11:00. </w:t>
            </w:r>
          </w:p>
        </w:tc>
      </w:tr>
    </w:tbl>
    <w:p w:rsidR="00F37E79" w:rsidRPr="00ED752A" w:rsidRDefault="00F37E79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-52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1E0A86">
        <w:tc>
          <w:tcPr>
            <w:tcW w:w="7156" w:type="dxa"/>
          </w:tcPr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F48B7" w:rsidP="001E0A86">
            <w:pPr>
              <w:tabs>
                <w:tab w:val="left" w:pos="1701"/>
              </w:tabs>
            </w:pPr>
            <w:r>
              <w:t>Anne-Charlotte Gramén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8C49AB">
              <w:t>1</w:t>
            </w:r>
            <w:r w:rsidR="001F48B7">
              <w:t>1 juli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Kenneth G Forslund</w:t>
            </w:r>
          </w:p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Default="00A040A9" w:rsidP="00A040A9">
      <w:pPr>
        <w:rPr>
          <w:highlight w:val="yellow"/>
        </w:rPr>
      </w:pPr>
    </w:p>
    <w:p w:rsidR="00472099" w:rsidRPr="00EE4D74" w:rsidRDefault="0047209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8306E1">
              <w:rPr>
                <w:sz w:val="20"/>
              </w:rPr>
              <w:t>3</w:t>
            </w:r>
            <w:r w:rsidR="006D5D1C">
              <w:rPr>
                <w:sz w:val="20"/>
              </w:rPr>
              <w:t>9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 xml:space="preserve">§ </w:t>
            </w:r>
            <w:proofErr w:type="gramStart"/>
            <w:r w:rsidRPr="00000787">
              <w:rPr>
                <w:sz w:val="18"/>
                <w:szCs w:val="18"/>
              </w:rPr>
              <w:t>1</w:t>
            </w:r>
            <w:r w:rsidR="00F37E79">
              <w:rPr>
                <w:sz w:val="18"/>
                <w:szCs w:val="18"/>
              </w:rPr>
              <w:t>-</w:t>
            </w:r>
            <w:r w:rsidR="006D5D1C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717959">
              <w:rPr>
                <w:sz w:val="18"/>
                <w:szCs w:val="18"/>
              </w:rPr>
              <w:t xml:space="preserve"> </w:t>
            </w:r>
            <w:r w:rsidR="00880B42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1C1F63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6641CD">
              <w:rPr>
                <w:sz w:val="18"/>
                <w:szCs w:val="18"/>
              </w:rPr>
              <w:t xml:space="preserve">§ </w:t>
            </w:r>
            <w:proofErr w:type="gramStart"/>
            <w:r w:rsidR="00A540AC" w:rsidRPr="006641CD">
              <w:rPr>
                <w:sz w:val="18"/>
                <w:szCs w:val="18"/>
              </w:rPr>
              <w:t>4-5</w:t>
            </w:r>
            <w:proofErr w:type="gramEnd"/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C22D1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6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B37DD4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E13B49">
              <w:rPr>
                <w:sz w:val="18"/>
                <w:szCs w:val="18"/>
              </w:rPr>
              <w:t>§ 7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E860FA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8-11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E860FA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12-13</w:t>
            </w:r>
            <w:proofErr w:type="gramEnd"/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3852AF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880B42" w:rsidRDefault="00B37DD4" w:rsidP="00B37DD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564DA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641CD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79344F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O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O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6641CD" w:rsidRDefault="00E860FA" w:rsidP="00E860FA">
            <w:pPr>
              <w:rPr>
                <w:sz w:val="20"/>
              </w:rPr>
            </w:pPr>
            <w:r w:rsidRPr="006641CD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–</w:t>
            </w:r>
          </w:p>
        </w:tc>
      </w:tr>
      <w:tr w:rsidR="00E860FA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860FA" w:rsidRDefault="00E860FA" w:rsidP="00E860FA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Katarina Olofsson (</w:t>
            </w:r>
            <w:proofErr w:type="gramStart"/>
            <w:r>
              <w:rPr>
                <w:snapToGrid w:val="0"/>
                <w:sz w:val="20"/>
              </w:rPr>
              <w:t>SD</w:t>
            </w:r>
            <w:r w:rsidRPr="003852AF">
              <w:rPr>
                <w:snapToGrid w:val="0"/>
                <w:sz w:val="20"/>
              </w:rPr>
              <w:t xml:space="preserve">)  </w:t>
            </w:r>
            <w:r w:rsidRPr="003852AF">
              <w:rPr>
                <w:b/>
                <w:snapToGrid w:val="0"/>
                <w:sz w:val="16"/>
                <w:szCs w:val="16"/>
              </w:rPr>
              <w:t>extra</w:t>
            </w:r>
            <w:proofErr w:type="gramEnd"/>
            <w:r w:rsidRPr="003852AF">
              <w:rPr>
                <w:b/>
                <w:snapToGrid w:val="0"/>
                <w:sz w:val="16"/>
                <w:szCs w:val="16"/>
              </w:rPr>
              <w:t xml:space="preserve">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Default="00E860FA" w:rsidP="00E860FA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000787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9564DA" w:rsidRDefault="00E860FA" w:rsidP="00E860FA">
            <w:pPr>
              <w:rPr>
                <w:sz w:val="20"/>
              </w:rPr>
            </w:pPr>
            <w:r w:rsidRPr="009564DA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  <w:r w:rsidRPr="006641CD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  <w:r w:rsidRPr="006641CD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880B42" w:rsidRDefault="00E860FA" w:rsidP="00E860FA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0FA" w:rsidRPr="00E13B49" w:rsidRDefault="00E860FA" w:rsidP="00E860FA">
            <w:pPr>
              <w:rPr>
                <w:sz w:val="20"/>
              </w:rPr>
            </w:pPr>
            <w:r w:rsidRPr="00E13B49">
              <w:rPr>
                <w:sz w:val="20"/>
              </w:rPr>
              <w:t>X</w:t>
            </w:r>
          </w:p>
        </w:tc>
      </w:tr>
      <w:tr w:rsidR="00A07853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0"/>
  </w:num>
  <w:num w:numId="13">
    <w:abstractNumId w:val="14"/>
  </w:num>
  <w:num w:numId="14">
    <w:abstractNumId w:val="9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5D6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43E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68CC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775B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03E5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662"/>
    <w:rsid w:val="00606F8E"/>
    <w:rsid w:val="006076AF"/>
    <w:rsid w:val="0061068B"/>
    <w:rsid w:val="006108B4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5922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64DA"/>
    <w:rsid w:val="009570AB"/>
    <w:rsid w:val="00957917"/>
    <w:rsid w:val="00957D54"/>
    <w:rsid w:val="00960945"/>
    <w:rsid w:val="00960E48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C631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40CC"/>
    <w:rsid w:val="00A15E3D"/>
    <w:rsid w:val="00A15E9B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AC"/>
    <w:rsid w:val="00A544BE"/>
    <w:rsid w:val="00A57C59"/>
    <w:rsid w:val="00A57E9F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50D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B3B"/>
    <w:rsid w:val="00B97024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0379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56D1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84A"/>
    <w:rsid w:val="00CD39AF"/>
    <w:rsid w:val="00CD5621"/>
    <w:rsid w:val="00CD5D9A"/>
    <w:rsid w:val="00CD6983"/>
    <w:rsid w:val="00CD7C8A"/>
    <w:rsid w:val="00CE0358"/>
    <w:rsid w:val="00CE09DD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10C3B"/>
    <w:rsid w:val="00E11746"/>
    <w:rsid w:val="00E12185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EC5"/>
    <w:rsid w:val="00E77677"/>
    <w:rsid w:val="00E7768E"/>
    <w:rsid w:val="00E810A0"/>
    <w:rsid w:val="00E83DC5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4F2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C28D5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EB50-923E-4A89-86A7-96D97014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4100</TotalTime>
  <Pages>4</Pages>
  <Words>858</Words>
  <Characters>5832</Characters>
  <Application>Microsoft Office Word</Application>
  <DocSecurity>0</DocSecurity>
  <Lines>1166</Lines>
  <Paragraphs>352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557</cp:revision>
  <cp:lastPrinted>2019-07-16T09:13:00Z</cp:lastPrinted>
  <dcterms:created xsi:type="dcterms:W3CDTF">2018-12-13T12:24:00Z</dcterms:created>
  <dcterms:modified xsi:type="dcterms:W3CDTF">2019-07-16T09:13:00Z</dcterms:modified>
</cp:coreProperties>
</file>