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04EA" w:rsidRPr="000F0F1E" w:rsidRDefault="00C604EA" w:rsidP="00C604EA">
      <w:pPr>
        <w:pStyle w:val="Hemstlrubrik"/>
      </w:pPr>
      <w:r w:rsidRPr="000F0F1E">
        <w:t>Förslag till riksdagsbeslut</w:t>
      </w:r>
    </w:p>
    <w:p w:rsidR="00170D05" w:rsidRPr="000F0F1E" w:rsidRDefault="00170D05" w:rsidP="00170D05">
      <w:pPr>
        <w:pStyle w:val="Hemstlatt"/>
      </w:pPr>
      <w:r w:rsidRPr="000F0F1E">
        <w:t>Riksdagen tillkännager för regeringen som sin mening vad i motionen anförs om att tydliggöra miljöbalkens förhållande till kärntekniklagen och strålskyddslagen.</w:t>
      </w:r>
    </w:p>
    <w:p w:rsidR="00170D05" w:rsidRPr="000F0F1E" w:rsidRDefault="00170D05" w:rsidP="0018147B">
      <w:pPr>
        <w:pStyle w:val="Hemstlatt"/>
      </w:pPr>
      <w:r w:rsidRPr="000F0F1E">
        <w:t>Riksdagen tillkännager för regeringen som sin mening vad i motionen anförs om undantag från prövning av tillståndsplikt enligt strålskyddsl</w:t>
      </w:r>
      <w:r w:rsidRPr="000F0F1E">
        <w:t>a</w:t>
      </w:r>
      <w:r w:rsidRPr="000F0F1E">
        <w:t>gen för verksamheter som prövas enligt miljöbalken.</w:t>
      </w:r>
    </w:p>
    <w:p w:rsidR="00170D05" w:rsidRPr="000F0F1E" w:rsidRDefault="00170D05" w:rsidP="00170D05">
      <w:pPr>
        <w:pStyle w:val="Hemstlatt"/>
      </w:pPr>
      <w:r w:rsidRPr="000F0F1E">
        <w:t>Riksdagen tillkännager för regeringen som sin mening vad i motionen anförs om behovet av utbildning och forskning inom kärnkrafts-, kärns</w:t>
      </w:r>
      <w:r w:rsidRPr="000F0F1E">
        <w:t>ä</w:t>
      </w:r>
      <w:r w:rsidRPr="000F0F1E">
        <w:t>ke</w:t>
      </w:r>
      <w:r w:rsidRPr="000F0F1E">
        <w:t>r</w:t>
      </w:r>
      <w:r w:rsidRPr="000F0F1E">
        <w:t>hets</w:t>
      </w:r>
      <w:r w:rsidR="00DB4DF4" w:rsidRPr="000F0F1E">
        <w:t>-</w:t>
      </w:r>
      <w:r w:rsidRPr="000F0F1E">
        <w:t xml:space="preserve"> och strålskyddsområdet.</w:t>
      </w:r>
    </w:p>
    <w:p w:rsidR="00E94E5D" w:rsidRPr="000F0F1E" w:rsidRDefault="00E94E5D" w:rsidP="00E94E5D">
      <w:pPr>
        <w:pStyle w:val="Hemstlatt"/>
      </w:pPr>
      <w:r w:rsidRPr="000F0F1E">
        <w:t xml:space="preserve">Riksdagen tillkännager för regeringen som sin mening vad i motionen anförs om </w:t>
      </w:r>
      <w:r w:rsidR="0018147B" w:rsidRPr="000F0F1E">
        <w:t>att överväga en</w:t>
      </w:r>
      <w:r w:rsidR="00CD7E4E" w:rsidRPr="000F0F1E">
        <w:t xml:space="preserve"> ändring</w:t>
      </w:r>
      <w:r w:rsidR="0018147B" w:rsidRPr="000F0F1E">
        <w:t xml:space="preserve"> av </w:t>
      </w:r>
      <w:r w:rsidR="00CD7E4E" w:rsidRPr="000F0F1E">
        <w:t xml:space="preserve">29 § </w:t>
      </w:r>
      <w:r w:rsidR="00693C01" w:rsidRPr="000F0F1E">
        <w:t>kärntekniklagen för att öka</w:t>
      </w:r>
      <w:r w:rsidRPr="000F0F1E">
        <w:t xml:space="preserve"> rapporteringsviljan</w:t>
      </w:r>
      <w:r w:rsidR="00F80D6C" w:rsidRPr="000F0F1E">
        <w:t xml:space="preserve"> hos kärnkraftverkens personal.</w:t>
      </w:r>
    </w:p>
    <w:p w:rsidR="00E84F25" w:rsidRPr="000F0F1E" w:rsidRDefault="00175D34" w:rsidP="00E22893">
      <w:pPr>
        <w:pStyle w:val="Rubrik1"/>
      </w:pPr>
      <w:r w:rsidRPr="000F0F1E">
        <w:t>Upphävande av förbudet mot att vidta vissa förberedande åtgärder på kärnteknikområdet</w:t>
      </w:r>
    </w:p>
    <w:p w:rsidR="00DB061F" w:rsidRPr="000F0F1E" w:rsidRDefault="00DB061F" w:rsidP="00DB061F">
      <w:r w:rsidRPr="000F0F1E">
        <w:t>År 1987 infördes en bestämmelse i kärntekniklagen (6 §) som stadgar att ingen får utarbeta konstruktionsritningar, beräkna kostnader, beställa utrus</w:t>
      </w:r>
      <w:r w:rsidRPr="000F0F1E">
        <w:t>t</w:t>
      </w:r>
      <w:r w:rsidRPr="000F0F1E">
        <w:t>ning eller vidta andra sådana förberedande åtgärder i syfte att inom landet uppföra en kärnkraftsreaktor. För brott mot bestämmelsen – som i dagligt tal kommit att få benämningen ”tankeförbudsparagrafen” – stadgas fängelse med en straffsats motsvarande den som gäller för vållande till annans död. Tank</w:t>
      </w:r>
      <w:r w:rsidRPr="000F0F1E">
        <w:t>e</w:t>
      </w:r>
      <w:r w:rsidRPr="000F0F1E">
        <w:t xml:space="preserve">förbudet har kritiserats från principiella </w:t>
      </w:r>
      <w:r w:rsidR="00CD7E4E" w:rsidRPr="000F0F1E">
        <w:t>utgångspunkter allt</w:t>
      </w:r>
      <w:r w:rsidRPr="000F0F1E">
        <w:t>sedan det tillkom. Förbudet har uppfattats som oförenligt med de principer om yttrande- och tankefrihet som bör ligga till grund för all lagstiftning och det har ansetts helt artfrämmande att använda e</w:t>
      </w:r>
      <w:r w:rsidR="00CD7E4E" w:rsidRPr="000F0F1E">
        <w:t>n lagtext för att göra allmänna</w:t>
      </w:r>
      <w:r w:rsidRPr="000F0F1E">
        <w:t xml:space="preserve"> politiska mark</w:t>
      </w:r>
      <w:r w:rsidRPr="000F0F1E">
        <w:t>e</w:t>
      </w:r>
      <w:r w:rsidRPr="000F0F1E">
        <w:t>ringar.</w:t>
      </w:r>
    </w:p>
    <w:p w:rsidR="00DB061F" w:rsidRPr="000F0F1E" w:rsidRDefault="00DB061F" w:rsidP="00DB061F">
      <w:pPr>
        <w:pStyle w:val="Normaltindrag"/>
      </w:pPr>
      <w:r w:rsidRPr="000F0F1E">
        <w:t>Folkpartiet har konsekvent motsatt sig denna regel</w:t>
      </w:r>
      <w:r w:rsidR="00693C01" w:rsidRPr="000F0F1E">
        <w:t>,</w:t>
      </w:r>
      <w:r w:rsidRPr="000F0F1E">
        <w:t xml:space="preserve"> och senast i motion 2005/06:N436 krävt att den ska upphävas. </w:t>
      </w:r>
      <w:r w:rsidR="005E28EC" w:rsidRPr="000F0F1E">
        <w:t>Vi noterar nu med stor tillfred</w:t>
      </w:r>
      <w:r w:rsidR="00CD7E4E" w:rsidRPr="000F0F1E">
        <w:t>s</w:t>
      </w:r>
      <w:r w:rsidR="005E28EC" w:rsidRPr="000F0F1E">
        <w:t>stä</w:t>
      </w:r>
      <w:r w:rsidR="005E28EC" w:rsidRPr="000F0F1E">
        <w:t>l</w:t>
      </w:r>
      <w:r w:rsidR="005E28EC" w:rsidRPr="000F0F1E">
        <w:lastRenderedPageBreak/>
        <w:t>lelse att regeringen äntligen insett det olämpliga med denna regel och föreslår att den ska upphävas.</w:t>
      </w:r>
    </w:p>
    <w:p w:rsidR="00170D05" w:rsidRPr="000F0F1E" w:rsidRDefault="00170D05" w:rsidP="00170D05">
      <w:pPr>
        <w:pStyle w:val="Rubrik1"/>
      </w:pPr>
      <w:r w:rsidRPr="000F0F1E">
        <w:t>Förhållandet mellan kärntekniklagen, strålskyddslagen och miljöbalken</w:t>
      </w:r>
    </w:p>
    <w:p w:rsidR="00170D05" w:rsidRPr="000F0F1E" w:rsidRDefault="00170D05" w:rsidP="00170D05">
      <w:r w:rsidRPr="000F0F1E">
        <w:t>Regeringens proposition bygger på ett antal utredningar</w:t>
      </w:r>
      <w:r w:rsidR="00CD7E4E" w:rsidRPr="000F0F1E">
        <w:t>,</w:t>
      </w:r>
      <w:r w:rsidRPr="000F0F1E">
        <w:t xml:space="preserve"> och i dessa berörs ett antal frågor som regeringen valt att antingen inte ta upp i propositionen eller </w:t>
      </w:r>
      <w:r w:rsidR="0018147B" w:rsidRPr="000F0F1E">
        <w:t>inte</w:t>
      </w:r>
      <w:r w:rsidRPr="000F0F1E">
        <w:t xml:space="preserve"> lägga förslag kring. Frågeställningarna i utredningarna pekar på problem som bland annat berör miljöbalken. Utredaren föreslår dels </w:t>
      </w:r>
      <w:r w:rsidR="0018147B" w:rsidRPr="000F0F1E">
        <w:t xml:space="preserve">att </w:t>
      </w:r>
      <w:r w:rsidRPr="000F0F1E">
        <w:t xml:space="preserve">miljöbalken </w:t>
      </w:r>
      <w:r w:rsidR="0018147B" w:rsidRPr="000F0F1E">
        <w:t xml:space="preserve">förtydligas </w:t>
      </w:r>
      <w:r w:rsidRPr="000F0F1E">
        <w:t>vad avser dess förhållande till kärntekniklagen och strålskydd</w:t>
      </w:r>
      <w:r w:rsidR="00CD7E4E" w:rsidRPr="000F0F1E">
        <w:t>s</w:t>
      </w:r>
      <w:r w:rsidRPr="000F0F1E">
        <w:t>l</w:t>
      </w:r>
      <w:r w:rsidRPr="000F0F1E">
        <w:t>a</w:t>
      </w:r>
      <w:r w:rsidRPr="000F0F1E">
        <w:t>gen, dels att verksamhet som kräver tillstånd enligt miljöbalken</w:t>
      </w:r>
      <w:r w:rsidR="00DB4DF4" w:rsidRPr="000F0F1E">
        <w:t xml:space="preserve"> inte bli</w:t>
      </w:r>
      <w:r w:rsidR="00CD7E4E" w:rsidRPr="000F0F1E">
        <w:t>r</w:t>
      </w:r>
      <w:r w:rsidR="00DB4DF4" w:rsidRPr="000F0F1E">
        <w:t xml:space="preserve"> til</w:t>
      </w:r>
      <w:r w:rsidR="00DB4DF4" w:rsidRPr="000F0F1E">
        <w:t>l</w:t>
      </w:r>
      <w:r w:rsidR="00DB4DF4" w:rsidRPr="000F0F1E">
        <w:t>ståndspliktig</w:t>
      </w:r>
      <w:r w:rsidRPr="000F0F1E">
        <w:t xml:space="preserve"> under strålskyddslagen. Folkpartiet anser att det är viktigt att lagstiftningen är lätt att tolka. Det faktum att utredaren pekar på behovet av förtydliganden är en stark indikation på att osäkerhet råder i tolkningen av lagen hos näringsutövare eller myndigheter. Ett förtydligande är därför öns</w:t>
      </w:r>
      <w:r w:rsidRPr="000F0F1E">
        <w:t>k</w:t>
      </w:r>
      <w:r w:rsidRPr="000F0F1E">
        <w:t>värt. Än viktigare är det att minimera antalet lagar som styr olika verksamh</w:t>
      </w:r>
      <w:r w:rsidRPr="000F0F1E">
        <w:t>e</w:t>
      </w:r>
      <w:r w:rsidRPr="000F0F1E">
        <w:t>ter. Ett ständigt återkommande problem för företag är att samma verksamhet styrs av olika regelverk</w:t>
      </w:r>
      <w:r w:rsidR="00693C01" w:rsidRPr="000F0F1E">
        <w:t>,</w:t>
      </w:r>
      <w:r w:rsidRPr="000F0F1E">
        <w:t xml:space="preserve"> </w:t>
      </w:r>
      <w:r w:rsidR="0018147B" w:rsidRPr="000F0F1E">
        <w:t xml:space="preserve">och </w:t>
      </w:r>
      <w:r w:rsidRPr="000F0F1E">
        <w:t>behovet av förenklingar</w:t>
      </w:r>
      <w:r w:rsidR="00CD7E4E" w:rsidRPr="000F0F1E">
        <w:t>,</w:t>
      </w:r>
      <w:r w:rsidRPr="000F0F1E">
        <w:t xml:space="preserve"> är </w:t>
      </w:r>
      <w:r w:rsidR="0018147B" w:rsidRPr="000F0F1E">
        <w:t xml:space="preserve">därför </w:t>
      </w:r>
      <w:r w:rsidRPr="000F0F1E">
        <w:t>stort.</w:t>
      </w:r>
    </w:p>
    <w:p w:rsidR="00170D05" w:rsidRPr="000F0F1E" w:rsidRDefault="00170D05" w:rsidP="00170D05">
      <w:pPr>
        <w:pStyle w:val="Normaltindrag"/>
      </w:pPr>
      <w:r w:rsidRPr="000F0F1E">
        <w:t>Vi anser därför att utredningens förslag om undantag för prövning av til</w:t>
      </w:r>
      <w:r w:rsidRPr="000F0F1E">
        <w:t>l</w:t>
      </w:r>
      <w:r w:rsidRPr="000F0F1E">
        <w:t>ståndsplikt enligt strålskyddslagen för verksamheter som prövas enligt milj</w:t>
      </w:r>
      <w:r w:rsidRPr="000F0F1E">
        <w:t>ö</w:t>
      </w:r>
      <w:r w:rsidRPr="000F0F1E">
        <w:t>balken är intressant. Dock pågår för tillfället en översyn av miljöbalken just i syfte att förenkla handläggningen. Vi anser att regeringen i de propositioner som bör bli en följd av Miljö</w:t>
      </w:r>
      <w:r w:rsidR="00DB4DF4" w:rsidRPr="000F0F1E">
        <w:t>balkskommitténs betänkanden ska</w:t>
      </w:r>
      <w:r w:rsidRPr="000F0F1E">
        <w:t xml:space="preserve"> återkomma till riksdagen</w:t>
      </w:r>
      <w:r w:rsidR="0018147B" w:rsidRPr="000F0F1E">
        <w:t xml:space="preserve"> med förslag på hur lagen ska </w:t>
      </w:r>
      <w:r w:rsidRPr="000F0F1E">
        <w:t>tydliggöras i förhållande till kär</w:t>
      </w:r>
      <w:r w:rsidRPr="000F0F1E">
        <w:t>n</w:t>
      </w:r>
      <w:r w:rsidRPr="000F0F1E">
        <w:t>tekniklagen och strålskyddslagen. Detta bör ges regeringen till</w:t>
      </w:r>
      <w:r w:rsidR="00CD7E4E" w:rsidRPr="000F0F1E">
        <w:t xml:space="preserve"> </w:t>
      </w:r>
      <w:r w:rsidRPr="000F0F1E">
        <w:t xml:space="preserve">känna. </w:t>
      </w:r>
    </w:p>
    <w:p w:rsidR="00170D05" w:rsidRPr="000F0F1E" w:rsidRDefault="00170D05" w:rsidP="00170D05">
      <w:pPr>
        <w:pStyle w:val="Normaltindrag"/>
      </w:pPr>
      <w:r w:rsidRPr="000F0F1E">
        <w:t>Regeringen bör även överväga möjligheten att undanta prövning av til</w:t>
      </w:r>
      <w:r w:rsidRPr="000F0F1E">
        <w:t>l</w:t>
      </w:r>
      <w:r w:rsidRPr="000F0F1E">
        <w:t>ståndsplikt enligt strålskyddslagen för verksamheter som prövas enligt milj</w:t>
      </w:r>
      <w:r w:rsidRPr="000F0F1E">
        <w:t>ö</w:t>
      </w:r>
      <w:r w:rsidRPr="000F0F1E">
        <w:t>balken. Detta bör ges regeringen till</w:t>
      </w:r>
      <w:r w:rsidR="00CD7E4E" w:rsidRPr="000F0F1E">
        <w:t xml:space="preserve"> </w:t>
      </w:r>
      <w:r w:rsidRPr="000F0F1E">
        <w:t>känna.</w:t>
      </w:r>
    </w:p>
    <w:p w:rsidR="00170D05" w:rsidRPr="000F0F1E" w:rsidRDefault="00170D05" w:rsidP="00170D05">
      <w:pPr>
        <w:pStyle w:val="Rubrik1"/>
      </w:pPr>
      <w:r w:rsidRPr="000F0F1E">
        <w:t>Kompetensförsörjning</w:t>
      </w:r>
    </w:p>
    <w:p w:rsidR="00170D05" w:rsidRPr="000F0F1E" w:rsidRDefault="00170D05" w:rsidP="00170D05">
      <w:r w:rsidRPr="000F0F1E">
        <w:t>I betänkandet Kärnkraftverkens säkerhet och strålskydd (SOU 2003:100) tas frågan om kompetensförsörjning inom område</w:t>
      </w:r>
      <w:r w:rsidR="006C4A55" w:rsidRPr="000F0F1E">
        <w:t>t</w:t>
      </w:r>
      <w:r w:rsidRPr="000F0F1E">
        <w:t xml:space="preserve"> upp. Utredningen gjordes 2003, </w:t>
      </w:r>
      <w:r w:rsidR="0018147B" w:rsidRPr="000F0F1E">
        <w:t>före</w:t>
      </w:r>
      <w:r w:rsidRPr="000F0F1E">
        <w:t xml:space="preserve"> beslutet om nedläggning av Barsebäck 2. I detta läge såg utredaren problem med kompetensförsörjningen </w:t>
      </w:r>
      <w:r w:rsidR="0018147B" w:rsidRPr="000F0F1E">
        <w:t xml:space="preserve">endast </w:t>
      </w:r>
      <w:r w:rsidR="00DB4DF4" w:rsidRPr="000F0F1E">
        <w:t>vad gäller strålskydd</w:t>
      </w:r>
      <w:r w:rsidRPr="000F0F1E">
        <w:t>, särskilt på myndighetssidan. Detta är naturligtvis allvarligt, men situationen för industrin kan ha ytterligare förvärrats i och med stängningen av Barsebäck 2. Industrin litar enligt utredni</w:t>
      </w:r>
      <w:r w:rsidR="0018147B" w:rsidRPr="000F0F1E">
        <w:t>ngen på att kompetensbrist ska</w:t>
      </w:r>
      <w:r w:rsidRPr="000F0F1E">
        <w:t xml:space="preserve"> kunna täckas av utlandsr</w:t>
      </w:r>
      <w:r w:rsidRPr="000F0F1E">
        <w:t>e</w:t>
      </w:r>
      <w:r w:rsidRPr="000F0F1E">
        <w:t xml:space="preserve">kryteringar. I en omvärld där land efter land omprövar sin inställning till att bli mer positiva till kärnkraft kan man anta att </w:t>
      </w:r>
      <w:r w:rsidR="0018147B" w:rsidRPr="000F0F1E">
        <w:t xml:space="preserve">teknisk </w:t>
      </w:r>
      <w:r w:rsidRPr="000F0F1E">
        <w:t xml:space="preserve">kompetens </w:t>
      </w:r>
      <w:r w:rsidR="0018147B" w:rsidRPr="000F0F1E">
        <w:t>inom kär</w:t>
      </w:r>
      <w:r w:rsidR="0018147B" w:rsidRPr="000F0F1E">
        <w:t>n</w:t>
      </w:r>
      <w:r w:rsidR="0018147B" w:rsidRPr="000F0F1E">
        <w:t xml:space="preserve">kraftsområdet </w:t>
      </w:r>
      <w:r w:rsidRPr="000F0F1E">
        <w:t>kan bli en bristvara. Därför måste regeringen noga följa beh</w:t>
      </w:r>
      <w:r w:rsidRPr="000F0F1E">
        <w:t>o</w:t>
      </w:r>
      <w:r w:rsidRPr="000F0F1E">
        <w:t>vet av utbildning och forskning inom kärnkrafts-, kärnsäke</w:t>
      </w:r>
      <w:r w:rsidR="00DB4DF4" w:rsidRPr="000F0F1E">
        <w:t xml:space="preserve">rhets- </w:t>
      </w:r>
      <w:r w:rsidR="0018147B" w:rsidRPr="000F0F1E">
        <w:t>och strå</w:t>
      </w:r>
      <w:r w:rsidR="0018147B" w:rsidRPr="000F0F1E">
        <w:t>l</w:t>
      </w:r>
      <w:r w:rsidRPr="000F0F1E">
        <w:t>skyddsområdet. Detta bör ges regeringen till</w:t>
      </w:r>
      <w:r w:rsidR="00CD7E4E" w:rsidRPr="000F0F1E">
        <w:t xml:space="preserve"> </w:t>
      </w:r>
      <w:r w:rsidRPr="000F0F1E">
        <w:t>känna.</w:t>
      </w:r>
    </w:p>
    <w:p w:rsidR="00E94E5D" w:rsidRPr="000F0F1E" w:rsidRDefault="00E94E5D" w:rsidP="00E94E5D">
      <w:pPr>
        <w:pStyle w:val="Rubrik1"/>
      </w:pPr>
      <w:r w:rsidRPr="000F0F1E">
        <w:t xml:space="preserve">Rapporteringsvilja hos kärnkraftverkens personal </w:t>
      </w:r>
    </w:p>
    <w:p w:rsidR="00170D05" w:rsidRPr="000F0F1E" w:rsidRDefault="00E94E5D" w:rsidP="00170D05">
      <w:r w:rsidRPr="000F0F1E">
        <w:t>I betänkandet Kärnkraftver</w:t>
      </w:r>
      <w:r w:rsidR="00170D05" w:rsidRPr="000F0F1E">
        <w:t>k</w:t>
      </w:r>
      <w:r w:rsidRPr="000F0F1E">
        <w:t>e</w:t>
      </w:r>
      <w:r w:rsidR="00170D05" w:rsidRPr="000F0F1E">
        <w:t xml:space="preserve">ns säkerhet och strålskydd (SOU 2003:100) </w:t>
      </w:r>
      <w:r w:rsidR="0018147B" w:rsidRPr="000F0F1E">
        <w:t>behandlas</w:t>
      </w:r>
      <w:r w:rsidR="006C4A55" w:rsidRPr="000F0F1E">
        <w:t xml:space="preserve"> frågan om nuvarande skrivning</w:t>
      </w:r>
      <w:r w:rsidR="00170D05" w:rsidRPr="000F0F1E">
        <w:t xml:space="preserve"> i 29 § kärntekniklagen kan hämma rapporteringsviljan hos kärnkraftverkens personal.</w:t>
      </w:r>
    </w:p>
    <w:p w:rsidR="00170D05" w:rsidRPr="000F0F1E" w:rsidRDefault="00170D05" w:rsidP="00F80D6C">
      <w:pPr>
        <w:pStyle w:val="Normaltindrag"/>
      </w:pPr>
      <w:r w:rsidRPr="000F0F1E">
        <w:t xml:space="preserve">En av grundpelarna för utveckling av en verksamhet är </w:t>
      </w:r>
      <w:r w:rsidR="0018147B" w:rsidRPr="000F0F1E">
        <w:t>att fel och misstag rapporteras</w:t>
      </w:r>
      <w:r w:rsidRPr="000F0F1E">
        <w:t>. Detta är extra viktigt för en verksamhet med höga säkerhet</w:t>
      </w:r>
      <w:r w:rsidR="0018147B" w:rsidRPr="000F0F1E">
        <w:t>skrav. Om nuvarande utformning</w:t>
      </w:r>
      <w:r w:rsidRPr="000F0F1E">
        <w:t xml:space="preserve"> av 29 </w:t>
      </w:r>
      <w:r w:rsidR="00E94E5D" w:rsidRPr="000F0F1E">
        <w:t xml:space="preserve">§ kärntekniklagen </w:t>
      </w:r>
      <w:r w:rsidRPr="000F0F1E">
        <w:t>motverkar detta bör rege</w:t>
      </w:r>
      <w:r w:rsidRPr="000F0F1E">
        <w:t>r</w:t>
      </w:r>
      <w:r w:rsidRPr="000F0F1E">
        <w:t>ingen snarast återkomma med e</w:t>
      </w:r>
      <w:r w:rsidR="00E94E5D" w:rsidRPr="000F0F1E">
        <w:t>tt förslag på ändring av lagen. Detta bör ges regeringen till</w:t>
      </w:r>
      <w:r w:rsidR="00CD7E4E" w:rsidRPr="000F0F1E">
        <w:t xml:space="preserve"> </w:t>
      </w:r>
      <w:r w:rsidR="00E94E5D" w:rsidRPr="000F0F1E">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D7E4E" w:rsidRPr="000F0F1E">
        <w:tblPrEx>
          <w:tblCellMar>
            <w:top w:w="0" w:type="dxa"/>
            <w:bottom w:w="0" w:type="dxa"/>
          </w:tblCellMar>
        </w:tblPrEx>
        <w:trPr>
          <w:cantSplit/>
        </w:trPr>
        <w:tc>
          <w:tcPr>
            <w:tcW w:w="3046" w:type="dxa"/>
          </w:tcPr>
          <w:p w:rsidR="00CD7E4E" w:rsidRPr="000F0F1E" w:rsidRDefault="00CD7E4E" w:rsidP="00CD7E4E">
            <w:pPr>
              <w:pStyle w:val="UnderskriftDatum"/>
              <w:spacing w:before="240"/>
            </w:pPr>
            <w:r w:rsidRPr="000F0F1E">
              <w:t>Stockholm den 22 februari 2006</w:t>
            </w:r>
          </w:p>
        </w:tc>
        <w:tc>
          <w:tcPr>
            <w:tcW w:w="3047" w:type="dxa"/>
          </w:tcPr>
          <w:p w:rsidR="00CD7E4E" w:rsidRPr="000F0F1E" w:rsidRDefault="00CD7E4E" w:rsidP="00CD7E4E">
            <w:pPr>
              <w:pStyle w:val="Underskrifter"/>
              <w:spacing w:before="240"/>
            </w:pPr>
          </w:p>
        </w:tc>
      </w:tr>
      <w:tr w:rsidR="00CD7E4E" w:rsidRPr="000F0F1E">
        <w:tblPrEx>
          <w:tblCellMar>
            <w:top w:w="0" w:type="dxa"/>
            <w:bottom w:w="0" w:type="dxa"/>
          </w:tblCellMar>
        </w:tblPrEx>
        <w:trPr>
          <w:cantSplit/>
        </w:trPr>
        <w:tc>
          <w:tcPr>
            <w:tcW w:w="3046" w:type="dxa"/>
          </w:tcPr>
          <w:p w:rsidR="00CD7E4E" w:rsidRPr="000F0F1E" w:rsidRDefault="00CD7E4E" w:rsidP="00CD7E4E">
            <w:pPr>
              <w:pStyle w:val="Underskrifter"/>
            </w:pPr>
            <w:r w:rsidRPr="000F0F1E">
              <w:t>Lennart Fremling (fp)</w:t>
            </w:r>
          </w:p>
        </w:tc>
        <w:tc>
          <w:tcPr>
            <w:tcW w:w="3047" w:type="dxa"/>
          </w:tcPr>
          <w:p w:rsidR="00CD7E4E" w:rsidRPr="000F0F1E" w:rsidRDefault="00CD7E4E" w:rsidP="00CD7E4E">
            <w:pPr>
              <w:pStyle w:val="Underskrifter"/>
            </w:pPr>
          </w:p>
        </w:tc>
      </w:tr>
      <w:tr w:rsidR="00CD7E4E" w:rsidRPr="000F0F1E">
        <w:tblPrEx>
          <w:tblCellMar>
            <w:top w:w="0" w:type="dxa"/>
            <w:bottom w:w="0" w:type="dxa"/>
          </w:tblCellMar>
        </w:tblPrEx>
        <w:trPr>
          <w:cantSplit/>
        </w:trPr>
        <w:tc>
          <w:tcPr>
            <w:tcW w:w="3046" w:type="dxa"/>
          </w:tcPr>
          <w:p w:rsidR="00CD7E4E" w:rsidRPr="000F0F1E" w:rsidRDefault="00CD7E4E" w:rsidP="00CD7E4E">
            <w:pPr>
              <w:pStyle w:val="Underskrifter"/>
            </w:pPr>
            <w:r w:rsidRPr="000F0F1E">
              <w:t>Sverker Thorén (fp)</w:t>
            </w:r>
          </w:p>
        </w:tc>
        <w:tc>
          <w:tcPr>
            <w:tcW w:w="3047" w:type="dxa"/>
          </w:tcPr>
          <w:p w:rsidR="00CD7E4E" w:rsidRPr="000F0F1E" w:rsidRDefault="00CD7E4E" w:rsidP="00CD7E4E">
            <w:pPr>
              <w:pStyle w:val="Underskrifter"/>
            </w:pPr>
            <w:r w:rsidRPr="000F0F1E">
              <w:t>Marie Wahlgren (fp)</w:t>
            </w:r>
          </w:p>
        </w:tc>
      </w:tr>
      <w:tr w:rsidR="00CD7E4E" w:rsidRPr="000F0F1E">
        <w:tblPrEx>
          <w:tblCellMar>
            <w:top w:w="0" w:type="dxa"/>
            <w:bottom w:w="0" w:type="dxa"/>
          </w:tblCellMar>
        </w:tblPrEx>
        <w:trPr>
          <w:cantSplit/>
        </w:trPr>
        <w:tc>
          <w:tcPr>
            <w:tcW w:w="3046" w:type="dxa"/>
          </w:tcPr>
          <w:p w:rsidR="00CD7E4E" w:rsidRPr="000F0F1E" w:rsidRDefault="00CD7E4E" w:rsidP="00CD7E4E">
            <w:pPr>
              <w:pStyle w:val="Underskrifter"/>
            </w:pPr>
            <w:r w:rsidRPr="000F0F1E">
              <w:t>Heli Berg (fp)</w:t>
            </w:r>
          </w:p>
        </w:tc>
        <w:tc>
          <w:tcPr>
            <w:tcW w:w="3047" w:type="dxa"/>
          </w:tcPr>
          <w:p w:rsidR="00CD7E4E" w:rsidRPr="000F0F1E" w:rsidRDefault="00CD7E4E" w:rsidP="00CD7E4E">
            <w:pPr>
              <w:pStyle w:val="Underskrifter"/>
            </w:pPr>
            <w:r w:rsidRPr="000F0F1E">
              <w:t>Gunnar Nordmark (fp)</w:t>
            </w:r>
          </w:p>
        </w:tc>
      </w:tr>
      <w:tr w:rsidR="00CD7E4E" w:rsidRPr="000F0F1E">
        <w:tblPrEx>
          <w:tblCellMar>
            <w:top w:w="0" w:type="dxa"/>
            <w:bottom w:w="0" w:type="dxa"/>
          </w:tblCellMar>
        </w:tblPrEx>
        <w:trPr>
          <w:cantSplit/>
        </w:trPr>
        <w:tc>
          <w:tcPr>
            <w:tcW w:w="3046" w:type="dxa"/>
          </w:tcPr>
          <w:p w:rsidR="00CD7E4E" w:rsidRPr="000F0F1E" w:rsidRDefault="00CD7E4E" w:rsidP="00CD7E4E">
            <w:pPr>
              <w:pStyle w:val="Underskrifter"/>
            </w:pPr>
            <w:r w:rsidRPr="000F0F1E">
              <w:t>Eva Flyborg (fp)</w:t>
            </w:r>
          </w:p>
        </w:tc>
        <w:tc>
          <w:tcPr>
            <w:tcW w:w="3047" w:type="dxa"/>
          </w:tcPr>
          <w:p w:rsidR="00CD7E4E" w:rsidRPr="000F0F1E" w:rsidRDefault="00CD7E4E" w:rsidP="00CD7E4E">
            <w:pPr>
              <w:pStyle w:val="Underskrifter"/>
            </w:pPr>
            <w:r w:rsidRPr="000F0F1E">
              <w:t>Yvonne Ångström (fp)</w:t>
            </w:r>
          </w:p>
        </w:tc>
      </w:tr>
      <w:tr w:rsidR="00CD7E4E" w:rsidRPr="000F0F1E">
        <w:tblPrEx>
          <w:tblCellMar>
            <w:top w:w="0" w:type="dxa"/>
            <w:bottom w:w="0" w:type="dxa"/>
          </w:tblCellMar>
        </w:tblPrEx>
        <w:trPr>
          <w:cantSplit/>
        </w:trPr>
        <w:tc>
          <w:tcPr>
            <w:tcW w:w="3046" w:type="dxa"/>
          </w:tcPr>
          <w:p w:rsidR="00CD7E4E" w:rsidRPr="000F0F1E" w:rsidRDefault="00CD7E4E" w:rsidP="00CD7E4E">
            <w:pPr>
              <w:pStyle w:val="Underskrifter"/>
            </w:pPr>
            <w:r w:rsidRPr="000F0F1E">
              <w:t>Nyamko Sabuni (fp)</w:t>
            </w:r>
          </w:p>
        </w:tc>
        <w:tc>
          <w:tcPr>
            <w:tcW w:w="3047" w:type="dxa"/>
          </w:tcPr>
          <w:p w:rsidR="00CD7E4E" w:rsidRPr="000F0F1E" w:rsidRDefault="00CD7E4E" w:rsidP="00CD7E4E">
            <w:pPr>
              <w:pStyle w:val="Underskrifter"/>
            </w:pPr>
            <w:r w:rsidRPr="000F0F1E">
              <w:t>Hans Backman (fp)</w:t>
            </w:r>
          </w:p>
        </w:tc>
      </w:tr>
      <w:tr w:rsidR="00CD7E4E" w:rsidRPr="000F0F1E">
        <w:tblPrEx>
          <w:tblCellMar>
            <w:top w:w="0" w:type="dxa"/>
            <w:bottom w:w="0" w:type="dxa"/>
          </w:tblCellMar>
        </w:tblPrEx>
        <w:trPr>
          <w:cantSplit/>
        </w:trPr>
        <w:tc>
          <w:tcPr>
            <w:tcW w:w="3046" w:type="dxa"/>
          </w:tcPr>
          <w:p w:rsidR="00CD7E4E" w:rsidRPr="000F0F1E" w:rsidRDefault="00CD7E4E" w:rsidP="00CD7E4E">
            <w:pPr>
              <w:pStyle w:val="Underskrifter"/>
            </w:pPr>
            <w:r w:rsidRPr="000F0F1E">
              <w:t>Carl B Hamilton (fp)</w:t>
            </w:r>
          </w:p>
        </w:tc>
        <w:tc>
          <w:tcPr>
            <w:tcW w:w="3047" w:type="dxa"/>
          </w:tcPr>
          <w:p w:rsidR="00CD7E4E" w:rsidRPr="000F0F1E" w:rsidRDefault="00CD7E4E" w:rsidP="00CD7E4E">
            <w:pPr>
              <w:pStyle w:val="Underskrifter"/>
            </w:pPr>
          </w:p>
        </w:tc>
      </w:tr>
    </w:tbl>
    <w:p w:rsidR="00E94E5D" w:rsidRPr="000F0F1E" w:rsidRDefault="00E94E5D" w:rsidP="00CD7E4E">
      <w:pPr>
        <w:pStyle w:val="Normaltindrag"/>
      </w:pPr>
    </w:p>
    <w:sectPr w:rsidR="00E94E5D" w:rsidRPr="000F0F1E" w:rsidSect="00CD7E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8B8" w:rsidRPr="000F0F1E" w:rsidRDefault="004408B8">
      <w:r w:rsidRPr="000F0F1E">
        <w:separator/>
      </w:r>
    </w:p>
  </w:endnote>
  <w:endnote w:type="continuationSeparator" w:id="0">
    <w:p w:rsidR="004408B8" w:rsidRPr="000F0F1E" w:rsidRDefault="004408B8">
      <w:r w:rsidRPr="000F0F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5B" w:rsidRPr="000F0F1E" w:rsidRDefault="000F0F1E" w:rsidP="00CD7E4E">
    <w:pPr>
      <w:pStyle w:val="Sidfot"/>
    </w:pPr>
    <w:r w:rsidRPr="000F0F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6033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4E" w:rsidRDefault="00CD7E4E">
                          <w:pPr>
                            <w:pStyle w:val="NormalS5sidnrV"/>
                          </w:pPr>
                          <w:r>
                            <w:fldChar w:fldCharType="begin"/>
                          </w:r>
                          <w:r>
                            <w:instrText xml:space="preserve"> PAGE *\charformat</w:instrText>
                          </w:r>
                          <w:r>
                            <w:fldChar w:fldCharType="separate"/>
                          </w:r>
                          <w:r w:rsidR="00693C0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7E4E" w:rsidRDefault="00CD7E4E">
                    <w:pPr>
                      <w:pStyle w:val="NormalS5sidnrV"/>
                    </w:pPr>
                    <w:r>
                      <w:fldChar w:fldCharType="begin"/>
                    </w:r>
                    <w:r>
                      <w:instrText xml:space="preserve"> PAGE *\charformat</w:instrText>
                    </w:r>
                    <w:r>
                      <w:fldChar w:fldCharType="separate"/>
                    </w:r>
                    <w:r w:rsidR="00693C0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47B" w:rsidRPr="000F0F1E" w:rsidRDefault="000F0F1E" w:rsidP="00CD7E4E">
    <w:pPr>
      <w:pStyle w:val="Sidfot"/>
    </w:pPr>
    <w:r w:rsidRPr="000F0F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46467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4E" w:rsidRDefault="00CD7E4E">
                          <w:pPr>
                            <w:pStyle w:val="NormalS5sidnrH"/>
                            <w:ind w:right="0"/>
                          </w:pPr>
                          <w:r>
                            <w:fldChar w:fldCharType="begin"/>
                          </w:r>
                          <w:r>
                            <w:instrText xml:space="preserve"> PAGE *\charformat</w:instrText>
                          </w:r>
                          <w:r>
                            <w:fldChar w:fldCharType="separate"/>
                          </w:r>
                          <w:r w:rsidR="00693C0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7E4E" w:rsidRDefault="00CD7E4E">
                    <w:pPr>
                      <w:pStyle w:val="NormalS5sidnrH"/>
                      <w:ind w:right="0"/>
                    </w:pPr>
                    <w:r>
                      <w:fldChar w:fldCharType="begin"/>
                    </w:r>
                    <w:r>
                      <w:instrText xml:space="preserve"> PAGE *\charformat</w:instrText>
                    </w:r>
                    <w:r>
                      <w:fldChar w:fldCharType="separate"/>
                    </w:r>
                    <w:r w:rsidR="00693C0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47B" w:rsidRPr="000F0F1E" w:rsidRDefault="000F0F1E" w:rsidP="00CD7E4E">
    <w:pPr>
      <w:pStyle w:val="Sidfot"/>
    </w:pPr>
    <w:r w:rsidRPr="000F0F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1267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4E" w:rsidRDefault="00CD7E4E">
                          <w:pPr>
                            <w:pStyle w:val="NormalS5sidnrH"/>
                            <w:ind w:right="0"/>
                          </w:pPr>
                          <w:r>
                            <w:fldChar w:fldCharType="begin"/>
                          </w:r>
                          <w:r>
                            <w:instrText xml:space="preserve"> PAGE *\charformat</w:instrText>
                          </w:r>
                          <w:r>
                            <w:fldChar w:fldCharType="separate"/>
                          </w:r>
                          <w:r w:rsidR="00693C0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7E4E" w:rsidRDefault="00CD7E4E">
                    <w:pPr>
                      <w:pStyle w:val="NormalS5sidnrH"/>
                      <w:ind w:right="0"/>
                    </w:pPr>
                    <w:r>
                      <w:fldChar w:fldCharType="begin"/>
                    </w:r>
                    <w:r>
                      <w:instrText xml:space="preserve"> PAGE *\charformat</w:instrText>
                    </w:r>
                    <w:r>
                      <w:fldChar w:fldCharType="separate"/>
                    </w:r>
                    <w:r w:rsidR="00693C0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8B8" w:rsidRPr="000F0F1E" w:rsidRDefault="004408B8">
      <w:r w:rsidRPr="000F0F1E">
        <w:separator/>
      </w:r>
    </w:p>
  </w:footnote>
  <w:footnote w:type="continuationSeparator" w:id="0">
    <w:p w:rsidR="004408B8" w:rsidRPr="000F0F1E" w:rsidRDefault="004408B8">
      <w:r w:rsidRPr="000F0F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85B" w:rsidRPr="000F0F1E" w:rsidRDefault="000F0F1E" w:rsidP="00CD7E4E">
    <w:pPr>
      <w:pStyle w:val="Sidhuvud"/>
    </w:pPr>
    <w:r w:rsidRPr="000F0F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7971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4E" w:rsidRDefault="00CD7E4E">
                          <w:pPr>
                            <w:pStyle w:val="KantRubrikS5V"/>
                          </w:pPr>
                          <w:r>
                            <w:fldChar w:fldCharType="begin"/>
                          </w:r>
                          <w:r>
                            <w:instrText xml:space="preserve"> DOCPROPERTY "YearUser" *\charformat </w:instrText>
                          </w:r>
                          <w:r>
                            <w:fldChar w:fldCharType="separate"/>
                          </w:r>
                          <w:r w:rsidR="00693C01">
                            <w:t>2005/06</w:t>
                          </w:r>
                          <w:r>
                            <w:fldChar w:fldCharType="end"/>
                          </w:r>
                          <w:r>
                            <w:t>:</w:t>
                          </w:r>
                          <w:r>
                            <w:fldChar w:fldCharType="begin"/>
                          </w:r>
                          <w:r>
                            <w:instrText xml:space="preserve"> DOCPROPERTY "Motionsnummer" *\charformat </w:instrText>
                          </w:r>
                          <w:r>
                            <w:fldChar w:fldCharType="separate"/>
                          </w:r>
                          <w:r w:rsidR="00693C01">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7E4E" w:rsidRDefault="00CD7E4E">
                    <w:pPr>
                      <w:pStyle w:val="KantRubrikS5V"/>
                    </w:pPr>
                    <w:r>
                      <w:fldChar w:fldCharType="begin"/>
                    </w:r>
                    <w:r>
                      <w:instrText xml:space="preserve"> DOCPROPERTY "YearUser" *\charformat </w:instrText>
                    </w:r>
                    <w:r>
                      <w:fldChar w:fldCharType="separate"/>
                    </w:r>
                    <w:r w:rsidR="00693C01">
                      <w:t>2005/06</w:t>
                    </w:r>
                    <w:r>
                      <w:fldChar w:fldCharType="end"/>
                    </w:r>
                    <w:r>
                      <w:t>:</w:t>
                    </w:r>
                    <w:r>
                      <w:fldChar w:fldCharType="begin"/>
                    </w:r>
                    <w:r>
                      <w:instrText xml:space="preserve"> DOCPROPERTY "Motionsnummer" *\charformat </w:instrText>
                    </w:r>
                    <w:r>
                      <w:fldChar w:fldCharType="separate"/>
                    </w:r>
                    <w:r w:rsidR="00693C01">
                      <w:t>MJ14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47B" w:rsidRPr="000F0F1E" w:rsidRDefault="000F0F1E" w:rsidP="00CD7E4E">
    <w:pPr>
      <w:pStyle w:val="Sidhuvud"/>
    </w:pPr>
    <w:r w:rsidRPr="000F0F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689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7E4E" w:rsidRDefault="00CD7E4E">
                          <w:pPr>
                            <w:pStyle w:val="KantRubrikS5H"/>
                            <w:ind w:right="0"/>
                          </w:pPr>
                          <w:r>
                            <w:fldChar w:fldCharType="begin"/>
                          </w:r>
                          <w:r>
                            <w:instrText xml:space="preserve"> DOCPROPERTY "YearUser" *\charformat </w:instrText>
                          </w:r>
                          <w:r>
                            <w:fldChar w:fldCharType="separate"/>
                          </w:r>
                          <w:r w:rsidR="00693C01">
                            <w:t>2005/06</w:t>
                          </w:r>
                          <w:r>
                            <w:fldChar w:fldCharType="end"/>
                          </w:r>
                          <w:r>
                            <w:t>:</w:t>
                          </w:r>
                          <w:r>
                            <w:fldChar w:fldCharType="begin"/>
                          </w:r>
                          <w:r>
                            <w:instrText xml:space="preserve"> DOCPROPERTY "Motionsnummer" *\charformat </w:instrText>
                          </w:r>
                          <w:r>
                            <w:fldChar w:fldCharType="separate"/>
                          </w:r>
                          <w:r w:rsidR="00693C01">
                            <w:t>MJ14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7E4E" w:rsidRDefault="00CD7E4E">
                    <w:pPr>
                      <w:pStyle w:val="KantRubrikS5H"/>
                      <w:ind w:right="0"/>
                    </w:pPr>
                    <w:r>
                      <w:fldChar w:fldCharType="begin"/>
                    </w:r>
                    <w:r>
                      <w:instrText xml:space="preserve"> DOCPROPERTY "YearUser" *\charformat </w:instrText>
                    </w:r>
                    <w:r>
                      <w:fldChar w:fldCharType="separate"/>
                    </w:r>
                    <w:r w:rsidR="00693C01">
                      <w:t>2005/06</w:t>
                    </w:r>
                    <w:r>
                      <w:fldChar w:fldCharType="end"/>
                    </w:r>
                    <w:r>
                      <w:t>:</w:t>
                    </w:r>
                    <w:r>
                      <w:fldChar w:fldCharType="begin"/>
                    </w:r>
                    <w:r>
                      <w:instrText xml:space="preserve"> DOCPROPERTY "Motionsnummer" *\charformat </w:instrText>
                    </w:r>
                    <w:r>
                      <w:fldChar w:fldCharType="separate"/>
                    </w:r>
                    <w:r w:rsidR="00693C01">
                      <w:t>MJ14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E4E" w:rsidRPr="000F0F1E" w:rsidRDefault="00CD7E4E">
    <w:pPr>
      <w:pStyle w:val="FSHNormal"/>
      <w:tabs>
        <w:tab w:val="right" w:pos="5840"/>
      </w:tabs>
    </w:pPr>
    <w:r w:rsidRPr="000F0F1E">
      <w:br/>
    </w:r>
    <w:r w:rsidRPr="000F0F1E">
      <w:fldChar w:fldCharType="begin" w:fldLock="1"/>
    </w:r>
    <w:r w:rsidRPr="000F0F1E">
      <w:instrText xml:space="preserve"> DOCPROPERTY</w:instrText>
    </w:r>
    <w:r w:rsidRPr="000F0F1E">
      <w:rPr>
        <w:sz w:val="18"/>
      </w:rPr>
      <w:instrText xml:space="preserve"> "YearUser" *\charformat </w:instrText>
    </w:r>
    <w:r w:rsidRPr="000F0F1E">
      <w:fldChar w:fldCharType="separate"/>
    </w:r>
    <w:r w:rsidR="00693C01" w:rsidRPr="000F0F1E">
      <w:t>2005/06</w:t>
    </w:r>
    <w:r w:rsidRPr="000F0F1E">
      <w:fldChar w:fldCharType="end"/>
    </w:r>
    <w:r w:rsidRPr="000F0F1E">
      <w:t xml:space="preserve"> </w:t>
    </w:r>
    <w:r w:rsidRPr="000F0F1E">
      <w:tab/>
      <w:t xml:space="preserve">mnr: </w:t>
    </w:r>
    <w:r w:rsidRPr="000F0F1E">
      <w:fldChar w:fldCharType="begin" w:fldLock="1"/>
    </w:r>
    <w:r w:rsidRPr="000F0F1E">
      <w:instrText xml:space="preserve"> DOCPROPERTY</w:instrText>
    </w:r>
    <w:r w:rsidRPr="000F0F1E">
      <w:rPr>
        <w:sz w:val="18"/>
      </w:rPr>
      <w:instrText xml:space="preserve"> "Motionsnummer" *\charformat </w:instrText>
    </w:r>
    <w:r w:rsidRPr="000F0F1E">
      <w:fldChar w:fldCharType="separate"/>
    </w:r>
    <w:r w:rsidR="00693C01" w:rsidRPr="000F0F1E">
      <w:t>MJ14</w:t>
    </w:r>
    <w:r w:rsidRPr="000F0F1E">
      <w:fldChar w:fldCharType="end"/>
    </w:r>
    <w:r w:rsidRPr="000F0F1E">
      <w:br/>
    </w:r>
    <w:r w:rsidRPr="000F0F1E">
      <w:fldChar w:fldCharType="begin" w:fldLock="1"/>
    </w:r>
    <w:r w:rsidRPr="000F0F1E">
      <w:instrText xml:space="preserve"> DOCPROPERTY</w:instrText>
    </w:r>
    <w:r w:rsidRPr="000F0F1E">
      <w:rPr>
        <w:sz w:val="18"/>
      </w:rPr>
      <w:instrText xml:space="preserve"> "Samling" *\charformat </w:instrText>
    </w:r>
    <w:r w:rsidRPr="000F0F1E">
      <w:fldChar w:fldCharType="end"/>
    </w:r>
    <w:r w:rsidRPr="000F0F1E">
      <w:tab/>
      <w:t xml:space="preserve">pnr: </w:t>
    </w:r>
    <w:r w:rsidRPr="000F0F1E">
      <w:fldChar w:fldCharType="begin" w:fldLock="1"/>
    </w:r>
    <w:r w:rsidRPr="000F0F1E">
      <w:instrText xml:space="preserve"> DOCPROPERTY</w:instrText>
    </w:r>
    <w:r w:rsidRPr="000F0F1E">
      <w:rPr>
        <w:sz w:val="18"/>
      </w:rPr>
      <w:instrText xml:space="preserve"> "Partinummer" *\charformat </w:instrText>
    </w:r>
    <w:r w:rsidRPr="000F0F1E">
      <w:fldChar w:fldCharType="separate"/>
    </w:r>
    <w:r w:rsidR="00693C01" w:rsidRPr="000F0F1E">
      <w:t>fp1284</w:t>
    </w:r>
    <w:r w:rsidRPr="000F0F1E">
      <w:fldChar w:fldCharType="end"/>
    </w:r>
  </w:p>
  <w:p w:rsidR="00CD7E4E" w:rsidRPr="000F0F1E" w:rsidRDefault="00CD7E4E">
    <w:pPr>
      <w:pStyle w:val="FSHRub1"/>
    </w:pPr>
    <w:r w:rsidRPr="000F0F1E">
      <w:t>Motion till riksdagen</w:t>
    </w:r>
    <w:r w:rsidRPr="000F0F1E">
      <w:br/>
    </w:r>
    <w:r w:rsidRPr="000F0F1E">
      <w:fldChar w:fldCharType="begin" w:fldLock="1"/>
    </w:r>
    <w:r w:rsidRPr="000F0F1E">
      <w:instrText xml:space="preserve"> DOCPROPERTY "YearUser" *\charformat </w:instrText>
    </w:r>
    <w:r w:rsidRPr="000F0F1E">
      <w:fldChar w:fldCharType="separate"/>
    </w:r>
    <w:r w:rsidR="00693C01" w:rsidRPr="000F0F1E">
      <w:t>2005/06</w:t>
    </w:r>
    <w:r w:rsidRPr="000F0F1E">
      <w:fldChar w:fldCharType="end"/>
    </w:r>
    <w:r w:rsidRPr="000F0F1E">
      <w:t>:</w:t>
    </w:r>
    <w:r w:rsidRPr="000F0F1E">
      <w:fldChar w:fldCharType="begin" w:fldLock="1"/>
    </w:r>
    <w:r w:rsidRPr="000F0F1E">
      <w:instrText xml:space="preserve"> DOCPROPERTY "Motionsnummer" *\charformat </w:instrText>
    </w:r>
    <w:r w:rsidRPr="000F0F1E">
      <w:fldChar w:fldCharType="separate"/>
    </w:r>
    <w:r w:rsidR="00693C01" w:rsidRPr="000F0F1E">
      <w:t>MJ14</w:t>
    </w:r>
    <w:r w:rsidRPr="000F0F1E">
      <w:fldChar w:fldCharType="end"/>
    </w:r>
  </w:p>
  <w:p w:rsidR="00CD7E4E" w:rsidRPr="000F0F1E" w:rsidRDefault="00CD7E4E">
    <w:pPr>
      <w:pStyle w:val="FSHNormalS5"/>
    </w:pPr>
    <w:r w:rsidRPr="000F0F1E">
      <w:fldChar w:fldCharType="begin" w:fldLock="1"/>
    </w:r>
    <w:r w:rsidRPr="000F0F1E">
      <w:instrText xml:space="preserve"> DOCPROPERTY "MotionarText" *\charformat </w:instrText>
    </w:r>
    <w:r w:rsidRPr="000F0F1E">
      <w:fldChar w:fldCharType="separate"/>
    </w:r>
    <w:r w:rsidR="00693C01" w:rsidRPr="000F0F1E">
      <w:t>av Lennart Fremling m.fl. (fp)</w:t>
    </w:r>
    <w:r w:rsidRPr="000F0F1E">
      <w:fldChar w:fldCharType="end"/>
    </w:r>
    <w:r w:rsidRPr="000F0F1E">
      <w:br/>
    </w:r>
    <w:r w:rsidRPr="000F0F1E">
      <w:fldChar w:fldCharType="begin" w:fldLock="1"/>
    </w:r>
    <w:r w:rsidRPr="000F0F1E">
      <w:instrText xml:space="preserve"> DOCPROPERTY "SvarFrasKort" *\charformat </w:instrText>
    </w:r>
    <w:r w:rsidRPr="000F0F1E">
      <w:fldChar w:fldCharType="separate"/>
    </w:r>
    <w:r w:rsidR="00693C01" w:rsidRPr="000F0F1E">
      <w:t>med anledning av prop. 2005/06:76</w:t>
    </w:r>
    <w:r w:rsidRPr="000F0F1E">
      <w:fldChar w:fldCharType="end"/>
    </w:r>
  </w:p>
  <w:p w:rsidR="00CD7E4E" w:rsidRPr="000F0F1E" w:rsidRDefault="00CD7E4E">
    <w:pPr>
      <w:pStyle w:val="FSHTitel"/>
    </w:pPr>
    <w:r w:rsidRPr="000F0F1E">
      <w:fldChar w:fldCharType="begin" w:fldLock="1"/>
    </w:r>
    <w:r w:rsidRPr="000F0F1E">
      <w:instrText xml:space="preserve"> DOCPROPERTY</w:instrText>
    </w:r>
    <w:r w:rsidRPr="000F0F1E">
      <w:rPr>
        <w:sz w:val="18"/>
      </w:rPr>
      <w:instrText xml:space="preserve"> "RubrikSvar" *\charformat </w:instrText>
    </w:r>
    <w:r w:rsidRPr="000F0F1E">
      <w:fldChar w:fldCharType="separate"/>
    </w:r>
    <w:r w:rsidR="00693C01" w:rsidRPr="000F0F1E">
      <w:t>Kärnsäkerhet och strålskydd</w:t>
    </w:r>
    <w:r w:rsidRPr="000F0F1E">
      <w:fldChar w:fldCharType="end"/>
    </w:r>
  </w:p>
  <w:p w:rsidR="00CD7E4E" w:rsidRPr="000F0F1E" w:rsidRDefault="00CD7E4E" w:rsidP="00CD7E4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336C5E"/>
    <w:multiLevelType w:val="hybridMultilevel"/>
    <w:tmpl w:val="477234B8"/>
    <w:lvl w:ilvl="0" w:tplc="B31CC17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9947F41"/>
    <w:multiLevelType w:val="hybridMultilevel"/>
    <w:tmpl w:val="688A0186"/>
    <w:lvl w:ilvl="0" w:tplc="25FA6906">
      <w:start w:val="1"/>
      <w:numFmt w:val="decimal"/>
      <w:lvlRestart w:val="0"/>
      <w:pStyle w:val="Hemstlatt"/>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568831">
    <w:abstractNumId w:val="15"/>
  </w:num>
  <w:num w:numId="2" w16cid:durableId="1387411472">
    <w:abstractNumId w:val="10"/>
  </w:num>
  <w:num w:numId="3" w16cid:durableId="5911587">
    <w:abstractNumId w:val="11"/>
  </w:num>
  <w:num w:numId="4" w16cid:durableId="1598560992">
    <w:abstractNumId w:val="13"/>
  </w:num>
  <w:num w:numId="5" w16cid:durableId="976762592">
    <w:abstractNumId w:val="8"/>
  </w:num>
  <w:num w:numId="6" w16cid:durableId="1631470982">
    <w:abstractNumId w:val="3"/>
  </w:num>
  <w:num w:numId="7" w16cid:durableId="1971939126">
    <w:abstractNumId w:val="2"/>
  </w:num>
  <w:num w:numId="8" w16cid:durableId="1270702885">
    <w:abstractNumId w:val="1"/>
  </w:num>
  <w:num w:numId="9" w16cid:durableId="1154447773">
    <w:abstractNumId w:val="0"/>
  </w:num>
  <w:num w:numId="10" w16cid:durableId="1538542082">
    <w:abstractNumId w:val="9"/>
  </w:num>
  <w:num w:numId="11" w16cid:durableId="1748847097">
    <w:abstractNumId w:val="7"/>
  </w:num>
  <w:num w:numId="12" w16cid:durableId="494761624">
    <w:abstractNumId w:val="6"/>
  </w:num>
  <w:num w:numId="13" w16cid:durableId="1954052787">
    <w:abstractNumId w:val="5"/>
  </w:num>
  <w:num w:numId="14" w16cid:durableId="2124301627">
    <w:abstractNumId w:val="4"/>
  </w:num>
  <w:num w:numId="15" w16cid:durableId="678434210">
    <w:abstractNumId w:val="12"/>
  </w:num>
  <w:num w:numId="16" w16cid:durableId="5714270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3"/>
  </w:docVars>
  <w:rsids>
    <w:rsidRoot w:val="00175D34"/>
    <w:rsid w:val="0004381F"/>
    <w:rsid w:val="00064BC3"/>
    <w:rsid w:val="000665E6"/>
    <w:rsid w:val="00066775"/>
    <w:rsid w:val="00072FB9"/>
    <w:rsid w:val="000B545E"/>
    <w:rsid w:val="000E48DA"/>
    <w:rsid w:val="000F0F1E"/>
    <w:rsid w:val="000F5ADD"/>
    <w:rsid w:val="00100531"/>
    <w:rsid w:val="0010382E"/>
    <w:rsid w:val="00170D05"/>
    <w:rsid w:val="00175D34"/>
    <w:rsid w:val="0018147B"/>
    <w:rsid w:val="001E0043"/>
    <w:rsid w:val="00201DFB"/>
    <w:rsid w:val="00204A63"/>
    <w:rsid w:val="00212FF1"/>
    <w:rsid w:val="00230193"/>
    <w:rsid w:val="0025068A"/>
    <w:rsid w:val="002818D3"/>
    <w:rsid w:val="002943C8"/>
    <w:rsid w:val="002C2373"/>
    <w:rsid w:val="002D11A8"/>
    <w:rsid w:val="00357D4E"/>
    <w:rsid w:val="003866EC"/>
    <w:rsid w:val="003B1415"/>
    <w:rsid w:val="004408B8"/>
    <w:rsid w:val="00445271"/>
    <w:rsid w:val="00447A04"/>
    <w:rsid w:val="004A0504"/>
    <w:rsid w:val="004E38D9"/>
    <w:rsid w:val="005B145B"/>
    <w:rsid w:val="005E28EC"/>
    <w:rsid w:val="00693C01"/>
    <w:rsid w:val="006C4A55"/>
    <w:rsid w:val="00740D6D"/>
    <w:rsid w:val="00743F76"/>
    <w:rsid w:val="00794149"/>
    <w:rsid w:val="007B67A7"/>
    <w:rsid w:val="007C6092"/>
    <w:rsid w:val="008773EF"/>
    <w:rsid w:val="00927A5F"/>
    <w:rsid w:val="00975714"/>
    <w:rsid w:val="00A053C6"/>
    <w:rsid w:val="00AB5000"/>
    <w:rsid w:val="00B13BF0"/>
    <w:rsid w:val="00B33C81"/>
    <w:rsid w:val="00B67E5B"/>
    <w:rsid w:val="00B77361"/>
    <w:rsid w:val="00BA6BE0"/>
    <w:rsid w:val="00BF7BBF"/>
    <w:rsid w:val="00C1285C"/>
    <w:rsid w:val="00C17877"/>
    <w:rsid w:val="00C27B7D"/>
    <w:rsid w:val="00C604EA"/>
    <w:rsid w:val="00CC2695"/>
    <w:rsid w:val="00CD7E4E"/>
    <w:rsid w:val="00CE3037"/>
    <w:rsid w:val="00CF7A43"/>
    <w:rsid w:val="00D01775"/>
    <w:rsid w:val="00D1174F"/>
    <w:rsid w:val="00D9185B"/>
    <w:rsid w:val="00DB061F"/>
    <w:rsid w:val="00DB4DF4"/>
    <w:rsid w:val="00DC6C70"/>
    <w:rsid w:val="00E22893"/>
    <w:rsid w:val="00E349C2"/>
    <w:rsid w:val="00E360DE"/>
    <w:rsid w:val="00E521CB"/>
    <w:rsid w:val="00E75D28"/>
    <w:rsid w:val="00E84F25"/>
    <w:rsid w:val="00E94E5D"/>
    <w:rsid w:val="00F21B30"/>
    <w:rsid w:val="00F80D6C"/>
    <w:rsid w:val="00F85EA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2FEA61-EEE5-44E8-857B-9B055537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D7E4E"/>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Words>
  <Characters>4619</Characters>
  <Application>Microsoft Office Word</Application>
  <DocSecurity>4</DocSecurity>
  <Lines>92</Lines>
  <Paragraphs>32</Paragraphs>
  <ScaleCrop>false</ScaleCrop>
  <HeadingPairs>
    <vt:vector size="2" baseType="variant">
      <vt:variant>
        <vt:lpstr>Rubrik</vt:lpstr>
      </vt:variant>
      <vt:variant>
        <vt:i4>1</vt:i4>
      </vt:variant>
    </vt:vector>
  </HeadingPairs>
  <TitlesOfParts>
    <vt:vector size="1" baseType="lpstr">
      <vt:lpstr>MJ14</vt:lpstr>
    </vt:vector>
  </TitlesOfParts>
  <Company>Riksdagen</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MJ14</dc:title>
  <dc:subject>MJ14</dc:subject>
  <dc:creator>Riksdagen</dc:creator>
  <cp:keywords>Riksdagen</cp:keywords>
  <dc:description>Nya v-loggan, anpassningar åt tryckeriet, GUID, ny kvittohantering</dc:description>
  <cp:lastModifiedBy>Lars Brink</cp:lastModifiedBy>
  <cp:revision>2</cp:revision>
  <cp:lastPrinted>2006-02-27T14:52:00Z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mot2000_430_2006-02-13</vt:lpwstr>
  </property>
  <property fmtid="{D5CDD505-2E9C-101B-9397-08002B2CF9AE}" pid="3" name="version">
    <vt:lpwstr>mot2000_430_2006-02-13</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2005/06:76 Kärnsäkerhet och strålskydd</vt:lpwstr>
  </property>
  <property fmtid="{D5CDD505-2E9C-101B-9397-08002B2CF9AE}" pid="11" name="SvarFrasKort">
    <vt:lpwstr>med anledning av prop. 2005/06:76</vt:lpwstr>
  </property>
  <property fmtid="{D5CDD505-2E9C-101B-9397-08002B2CF9AE}" pid="12" name="Svar">
    <vt:lpwstr>proposition</vt:lpwstr>
  </property>
  <property fmtid="{D5CDD505-2E9C-101B-9397-08002B2CF9AE}" pid="13" name="SvarNr">
    <vt:lpwstr>2005/06:76</vt:lpwstr>
  </property>
  <property fmtid="{D5CDD505-2E9C-101B-9397-08002B2CF9AE}" pid="14" name="RubrikSvar">
    <vt:lpwstr>Kärnsäkerhet och strålskydd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fp1284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Lennart Fremling m.fl. (fp)</vt:lpwstr>
  </property>
  <property fmtid="{D5CDD505-2E9C-101B-9397-08002B2CF9AE}" pid="26" name="MotionarLista">
    <vt:lpwstr>Fremling, Lennart (fp)\Thorén, Sverker (fp)\Wahlgren, Marie (fp)\Berg, Heli (fp)\Nordmark, Gunnar (fp)\Flyborg, Eva (fp)\Ångström, Yvonne (fp)\Sabuni, Nyamko (fp)\Backman, Hans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Fremling (fp), Sverker Thorén (fp), Marie Wahlgren (fp), Heli Berg (fp), Gunnar Nordmark (fp), Eva Flyborg (fp), Yvonne Ångström (fp), Nyamko Sabuni (fp), Hans Backman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MJ14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februari 2006</vt:lpwstr>
  </property>
  <property fmtid="{D5CDD505-2E9C-101B-9397-08002B2CF9AE}" pid="44" name="NotesUID">
    <vt:lpwstr>mikael.staldal@riksdagen.se</vt:lpwstr>
  </property>
  <property fmtid="{D5CDD505-2E9C-101B-9397-08002B2CF9AE}" pid="45" name="ReservUID">
    <vt:lpwstr>peter jansson</vt:lpwstr>
  </property>
  <property fmtid="{D5CDD505-2E9C-101B-9397-08002B2CF9AE}" pid="46" name="MotionID">
    <vt:lpwstr>20052006000001020112000012840075</vt:lpwstr>
  </property>
  <property fmtid="{D5CDD505-2E9C-101B-9397-08002B2CF9AE}" pid="47" name="datum">
    <vt:lpwstr>060222</vt:lpwstr>
  </property>
  <property fmtid="{D5CDD505-2E9C-101B-9397-08002B2CF9AE}" pid="48" name="avsändar-e-post">
    <vt:lpwstr>mikael.staldal@riksdagen.se</vt:lpwstr>
  </property>
  <property fmtid="{D5CDD505-2E9C-101B-9397-08002B2CF9AE}" pid="49" name="id">
    <vt:lpwstr>20052006000001020112000012840075</vt:lpwstr>
  </property>
  <property fmtid="{D5CDD505-2E9C-101B-9397-08002B2CF9AE}" pid="50" name="nummer">
    <vt:lpwstr>14</vt:lpwstr>
  </property>
  <property fmtid="{D5CDD505-2E9C-101B-9397-08002B2CF9AE}" pid="51" name="utskottsbeteckning">
    <vt:lpwstr>MJ</vt:lpwstr>
  </property>
  <property fmtid="{D5CDD505-2E9C-101B-9397-08002B2CF9AE}" pid="52" name="GlobalUID">
    <vt:lpwstr>{1AFD1B54-60BC-4F8A-B153-44A95BECE0DE}</vt:lpwstr>
  </property>
  <property fmtid="{D5CDD505-2E9C-101B-9397-08002B2CF9AE}" pid="53" name="Överföringar">
    <vt:i4>0</vt:i4>
  </property>
</Properties>
</file>