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F24F4" w14:textId="77777777" w:rsidR="00FB32B9" w:rsidRDefault="00343494" w:rsidP="00FB32B9">
      <w:pPr>
        <w:pStyle w:val="UDrubrik"/>
        <w:tabs>
          <w:tab w:val="left" w:pos="1701"/>
          <w:tab w:val="left" w:pos="1985"/>
        </w:tabs>
        <w:rPr>
          <w:rFonts w:cs="Arial"/>
          <w:sz w:val="28"/>
        </w:rPr>
      </w:pPr>
      <w:bookmarkStart w:id="0" w:name="_GoBack"/>
      <w:bookmarkEnd w:id="0"/>
    </w:p>
    <w:p w14:paraId="73DF24F5" w14:textId="77777777" w:rsidR="00FB32B9" w:rsidRDefault="00343494" w:rsidP="00FB32B9">
      <w:pPr>
        <w:pStyle w:val="UDrubrik"/>
        <w:tabs>
          <w:tab w:val="left" w:pos="1701"/>
          <w:tab w:val="left" w:pos="1985"/>
        </w:tabs>
        <w:rPr>
          <w:rFonts w:cs="Arial"/>
          <w:sz w:val="28"/>
        </w:rPr>
      </w:pPr>
    </w:p>
    <w:p w14:paraId="73DF24F6" w14:textId="77777777" w:rsidR="00FB32B9" w:rsidRDefault="00343494" w:rsidP="00FB32B9">
      <w:pPr>
        <w:pStyle w:val="UDrubrik"/>
        <w:tabs>
          <w:tab w:val="left" w:pos="1701"/>
          <w:tab w:val="left" w:pos="1985"/>
        </w:tabs>
        <w:rPr>
          <w:rFonts w:cs="Arial"/>
          <w:sz w:val="28"/>
        </w:rPr>
      </w:pPr>
    </w:p>
    <w:p w14:paraId="73DF24F7" w14:textId="77777777" w:rsidR="00FB32B9" w:rsidRDefault="00343494" w:rsidP="00FB32B9">
      <w:pPr>
        <w:pStyle w:val="UDrubrik"/>
        <w:tabs>
          <w:tab w:val="left" w:pos="1701"/>
          <w:tab w:val="left" w:pos="1985"/>
        </w:tabs>
        <w:rPr>
          <w:rFonts w:cs="Arial"/>
          <w:sz w:val="28"/>
        </w:rPr>
      </w:pPr>
    </w:p>
    <w:p w14:paraId="697EDEE1" w14:textId="0CB47774" w:rsidR="00E25B2E" w:rsidRDefault="00E25B2E" w:rsidP="00E25B2E">
      <w:pPr>
        <w:pStyle w:val="Brdtext"/>
        <w:rPr>
          <w:rFonts w:ascii="Arial" w:hAnsi="Arial" w:cs="Arial"/>
          <w:b/>
        </w:rPr>
      </w:pPr>
      <w:r>
        <w:rPr>
          <w:rFonts w:ascii="Arial" w:hAnsi="Arial" w:cs="Arial"/>
          <w:b/>
          <w:sz w:val="28"/>
        </w:rPr>
        <w:t>Färdigförhandlade II-punkt</w:t>
      </w:r>
      <w:r w:rsidR="00775CEF">
        <w:rPr>
          <w:rFonts w:ascii="Arial" w:hAnsi="Arial" w:cs="Arial"/>
          <w:b/>
          <w:sz w:val="28"/>
        </w:rPr>
        <w:t>er</w:t>
      </w:r>
      <w:r>
        <w:rPr>
          <w:rFonts w:ascii="Arial" w:hAnsi="Arial" w:cs="Arial"/>
          <w:b/>
          <w:sz w:val="28"/>
        </w:rPr>
        <w:t xml:space="preserve"> från Coreper I den 22 mars 2017, vilka kan antas som A-punkt vid kommande rådsmöten.</w:t>
      </w:r>
    </w:p>
    <w:p w14:paraId="73DF24F9" w14:textId="77777777" w:rsidR="00FB32B9" w:rsidRDefault="00343494" w:rsidP="00FB32B9">
      <w:pPr>
        <w:pStyle w:val="Brdtext"/>
      </w:pPr>
    </w:p>
    <w:p w14:paraId="73DF24FA" w14:textId="02575890" w:rsidR="00FB32B9" w:rsidRDefault="00343494" w:rsidP="00FB32B9">
      <w:pPr>
        <w:pStyle w:val="Brdtext"/>
      </w:pPr>
    </w:p>
    <w:p w14:paraId="73DF24FB" w14:textId="77777777" w:rsidR="00FB32B9" w:rsidRDefault="005D0FC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3DF24FC" w14:textId="77777777" w:rsidR="00D957FB" w:rsidRPr="00283DF3" w:rsidRDefault="005D0FC5">
          <w:pPr>
            <w:pStyle w:val="Innehllsfrteckningsrubrik"/>
            <w:rPr>
              <w:color w:val="auto"/>
              <w:lang w:val="sv-SE"/>
            </w:rPr>
          </w:pPr>
          <w:r w:rsidRPr="00283DF3">
            <w:rPr>
              <w:color w:val="auto"/>
              <w:lang w:val="sv-SE"/>
            </w:rPr>
            <w:t>Innehållsförteckning</w:t>
          </w:r>
        </w:p>
        <w:p w14:paraId="73DF24FD" w14:textId="77777777" w:rsidR="00DA7250" w:rsidRPr="00283DF3" w:rsidRDefault="00343494" w:rsidP="00DA7250">
          <w:pPr>
            <w:rPr>
              <w:lang w:eastAsia="ja-JP"/>
            </w:rPr>
          </w:pPr>
        </w:p>
        <w:p w14:paraId="2AD3FD2E" w14:textId="77777777" w:rsidR="005D0FC5" w:rsidRDefault="005D0FC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8032058" w:history="1">
            <w:r w:rsidRPr="00F1323B">
              <w:rPr>
                <w:rStyle w:val="Hyperlnk"/>
                <w:noProof/>
                <w:lang w:val="en-GB" w:eastAsia="en-GB"/>
              </w:rPr>
              <w:t>1.</w:t>
            </w:r>
            <w:r>
              <w:rPr>
                <w:rFonts w:asciiTheme="minorHAnsi" w:eastAsiaTheme="minorEastAsia" w:hAnsiTheme="minorHAnsi" w:cstheme="minorBidi"/>
                <w:noProof/>
                <w:lang w:eastAsia="sv-SE"/>
              </w:rPr>
              <w:tab/>
            </w:r>
            <w:r w:rsidRPr="00F1323B">
              <w:rPr>
                <w:rStyle w:val="Hyperlnk"/>
                <w:noProof/>
                <w:lang w:val="en-GB"/>
              </w:rPr>
              <w:t xml:space="preserve">Proposal for a Regulation of the European Parliament and of the Council on establishing a multi-annual plan for demersal stocks in the North Sea and the fisheries exploiting those stocks and repealing Council Regulation (EC) 676/2007 and Council Regulatin (EC) 1342/2008 </w:t>
            </w:r>
            <w:r w:rsidRPr="00F1323B">
              <w:rPr>
                <w:rStyle w:val="Hyperlnk"/>
                <w:noProof/>
                <w:lang w:val="en-GB" w:eastAsia="en-GB"/>
              </w:rPr>
              <w:t>(First reading) (Legislative deliberation)</w:t>
            </w:r>
            <w:r>
              <w:rPr>
                <w:noProof/>
                <w:webHidden/>
              </w:rPr>
              <w:tab/>
            </w:r>
            <w:r>
              <w:rPr>
                <w:noProof/>
                <w:webHidden/>
              </w:rPr>
              <w:fldChar w:fldCharType="begin"/>
            </w:r>
            <w:r>
              <w:rPr>
                <w:noProof/>
                <w:webHidden/>
              </w:rPr>
              <w:instrText xml:space="preserve"> PAGEREF _Toc478032058 \h </w:instrText>
            </w:r>
            <w:r>
              <w:rPr>
                <w:noProof/>
                <w:webHidden/>
              </w:rPr>
            </w:r>
            <w:r>
              <w:rPr>
                <w:noProof/>
                <w:webHidden/>
              </w:rPr>
              <w:fldChar w:fldCharType="separate"/>
            </w:r>
            <w:r>
              <w:rPr>
                <w:noProof/>
                <w:webHidden/>
              </w:rPr>
              <w:t>3</w:t>
            </w:r>
            <w:r>
              <w:rPr>
                <w:noProof/>
                <w:webHidden/>
              </w:rPr>
              <w:fldChar w:fldCharType="end"/>
            </w:r>
          </w:hyperlink>
        </w:p>
        <w:p w14:paraId="21A49904" w14:textId="77777777" w:rsidR="005D0FC5" w:rsidRDefault="00343494">
          <w:pPr>
            <w:pStyle w:val="Innehll1"/>
            <w:tabs>
              <w:tab w:val="left" w:pos="440"/>
              <w:tab w:val="right" w:leader="dot" w:pos="9062"/>
            </w:tabs>
            <w:rPr>
              <w:rFonts w:asciiTheme="minorHAnsi" w:eastAsiaTheme="minorEastAsia" w:hAnsiTheme="minorHAnsi" w:cstheme="minorBidi"/>
              <w:noProof/>
              <w:lang w:eastAsia="sv-SE"/>
            </w:rPr>
          </w:pPr>
          <w:hyperlink w:anchor="_Toc478032059" w:history="1">
            <w:r w:rsidR="005D0FC5" w:rsidRPr="00F1323B">
              <w:rPr>
                <w:rStyle w:val="Hyperlnk"/>
                <w:noProof/>
                <w:lang w:val="en-GB"/>
              </w:rPr>
              <w:t>2.</w:t>
            </w:r>
            <w:r w:rsidR="005D0FC5">
              <w:rPr>
                <w:rFonts w:asciiTheme="minorHAnsi" w:eastAsiaTheme="minorEastAsia" w:hAnsiTheme="minorHAnsi" w:cstheme="minorBidi"/>
                <w:noProof/>
                <w:lang w:eastAsia="sv-SE"/>
              </w:rPr>
              <w:tab/>
            </w:r>
            <w:r w:rsidR="005D0FC5" w:rsidRPr="00F1323B">
              <w:rPr>
                <w:rStyle w:val="Hyperlnk"/>
                <w:noProof/>
                <w:lang w:val="en-GB"/>
              </w:rPr>
              <w:t>Draft Council Decision authorising the opening of negotiations on a UNWTO-Convention on the protection of tourists and the rights and obligations of tourism service providers</w:t>
            </w:r>
            <w:r w:rsidR="005D0FC5">
              <w:rPr>
                <w:noProof/>
                <w:webHidden/>
              </w:rPr>
              <w:tab/>
            </w:r>
            <w:r w:rsidR="005D0FC5">
              <w:rPr>
                <w:noProof/>
                <w:webHidden/>
              </w:rPr>
              <w:fldChar w:fldCharType="begin"/>
            </w:r>
            <w:r w:rsidR="005D0FC5">
              <w:rPr>
                <w:noProof/>
                <w:webHidden/>
              </w:rPr>
              <w:instrText xml:space="preserve"> PAGEREF _Toc478032059 \h </w:instrText>
            </w:r>
            <w:r w:rsidR="005D0FC5">
              <w:rPr>
                <w:noProof/>
                <w:webHidden/>
              </w:rPr>
            </w:r>
            <w:r w:rsidR="005D0FC5">
              <w:rPr>
                <w:noProof/>
                <w:webHidden/>
              </w:rPr>
              <w:fldChar w:fldCharType="separate"/>
            </w:r>
            <w:r w:rsidR="005D0FC5">
              <w:rPr>
                <w:noProof/>
                <w:webHidden/>
              </w:rPr>
              <w:t>4</w:t>
            </w:r>
            <w:r w:rsidR="005D0FC5">
              <w:rPr>
                <w:noProof/>
                <w:webHidden/>
              </w:rPr>
              <w:fldChar w:fldCharType="end"/>
            </w:r>
          </w:hyperlink>
        </w:p>
        <w:p w14:paraId="73DF2500" w14:textId="77777777" w:rsidR="00D957FB" w:rsidRDefault="005D0FC5">
          <w:r>
            <w:rPr>
              <w:b/>
              <w:bCs/>
              <w:noProof/>
            </w:rPr>
            <w:fldChar w:fldCharType="end"/>
          </w:r>
        </w:p>
      </w:sdtContent>
    </w:sdt>
    <w:p w14:paraId="73DF2501" w14:textId="77777777" w:rsidR="00D957FB" w:rsidRDefault="005D0FC5">
      <w:pPr>
        <w:ind w:left="0"/>
      </w:pPr>
      <w:r>
        <w:br w:type="page"/>
      </w:r>
    </w:p>
    <w:p w14:paraId="22482DC0" w14:textId="77777777" w:rsidR="00AB1CEE" w:rsidRPr="000E14BC" w:rsidRDefault="00AB1CEE" w:rsidP="00AB1CEE">
      <w:pPr>
        <w:pStyle w:val="Rubrik1"/>
        <w:spacing w:before="0"/>
        <w:rPr>
          <w:lang w:val="en-GB" w:eastAsia="en-GB"/>
        </w:rPr>
      </w:pPr>
      <w:bookmarkStart w:id="1" w:name="_Toc478026723"/>
      <w:bookmarkStart w:id="2" w:name="_Toc478032058"/>
      <w:bookmarkStart w:id="3" w:name="_Toc364854645"/>
      <w:r w:rsidRPr="000E14BC">
        <w:rPr>
          <w:lang w:val="en-GB"/>
        </w:rPr>
        <w:lastRenderedPageBreak/>
        <w:t xml:space="preserve">Proposal for a Regulation of the European Parliament and of the Council on establishing a multi-annual plan for demersal stocks in the North Sea and the fisheries exploiting those stocks and repealing Council Regulation (EC) 676/2007 and Council Regulation (EC) 1342/2008 </w:t>
      </w:r>
      <w:r w:rsidRPr="000E14BC">
        <w:rPr>
          <w:lang w:val="en-GB" w:eastAsia="en-GB"/>
        </w:rPr>
        <w:t>(First reading) (Legislative deliberation)</w:t>
      </w:r>
      <w:bookmarkEnd w:id="1"/>
      <w:bookmarkEnd w:id="2"/>
    </w:p>
    <w:p w14:paraId="460FE27C" w14:textId="77777777" w:rsidR="00AB1CEE" w:rsidRPr="000E14BC" w:rsidRDefault="00AB1CEE" w:rsidP="005D0FC5">
      <w:pPr>
        <w:pStyle w:val="DashEqual1"/>
        <w:numPr>
          <w:ilvl w:val="0"/>
          <w:numId w:val="4"/>
        </w:numPr>
        <w:tabs>
          <w:tab w:val="clear" w:pos="1134"/>
          <w:tab w:val="num" w:pos="1287"/>
        </w:tabs>
        <w:ind w:left="1287"/>
        <w:rPr>
          <w:sz w:val="22"/>
        </w:rPr>
      </w:pPr>
      <w:r w:rsidRPr="000E14BC">
        <w:rPr>
          <w:sz w:val="22"/>
        </w:rPr>
        <w:t>Preparation for a general approach</w:t>
      </w:r>
    </w:p>
    <w:p w14:paraId="6A7090AD" w14:textId="77777777" w:rsidR="00AB1CEE" w:rsidRPr="000E14BC" w:rsidRDefault="00AB1CEE" w:rsidP="00AB1CEE">
      <w:pPr>
        <w:pStyle w:val="Text3"/>
        <w:ind w:left="1304"/>
        <w:rPr>
          <w:sz w:val="22"/>
        </w:rPr>
      </w:pPr>
      <w:r w:rsidRPr="000E14BC">
        <w:rPr>
          <w:sz w:val="22"/>
        </w:rPr>
        <w:t>7338/17 PECHE 105 CODEC 398</w:t>
      </w:r>
    </w:p>
    <w:p w14:paraId="7B6B30AF" w14:textId="77777777" w:rsidR="00AB1CEE" w:rsidRPr="000E14BC" w:rsidRDefault="00AB1CEE" w:rsidP="00AB1CEE">
      <w:pPr>
        <w:ind w:left="1111" w:firstLine="193"/>
      </w:pPr>
      <w:r w:rsidRPr="000E14BC">
        <w:t>7339/17 PECHE 106 CODEC 399</w:t>
      </w:r>
    </w:p>
    <w:p w14:paraId="5A37A2BB" w14:textId="77777777" w:rsidR="00AB1CEE" w:rsidRDefault="00AB1CEE" w:rsidP="00AB1CEE">
      <w:pPr>
        <w:shd w:val="clear" w:color="auto" w:fill="FFFFFF"/>
        <w:spacing w:after="0" w:line="240" w:lineRule="auto"/>
        <w:textAlignment w:val="top"/>
        <w:rPr>
          <w:rFonts w:eastAsia="Times New Roman"/>
          <w:b/>
          <w:bCs/>
          <w:szCs w:val="18"/>
          <w:lang w:eastAsia="sv-SE"/>
        </w:rPr>
      </w:pPr>
      <w:r w:rsidRPr="000E14BC">
        <w:rPr>
          <w:b/>
        </w:rPr>
        <w:t>Ansvarigt statsråd:</w:t>
      </w:r>
      <w:r>
        <w:rPr>
          <w:b/>
        </w:rPr>
        <w:br/>
      </w:r>
      <w:r w:rsidRPr="000E14BC">
        <w:t>Sven-Erik Bucht</w:t>
      </w:r>
      <w:r w:rsidRPr="006B1F30">
        <w:rPr>
          <w:rFonts w:eastAsia="Times New Roman"/>
          <w:b/>
          <w:bCs/>
          <w:szCs w:val="18"/>
          <w:lang w:eastAsia="sv-SE"/>
        </w:rPr>
        <w:t xml:space="preserve"> </w:t>
      </w:r>
    </w:p>
    <w:p w14:paraId="236AD533" w14:textId="77777777" w:rsidR="00AB1CEE" w:rsidRDefault="00AB1CEE" w:rsidP="00AB1CEE">
      <w:pPr>
        <w:shd w:val="clear" w:color="auto" w:fill="FFFFFF"/>
        <w:spacing w:after="0" w:line="240" w:lineRule="auto"/>
        <w:textAlignment w:val="top"/>
        <w:rPr>
          <w:rFonts w:eastAsia="Times New Roman"/>
          <w:b/>
          <w:bCs/>
          <w:szCs w:val="18"/>
          <w:lang w:eastAsia="sv-SE"/>
        </w:rPr>
      </w:pPr>
    </w:p>
    <w:p w14:paraId="5481C344" w14:textId="77777777" w:rsidR="00AB1CEE" w:rsidRPr="006B1F30" w:rsidRDefault="00AB1CEE" w:rsidP="00AB1CEE">
      <w:pPr>
        <w:shd w:val="clear" w:color="auto" w:fill="FFFFFF"/>
        <w:spacing w:after="0" w:line="240" w:lineRule="auto"/>
        <w:textAlignment w:val="top"/>
        <w:rPr>
          <w:rFonts w:eastAsia="Times New Roman"/>
          <w:b/>
          <w:bCs/>
          <w:szCs w:val="18"/>
          <w:lang w:eastAsia="sv-SE"/>
        </w:rPr>
      </w:pPr>
      <w:r w:rsidRPr="006B1F30">
        <w:rPr>
          <w:rFonts w:eastAsia="Times New Roman"/>
          <w:b/>
          <w:bCs/>
          <w:szCs w:val="18"/>
          <w:lang w:eastAsia="sv-SE"/>
        </w:rPr>
        <w:t>Tidigare behandlat i EU-nämnden</w:t>
      </w:r>
      <w:r>
        <w:rPr>
          <w:rFonts w:eastAsia="Times New Roman"/>
          <w:b/>
          <w:bCs/>
          <w:szCs w:val="18"/>
          <w:lang w:eastAsia="sv-SE"/>
        </w:rPr>
        <w:t xml:space="preserve">: </w:t>
      </w:r>
      <w:r w:rsidRPr="00114D62">
        <w:rPr>
          <w:rFonts w:eastAsia="Times New Roman"/>
          <w:bCs/>
          <w:szCs w:val="18"/>
          <w:lang w:eastAsia="sv-SE"/>
        </w:rPr>
        <w:t>2016-11-11</w:t>
      </w:r>
      <w:r w:rsidRPr="00114D62">
        <w:rPr>
          <w:rFonts w:eastAsia="Times New Roman"/>
          <w:bCs/>
          <w:szCs w:val="18"/>
          <w:lang w:eastAsia="sv-SE"/>
        </w:rPr>
        <w:tab/>
      </w:r>
    </w:p>
    <w:p w14:paraId="112CFB52" w14:textId="77777777" w:rsidR="00AB1CEE" w:rsidRPr="006B1F30" w:rsidRDefault="00AB1CEE" w:rsidP="00AB1CEE">
      <w:pPr>
        <w:shd w:val="clear" w:color="auto" w:fill="FFFFFF"/>
        <w:spacing w:after="0" w:line="240" w:lineRule="auto"/>
        <w:textAlignment w:val="top"/>
        <w:rPr>
          <w:rFonts w:eastAsia="Times New Roman"/>
          <w:sz w:val="20"/>
          <w:szCs w:val="16"/>
          <w:lang w:eastAsia="sv-SE"/>
        </w:rPr>
      </w:pPr>
    </w:p>
    <w:p w14:paraId="05B236AF" w14:textId="77777777" w:rsidR="00AB1CEE" w:rsidRPr="006B1F30" w:rsidRDefault="00AB1CEE" w:rsidP="00AB1CEE">
      <w:pPr>
        <w:shd w:val="clear" w:color="auto" w:fill="FFFFFF"/>
        <w:spacing w:after="0" w:line="240" w:lineRule="auto"/>
        <w:textAlignment w:val="top"/>
        <w:rPr>
          <w:rFonts w:eastAsia="Times New Roman"/>
          <w:b/>
          <w:bCs/>
          <w:szCs w:val="18"/>
          <w:lang w:eastAsia="sv-SE"/>
        </w:rPr>
      </w:pPr>
      <w:r w:rsidRPr="006B1F30">
        <w:rPr>
          <w:rFonts w:eastAsia="Times New Roman"/>
          <w:b/>
          <w:bCs/>
          <w:szCs w:val="18"/>
          <w:lang w:eastAsia="sv-SE"/>
        </w:rPr>
        <w:t>Tidigare behandlat i rådet</w:t>
      </w:r>
      <w:r>
        <w:rPr>
          <w:rFonts w:eastAsia="Times New Roman"/>
          <w:b/>
          <w:bCs/>
          <w:szCs w:val="18"/>
          <w:lang w:eastAsia="sv-SE"/>
        </w:rPr>
        <w:t xml:space="preserve">: </w:t>
      </w:r>
      <w:r w:rsidRPr="00114D62">
        <w:rPr>
          <w:rFonts w:eastAsia="Times New Roman"/>
          <w:bCs/>
          <w:szCs w:val="18"/>
          <w:lang w:eastAsia="sv-SE"/>
        </w:rPr>
        <w:t>2016-11-14</w:t>
      </w:r>
    </w:p>
    <w:p w14:paraId="20E88C67" w14:textId="77777777" w:rsidR="00AB1CEE" w:rsidRPr="006B1F30" w:rsidRDefault="00AB1CEE" w:rsidP="00AB1CEE">
      <w:pPr>
        <w:shd w:val="clear" w:color="auto" w:fill="FFFFFF"/>
        <w:spacing w:after="0" w:line="240" w:lineRule="auto"/>
        <w:ind w:left="2805"/>
        <w:textAlignment w:val="top"/>
        <w:rPr>
          <w:rFonts w:eastAsia="Times New Roman"/>
          <w:sz w:val="20"/>
          <w:szCs w:val="16"/>
          <w:lang w:eastAsia="sv-SE"/>
        </w:rPr>
      </w:pPr>
    </w:p>
    <w:p w14:paraId="145F0112" w14:textId="77777777" w:rsidR="00AB1CEE" w:rsidRPr="006B1F30" w:rsidRDefault="00AB1CEE" w:rsidP="00AB1CEE">
      <w:pPr>
        <w:shd w:val="clear" w:color="auto" w:fill="FFFFFF"/>
        <w:spacing w:after="0" w:line="240" w:lineRule="auto"/>
        <w:textAlignment w:val="top"/>
        <w:rPr>
          <w:rFonts w:eastAsia="Times New Roman"/>
          <w:b/>
          <w:bCs/>
          <w:szCs w:val="18"/>
          <w:lang w:eastAsia="sv-SE"/>
        </w:rPr>
      </w:pPr>
      <w:r w:rsidRPr="006B1F30">
        <w:rPr>
          <w:rFonts w:eastAsia="Times New Roman"/>
          <w:b/>
          <w:bCs/>
          <w:szCs w:val="18"/>
          <w:lang w:eastAsia="sv-SE"/>
        </w:rPr>
        <w:t>Tidigare behandlat i utskottet</w:t>
      </w:r>
      <w:r>
        <w:rPr>
          <w:rFonts w:eastAsia="Times New Roman"/>
          <w:b/>
          <w:bCs/>
          <w:szCs w:val="18"/>
          <w:lang w:eastAsia="sv-SE"/>
        </w:rPr>
        <w:t xml:space="preserve">: </w:t>
      </w:r>
      <w:r w:rsidRPr="00114D62">
        <w:rPr>
          <w:rFonts w:eastAsia="Times New Roman"/>
          <w:bCs/>
          <w:szCs w:val="18"/>
          <w:lang w:eastAsia="sv-SE"/>
        </w:rPr>
        <w:t>2016-11-10</w:t>
      </w:r>
    </w:p>
    <w:p w14:paraId="1BB8C51E" w14:textId="77777777" w:rsidR="00AB1CEE" w:rsidRPr="004B684B" w:rsidRDefault="00AB1CEE" w:rsidP="00AB1CEE">
      <w:r w:rsidRPr="004B684B">
        <w:rPr>
          <w:b/>
        </w:rPr>
        <w:br/>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1A6EBE82" w14:textId="77777777" w:rsidR="00AB1CEE" w:rsidRPr="004B684B" w:rsidRDefault="00AB1CEE" w:rsidP="00AB1CEE">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258F33F4" w14:textId="77777777" w:rsidR="00AB1CEE" w:rsidRPr="004B684B" w:rsidRDefault="00AB1CEE" w:rsidP="00AB1CEE">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01C8F05C" w14:textId="77777777" w:rsidR="00AB1CEE" w:rsidRPr="004B684B" w:rsidRDefault="00AB1CEE" w:rsidP="00AB1CEE">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14B9AF4C" w14:textId="77777777" w:rsidR="00AB1CEE" w:rsidRPr="004B684B" w:rsidRDefault="00AB1CEE" w:rsidP="00AB1CEE">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286C117" w14:textId="77777777" w:rsidR="00AB1CEE" w:rsidRPr="004B684B" w:rsidRDefault="00AB1CEE" w:rsidP="00AB1CEE">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76AA6EF6" w14:textId="77777777" w:rsidR="00AB1CEE" w:rsidRPr="004B684B" w:rsidRDefault="00AB1CEE" w:rsidP="00AB1CEE">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036FCAE2" w14:textId="77777777" w:rsidR="00AB1CEE" w:rsidRPr="004B684B" w:rsidRDefault="00AB1CEE" w:rsidP="00AB1CEE">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72C6E8C9" w14:textId="77777777" w:rsidR="00AB1CEE" w:rsidRPr="004B684B" w:rsidRDefault="00AB1CEE" w:rsidP="00AB1CEE">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53DD590F" w14:textId="77777777" w:rsidR="00AB1CEE" w:rsidRDefault="00AB1CEE" w:rsidP="00AB1CEE">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w:t>
      </w:r>
      <w:r>
        <w:br/>
        <w:t>Rådet ska anta en allmän inriktning för förslaget.</w:t>
      </w:r>
    </w:p>
    <w:p w14:paraId="6DAE7FD2" w14:textId="77777777" w:rsidR="00AB1CEE" w:rsidRDefault="00AB1CEE" w:rsidP="00AB1CEE">
      <w:pPr>
        <w:spacing w:after="280" w:afterAutospacing="1"/>
      </w:pPr>
      <w:r w:rsidRPr="004B684B">
        <w:rPr>
          <w:b/>
          <w:bCs/>
        </w:rPr>
        <w:t>Hur regeringen ställer sig till den blivande A-punkten:</w:t>
      </w:r>
      <w:r>
        <w:rPr>
          <w:b/>
          <w:bCs/>
        </w:rPr>
        <w:t xml:space="preserve"> </w:t>
      </w:r>
      <w:r>
        <w:rPr>
          <w:b/>
          <w:bCs/>
        </w:rPr>
        <w:br/>
      </w:r>
      <w:r w:rsidRPr="00114D62">
        <w:rPr>
          <w:bCs/>
        </w:rPr>
        <w:t>Regeringen ställer sig bakom rådets allmänna inriktning.</w:t>
      </w:r>
      <w:r w:rsidRPr="004B684B">
        <w:rPr>
          <w:b/>
          <w:bCs/>
        </w:rPr>
        <w:t xml:space="preserve"> </w:t>
      </w:r>
    </w:p>
    <w:p w14:paraId="5A6A804B" w14:textId="77777777" w:rsidR="00AB1CEE" w:rsidRDefault="00AB1CEE" w:rsidP="00AB1CEE">
      <w:pPr>
        <w:spacing w:after="280" w:afterAutospacing="1"/>
      </w:pPr>
      <w:r w:rsidRPr="004B684B">
        <w:rPr>
          <w:b/>
          <w:bCs/>
        </w:rPr>
        <w:t>Bakgrund:</w:t>
      </w:r>
      <w:r w:rsidRPr="004B684B">
        <w:t xml:space="preserve"> </w:t>
      </w:r>
      <w:r>
        <w:br/>
        <w:t xml:space="preserve">Kommissionen presenterade förslaget i augusti 2016. </w:t>
      </w:r>
      <w:r w:rsidRPr="00880642">
        <w:t xml:space="preserve">Syftet med förslaget är att fastställa en förvaltningsplan för bestånd av arter som lever på eller nära havsbotten (s.k. </w:t>
      </w:r>
      <w:proofErr w:type="spellStart"/>
      <w:r w:rsidRPr="00880642">
        <w:t>demersala</w:t>
      </w:r>
      <w:proofErr w:type="spellEnd"/>
      <w:r w:rsidRPr="00880642">
        <w:t xml:space="preserve"> bestånd) och fisket av dessa bestånd i Nordsjön. Förslaget avser garantera ett hållbart </w:t>
      </w:r>
      <w:proofErr w:type="gramStart"/>
      <w:r w:rsidRPr="00880642">
        <w:t>nyttjande</w:t>
      </w:r>
      <w:proofErr w:type="gramEnd"/>
      <w:r w:rsidRPr="00880642">
        <w:t xml:space="preserve"> av dessa bestånd, genom att säkerställa att de nyttjas i enlighet med principerna om maximal hållbar avkastning och ekosystemansatsen i fiskeriförvaltningen.</w:t>
      </w:r>
      <w:r>
        <w:t xml:space="preserve"> Rådet diskuterade förslaget i november 2016. </w:t>
      </w:r>
      <w:r w:rsidRPr="00021CBE">
        <w:t xml:space="preserve">Generellt </w:t>
      </w:r>
      <w:r>
        <w:t>fick förslaget stöd men många medlemsstater</w:t>
      </w:r>
      <w:r w:rsidRPr="00021CBE">
        <w:t xml:space="preserve"> påpekade behovet av att hantera blandfisket och ansåg att föreslagna kontrolldelar skulle innebära oproportionerligt stora kostnader i förhållande till mervärdet.</w:t>
      </w:r>
      <w:r>
        <w:t xml:space="preserve"> Förslaget till allmän inriktning ligger nära den text som överenskommits mellan institutionerna i motsvarande flerårig plan för fisket i Östersjön. Kategoriseringen av bestånden förenklas jämfört med kommissionens förslag, medan de ytterligare kontrollbestämmelserna i förslaget har strukits för att inte öka den administrativa bördan. Möjligheter att anta regionala bestämmelser om landningsskyldigheten föreslås gälla för samtliga havsområden och hänsyn ska kunna tas till samarbetet med tredjeländer. Kommissionen har uttryckt sitt stöd för förslaget till allmän inriktning.</w:t>
      </w:r>
    </w:p>
    <w:p w14:paraId="73DF250F" w14:textId="774BC645" w:rsidR="00643D86" w:rsidRDefault="005D0FC5" w:rsidP="00643D86">
      <w:r>
        <w:rPr>
          <w:b/>
        </w:rPr>
        <w:br/>
      </w:r>
      <w:r>
        <w:br/>
      </w:r>
    </w:p>
    <w:p w14:paraId="73DF2510" w14:textId="77777777" w:rsidR="00643D86" w:rsidRPr="005D0FC5" w:rsidRDefault="005D0FC5" w:rsidP="00643D86">
      <w:pPr>
        <w:pStyle w:val="Rubrik1"/>
        <w:rPr>
          <w:szCs w:val="22"/>
          <w:lang w:val="en-GB"/>
        </w:rPr>
      </w:pPr>
      <w:bookmarkStart w:id="4" w:name="_Toc478032059"/>
      <w:r w:rsidRPr="00AB1CEE">
        <w:rPr>
          <w:noProof/>
          <w:lang w:val="en-GB"/>
        </w:rPr>
        <w:lastRenderedPageBreak/>
        <w:t xml:space="preserve">Draft Council Decision authorising the opening of negotiations on a UNWTO-Convention on the protection of tourists and the rights and obligations of tourism service </w:t>
      </w:r>
      <w:r w:rsidRPr="005D0FC5">
        <w:rPr>
          <w:noProof/>
          <w:szCs w:val="22"/>
          <w:lang w:val="en-GB"/>
        </w:rPr>
        <w:t>providers</w:t>
      </w:r>
      <w:bookmarkEnd w:id="4"/>
    </w:p>
    <w:p w14:paraId="73DF2511" w14:textId="307CB294" w:rsidR="00643D86" w:rsidRPr="005D0FC5" w:rsidRDefault="005D0FC5" w:rsidP="00643D86">
      <w:pPr>
        <w:rPr>
          <w:lang w:val="en-US"/>
        </w:rPr>
      </w:pPr>
      <w:r w:rsidRPr="005D0FC5">
        <w:rPr>
          <w:noProof/>
          <w:lang w:val="en-US"/>
        </w:rPr>
        <w:t xml:space="preserve">= </w:t>
      </w:r>
      <w:r w:rsidRPr="005D0FC5">
        <w:rPr>
          <w:noProof/>
          <w:lang w:val="en-US"/>
        </w:rPr>
        <w:tab/>
        <w:t>P</w:t>
      </w:r>
      <w:r w:rsidRPr="005D0FC5">
        <w:rPr>
          <w:lang w:val="en-US"/>
        </w:rPr>
        <w:t>reparation for the adoption</w:t>
      </w:r>
      <w:r w:rsidRPr="005D0FC5">
        <w:rPr>
          <w:lang w:val="en-US"/>
        </w:rPr>
        <w:br/>
      </w:r>
      <w:r w:rsidRPr="005D0FC5">
        <w:rPr>
          <w:noProof/>
          <w:lang w:val="en-US"/>
        </w:rPr>
        <w:t>7424</w:t>
      </w:r>
      <w:r w:rsidRPr="005D0FC5">
        <w:rPr>
          <w:lang w:val="en-US"/>
        </w:rPr>
        <w:t>/1/17 CONSOM 92 MI 242 TOUR 4 JUSTCIV 57 PROCIV 2 REV 1</w:t>
      </w:r>
    </w:p>
    <w:p w14:paraId="59305E12" w14:textId="50B08B2E" w:rsidR="005D0FC5" w:rsidRPr="005D0FC5" w:rsidRDefault="005D0FC5" w:rsidP="005D0FC5">
      <w:pPr>
        <w:rPr>
          <w:rFonts w:asciiTheme="majorBidi" w:hAnsiTheme="majorBidi" w:cstheme="majorBidi"/>
          <w:bCs/>
        </w:rPr>
      </w:pPr>
      <w:r w:rsidRPr="005D0FC5">
        <w:rPr>
          <w:b/>
        </w:rPr>
        <w:t>Ansvarigt statsråd</w:t>
      </w:r>
      <w:r w:rsidRPr="005D0FC5">
        <w:rPr>
          <w:b/>
        </w:rPr>
        <w:br/>
      </w:r>
      <w:r w:rsidRPr="005D0FC5">
        <w:rPr>
          <w:rFonts w:asciiTheme="majorBidi" w:hAnsiTheme="majorBidi" w:cstheme="majorBidi"/>
          <w:bCs/>
        </w:rPr>
        <w:t xml:space="preserve">Mikael Damberg </w:t>
      </w:r>
    </w:p>
    <w:p w14:paraId="73DF2513" w14:textId="77777777" w:rsidR="00E0653A" w:rsidRPr="005D0FC5" w:rsidRDefault="005D0FC5" w:rsidP="00C8338E">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EU-nämnden </w:instrText>
      </w:r>
      <w:r w:rsidRPr="005D0FC5">
        <w:rPr>
          <w:b/>
        </w:rPr>
        <w:br/>
      </w:r>
      <w:r w:rsidRPr="005D0FC5">
        <w:instrText>-</w:instrText>
      </w:r>
    </w:p>
    <w:p w14:paraId="73DF2514" w14:textId="77777777" w:rsidR="00E0653A" w:rsidRPr="005D0FC5" w:rsidRDefault="005D0FC5" w:rsidP="00C8338E">
      <w:r w:rsidRPr="005D0FC5">
        <w:instrText>"</w:instrText>
      </w:r>
      <w:r w:rsidRPr="005D0FC5">
        <w:rPr>
          <w:b/>
        </w:rPr>
        <w:instrText xml:space="preserve"> </w:instrText>
      </w:r>
      <w:r w:rsidRPr="005D0FC5">
        <w:rPr>
          <w:b/>
        </w:rPr>
        <w:fldChar w:fldCharType="end"/>
      </w:r>
      <w:r w:rsidRPr="005D0FC5">
        <w:rPr>
          <w:b/>
        </w:rPr>
        <w:instrText xml:space="preserve"> "Tidigare behandlat i EU-nämnden</w:instrText>
      </w:r>
      <w:r w:rsidRPr="005D0FC5">
        <w:rPr>
          <w:b/>
        </w:rPr>
        <w:br/>
      </w:r>
      <w:r w:rsidRPr="005D0FC5">
        <w:instrText>-</w:instrText>
      </w:r>
    </w:p>
    <w:p w14:paraId="73DF2515" w14:textId="77777777" w:rsidR="00E0653A" w:rsidRPr="005D0FC5" w:rsidRDefault="005D0FC5" w:rsidP="00C8338E">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EU-nämnden</w:instrText>
      </w:r>
      <w:r w:rsidRPr="005D0FC5">
        <w:rPr>
          <w:b/>
        </w:rPr>
        <w:br/>
      </w:r>
      <w:r w:rsidRPr="005D0FC5">
        <w:instrText>-</w:instrText>
      </w:r>
    </w:p>
    <w:p w14:paraId="73DF2516" w14:textId="77777777" w:rsidR="00E0653A" w:rsidRPr="005D0FC5" w:rsidRDefault="005D0FC5" w:rsidP="00C8338E">
      <w:r w:rsidRPr="005D0FC5">
        <w:instrText>"</w:instrText>
      </w:r>
      <w:r w:rsidRPr="005D0FC5">
        <w:rPr>
          <w:b/>
        </w:rPr>
        <w:instrText xml:space="preserve"> </w:instrText>
      </w:r>
      <w:r w:rsidRPr="005D0FC5">
        <w:rPr>
          <w:b/>
        </w:rPr>
        <w:fldChar w:fldCharType="end"/>
      </w:r>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rådet </w:instrText>
      </w:r>
      <w:r w:rsidRPr="005D0FC5">
        <w:rPr>
          <w:b/>
        </w:rPr>
        <w:br/>
      </w:r>
      <w:r w:rsidRPr="005D0FC5">
        <w:instrText>-</w:instrText>
      </w:r>
    </w:p>
    <w:p w14:paraId="73DF2517" w14:textId="77777777" w:rsidR="00E0653A" w:rsidRPr="005D0FC5" w:rsidRDefault="005D0FC5" w:rsidP="00C8338E">
      <w:r w:rsidRPr="005D0FC5">
        <w:instrText>"</w:instrText>
      </w:r>
      <w:r w:rsidRPr="005D0FC5">
        <w:rPr>
          <w:b/>
        </w:rPr>
        <w:instrText xml:space="preserve"> </w:instrText>
      </w:r>
      <w:r w:rsidRPr="005D0FC5">
        <w:rPr>
          <w:b/>
        </w:rPr>
        <w:fldChar w:fldCharType="end"/>
      </w:r>
      <w:r w:rsidRPr="005D0FC5">
        <w:rPr>
          <w:b/>
        </w:rPr>
        <w:instrText xml:space="preserve"> "Tidigare behandlat i rådet</w:instrText>
      </w:r>
      <w:r w:rsidRPr="005D0FC5">
        <w:rPr>
          <w:b/>
        </w:rPr>
        <w:br/>
      </w:r>
      <w:r w:rsidRPr="005D0FC5">
        <w:instrText>-</w:instrText>
      </w:r>
    </w:p>
    <w:p w14:paraId="73DF2518" w14:textId="77777777" w:rsidR="00E0653A" w:rsidRPr="005D0FC5" w:rsidRDefault="005D0FC5" w:rsidP="00C8338E">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rådet</w:instrText>
      </w:r>
      <w:r w:rsidRPr="005D0FC5">
        <w:rPr>
          <w:b/>
        </w:rPr>
        <w:br/>
      </w:r>
      <w:r w:rsidRPr="005D0FC5">
        <w:instrText>-</w:instrText>
      </w:r>
    </w:p>
    <w:p w14:paraId="73DF2519" w14:textId="77777777" w:rsidR="00E0653A" w:rsidRPr="005D0FC5" w:rsidRDefault="005D0FC5" w:rsidP="00C8338E">
      <w:r w:rsidRPr="005D0FC5">
        <w:instrText>"</w:instrText>
      </w:r>
      <w:r w:rsidRPr="005D0FC5">
        <w:rPr>
          <w:b/>
        </w:rPr>
        <w:instrText xml:space="preserve"> </w:instrText>
      </w:r>
      <w:r w:rsidRPr="005D0FC5">
        <w:rPr>
          <w:b/>
        </w:rPr>
        <w:fldChar w:fldCharType="end"/>
      </w:r>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utskottet </w:instrText>
      </w:r>
      <w:r w:rsidRPr="005D0FC5">
        <w:rPr>
          <w:b/>
        </w:rPr>
        <w:br/>
      </w:r>
      <w:r w:rsidRPr="005D0FC5">
        <w:instrText>-</w:instrText>
      </w:r>
    </w:p>
    <w:p w14:paraId="73DF251A" w14:textId="77777777" w:rsidR="00E0653A" w:rsidRPr="005D0FC5" w:rsidRDefault="005D0FC5" w:rsidP="00C8338E">
      <w:r w:rsidRPr="005D0FC5">
        <w:instrText>"</w:instrText>
      </w:r>
      <w:r w:rsidRPr="005D0FC5">
        <w:rPr>
          <w:b/>
        </w:rPr>
        <w:instrText xml:space="preserve"> </w:instrText>
      </w:r>
      <w:r w:rsidRPr="005D0FC5">
        <w:rPr>
          <w:b/>
        </w:rPr>
        <w:fldChar w:fldCharType="end"/>
      </w:r>
      <w:r w:rsidRPr="005D0FC5">
        <w:rPr>
          <w:b/>
        </w:rPr>
        <w:instrText xml:space="preserve"> "Tidigare behandlat i utskottet</w:instrText>
      </w:r>
      <w:r w:rsidRPr="005D0FC5">
        <w:rPr>
          <w:b/>
        </w:rPr>
        <w:br/>
      </w:r>
      <w:r w:rsidRPr="005D0FC5">
        <w:instrText>-</w:instrText>
      </w:r>
    </w:p>
    <w:p w14:paraId="73DF251B" w14:textId="77777777" w:rsidR="00E0653A" w:rsidRPr="005D0FC5" w:rsidRDefault="005D0FC5" w:rsidP="00C8338E">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utskottet</w:instrText>
      </w:r>
      <w:r w:rsidRPr="005D0FC5">
        <w:rPr>
          <w:b/>
        </w:rPr>
        <w:br/>
      </w:r>
      <w:r w:rsidRPr="005D0FC5">
        <w:instrText>-</w:instrText>
      </w:r>
    </w:p>
    <w:p w14:paraId="2EADE19A" w14:textId="003DC7DB" w:rsidR="005D0FC5" w:rsidRPr="005D0FC5" w:rsidRDefault="005D0FC5" w:rsidP="005D0FC5">
      <w:pPr>
        <w:shd w:val="clear" w:color="auto" w:fill="FFFFFF"/>
        <w:spacing w:after="0" w:line="240" w:lineRule="auto"/>
        <w:textAlignment w:val="top"/>
        <w:rPr>
          <w:rFonts w:eastAsia="Times New Roman"/>
          <w:b/>
          <w:bCs/>
          <w:lang w:eastAsia="sv-SE"/>
        </w:rPr>
      </w:pPr>
      <w:r w:rsidRPr="005D0FC5">
        <w:instrText>"</w:instrText>
      </w:r>
      <w:r w:rsidRPr="005D0FC5">
        <w:rPr>
          <w:b/>
        </w:rPr>
        <w:instrText xml:space="preserve"> </w:instrText>
      </w:r>
      <w:r w:rsidRPr="005D0FC5">
        <w:rPr>
          <w:b/>
        </w:rPr>
        <w:fldChar w:fldCharType="end"/>
      </w:r>
      <w:r w:rsidRPr="005D0FC5">
        <w:rPr>
          <w:rFonts w:eastAsia="Times New Roman"/>
          <w:b/>
          <w:bCs/>
          <w:lang w:eastAsia="sv-SE"/>
        </w:rPr>
        <w:t>Tidigare behandlat i EU-nämnden</w:t>
      </w:r>
      <w:r>
        <w:rPr>
          <w:rFonts w:eastAsia="Times New Roman"/>
          <w:b/>
          <w:bCs/>
          <w:lang w:eastAsia="sv-SE"/>
        </w:rPr>
        <w:t>:</w:t>
      </w:r>
    </w:p>
    <w:p w14:paraId="5FB48FF5" w14:textId="77777777" w:rsidR="005D0FC5" w:rsidRPr="005D0FC5" w:rsidRDefault="005D0FC5" w:rsidP="005D0FC5">
      <w:pPr>
        <w:shd w:val="clear" w:color="auto" w:fill="FFFFFF"/>
        <w:spacing w:after="0" w:line="240" w:lineRule="auto"/>
        <w:textAlignment w:val="top"/>
        <w:rPr>
          <w:rFonts w:eastAsia="Times New Roman"/>
          <w:b/>
          <w:bCs/>
          <w:lang w:eastAsia="sv-SE"/>
        </w:rPr>
      </w:pPr>
      <w:r w:rsidRPr="005D0FC5">
        <w:rPr>
          <w:rFonts w:eastAsia="Times New Roman"/>
          <w:bCs/>
          <w:lang w:eastAsia="sv-SE"/>
        </w:rPr>
        <w:t xml:space="preserve">Nej. </w:t>
      </w:r>
    </w:p>
    <w:p w14:paraId="2D03A0FE" w14:textId="77777777" w:rsidR="005D0FC5" w:rsidRPr="005D0FC5" w:rsidRDefault="005D0FC5" w:rsidP="005D0FC5">
      <w:pPr>
        <w:shd w:val="clear" w:color="auto" w:fill="FFFFFF"/>
        <w:spacing w:after="0" w:line="240" w:lineRule="auto"/>
        <w:textAlignment w:val="top"/>
        <w:rPr>
          <w:rFonts w:eastAsia="Times New Roman"/>
          <w:lang w:eastAsia="sv-SE"/>
        </w:rPr>
      </w:pPr>
    </w:p>
    <w:p w14:paraId="7F43F4D4" w14:textId="3582889E" w:rsidR="005D0FC5" w:rsidRPr="005D0FC5" w:rsidRDefault="005D0FC5" w:rsidP="005D0FC5">
      <w:pPr>
        <w:shd w:val="clear" w:color="auto" w:fill="FFFFFF"/>
        <w:spacing w:after="0" w:line="240" w:lineRule="auto"/>
        <w:textAlignment w:val="top"/>
        <w:rPr>
          <w:rFonts w:eastAsia="Times New Roman"/>
          <w:b/>
          <w:bCs/>
          <w:lang w:eastAsia="sv-SE"/>
        </w:rPr>
      </w:pPr>
      <w:r w:rsidRPr="005D0FC5">
        <w:rPr>
          <w:rFonts w:eastAsia="Times New Roman"/>
          <w:b/>
          <w:bCs/>
          <w:lang w:eastAsia="sv-SE"/>
        </w:rPr>
        <w:t>Tidigare behandlat i rådet</w:t>
      </w:r>
      <w:r>
        <w:rPr>
          <w:rFonts w:eastAsia="Times New Roman"/>
          <w:b/>
          <w:bCs/>
          <w:lang w:eastAsia="sv-SE"/>
        </w:rPr>
        <w:t>:</w:t>
      </w:r>
    </w:p>
    <w:p w14:paraId="6D1470EF" w14:textId="77777777" w:rsidR="005D0FC5" w:rsidRPr="005D0FC5" w:rsidRDefault="005D0FC5" w:rsidP="005D0FC5">
      <w:pPr>
        <w:shd w:val="clear" w:color="auto" w:fill="FFFFFF"/>
        <w:spacing w:after="0" w:line="240" w:lineRule="auto"/>
        <w:textAlignment w:val="top"/>
        <w:rPr>
          <w:rFonts w:asciiTheme="majorBidi" w:hAnsiTheme="majorBidi" w:cstheme="majorBidi"/>
          <w:bCs/>
        </w:rPr>
      </w:pPr>
      <w:r w:rsidRPr="005D0FC5">
        <w:rPr>
          <w:rFonts w:asciiTheme="majorBidi" w:hAnsiTheme="majorBidi" w:cstheme="majorBidi"/>
          <w:bCs/>
        </w:rPr>
        <w:t>Nej.</w:t>
      </w:r>
    </w:p>
    <w:p w14:paraId="443D6DB2" w14:textId="77777777" w:rsidR="005D0FC5" w:rsidRPr="005D0FC5" w:rsidRDefault="005D0FC5" w:rsidP="005D0FC5">
      <w:pPr>
        <w:shd w:val="clear" w:color="auto" w:fill="FFFFFF"/>
        <w:spacing w:after="0" w:line="240" w:lineRule="auto"/>
        <w:textAlignment w:val="top"/>
        <w:rPr>
          <w:rFonts w:eastAsia="Times New Roman"/>
          <w:lang w:eastAsia="sv-SE"/>
        </w:rPr>
      </w:pPr>
    </w:p>
    <w:p w14:paraId="03A61CA9" w14:textId="6BBFF155" w:rsidR="005D0FC5" w:rsidRPr="005D0FC5" w:rsidRDefault="005D0FC5" w:rsidP="005D0FC5">
      <w:pPr>
        <w:shd w:val="clear" w:color="auto" w:fill="FFFFFF"/>
        <w:spacing w:after="0" w:line="240" w:lineRule="auto"/>
        <w:textAlignment w:val="top"/>
        <w:rPr>
          <w:rFonts w:eastAsia="Times New Roman"/>
          <w:b/>
          <w:bCs/>
          <w:lang w:eastAsia="sv-SE"/>
        </w:rPr>
      </w:pPr>
      <w:r w:rsidRPr="005D0FC5">
        <w:rPr>
          <w:rFonts w:eastAsia="Times New Roman"/>
          <w:b/>
          <w:bCs/>
          <w:lang w:eastAsia="sv-SE"/>
        </w:rPr>
        <w:t>Tidigare behandlat i utskottet</w:t>
      </w:r>
      <w:r>
        <w:rPr>
          <w:rFonts w:eastAsia="Times New Roman"/>
          <w:b/>
          <w:bCs/>
          <w:lang w:eastAsia="sv-SE"/>
        </w:rPr>
        <w:t>:</w:t>
      </w:r>
    </w:p>
    <w:p w14:paraId="16A62E74" w14:textId="77777777" w:rsidR="005D0FC5" w:rsidRPr="005D0FC5" w:rsidRDefault="005D0FC5" w:rsidP="005D0FC5">
      <w:r w:rsidRPr="005D0FC5">
        <w:t xml:space="preserve">Nej. </w:t>
      </w:r>
    </w:p>
    <w:p w14:paraId="0050CE51" w14:textId="77777777" w:rsidR="005D0FC5" w:rsidRPr="005D0FC5" w:rsidRDefault="005D0FC5" w:rsidP="005D0FC5">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EU-nämnden </w:instrText>
      </w:r>
      <w:r w:rsidRPr="005D0FC5">
        <w:rPr>
          <w:b/>
        </w:rPr>
        <w:br/>
      </w:r>
      <w:r w:rsidRPr="005D0FC5">
        <w:instrText>-</w:instrText>
      </w:r>
    </w:p>
    <w:p w14:paraId="3707B96A" w14:textId="77777777"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instrText xml:space="preserve"> "Tidigare behandlat i EU-nämnden</w:instrText>
      </w:r>
      <w:r w:rsidRPr="005D0FC5">
        <w:rPr>
          <w:b/>
        </w:rPr>
        <w:br/>
      </w:r>
      <w:r w:rsidRPr="005D0FC5">
        <w:instrText>-</w:instrText>
      </w:r>
    </w:p>
    <w:p w14:paraId="3E60F5FF" w14:textId="77777777" w:rsidR="005D0FC5" w:rsidRPr="005D0FC5" w:rsidRDefault="005D0FC5" w:rsidP="005D0FC5">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EU-nämnden</w:instrText>
      </w:r>
      <w:r w:rsidRPr="005D0FC5">
        <w:rPr>
          <w:b/>
        </w:rPr>
        <w:br/>
      </w:r>
      <w:r w:rsidRPr="005D0FC5">
        <w:instrText>-</w:instrText>
      </w:r>
    </w:p>
    <w:p w14:paraId="28C9FB60" w14:textId="77777777"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rådet </w:instrText>
      </w:r>
      <w:r w:rsidRPr="005D0FC5">
        <w:rPr>
          <w:b/>
        </w:rPr>
        <w:br/>
      </w:r>
      <w:r w:rsidRPr="005D0FC5">
        <w:instrText>-</w:instrText>
      </w:r>
    </w:p>
    <w:p w14:paraId="67BD4D24" w14:textId="77777777"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instrText xml:space="preserve"> "Tidigare behandlat i rådet</w:instrText>
      </w:r>
      <w:r w:rsidRPr="005D0FC5">
        <w:rPr>
          <w:b/>
        </w:rPr>
        <w:br/>
      </w:r>
      <w:r w:rsidRPr="005D0FC5">
        <w:instrText>-</w:instrText>
      </w:r>
    </w:p>
    <w:p w14:paraId="644551EA" w14:textId="77777777" w:rsidR="005D0FC5" w:rsidRPr="005D0FC5" w:rsidRDefault="005D0FC5" w:rsidP="005D0FC5">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rådet</w:instrText>
      </w:r>
      <w:r w:rsidRPr="005D0FC5">
        <w:rPr>
          <w:b/>
        </w:rPr>
        <w:br/>
      </w:r>
      <w:r w:rsidRPr="005D0FC5">
        <w:instrText>-</w:instrText>
      </w:r>
    </w:p>
    <w:p w14:paraId="5264772B" w14:textId="77777777"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fldChar w:fldCharType="begin"/>
      </w:r>
      <w:r w:rsidRPr="005D0FC5">
        <w:rPr>
          <w:b/>
        </w:rPr>
        <w:instrText xml:space="preserve"> IF "-" = "-" </w:instrText>
      </w:r>
      <w:r w:rsidRPr="005D0FC5">
        <w:rPr>
          <w:b/>
        </w:rPr>
        <w:fldChar w:fldCharType="begin"/>
      </w:r>
      <w:r w:rsidRPr="005D0FC5">
        <w:rPr>
          <w:b/>
        </w:rPr>
        <w:instrText xml:space="preserve"> IF "-" = "-" </w:instrText>
      </w:r>
      <w:r w:rsidRPr="005D0FC5">
        <w:rPr>
          <w:b/>
        </w:rPr>
        <w:fldChar w:fldCharType="begin"/>
      </w:r>
      <w:r w:rsidRPr="005D0FC5">
        <w:rPr>
          <w:b/>
        </w:rPr>
        <w:instrText xml:space="preserve"> IF "-" = "-" "" "Tidigare behandlat i utskottet </w:instrText>
      </w:r>
      <w:r w:rsidRPr="005D0FC5">
        <w:rPr>
          <w:b/>
        </w:rPr>
        <w:br/>
      </w:r>
      <w:r w:rsidRPr="005D0FC5">
        <w:instrText>-</w:instrText>
      </w:r>
    </w:p>
    <w:p w14:paraId="733C7B71" w14:textId="77777777"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instrText xml:space="preserve"> "Tidigare behandlat i utskottet</w:instrText>
      </w:r>
      <w:r w:rsidRPr="005D0FC5">
        <w:rPr>
          <w:b/>
        </w:rPr>
        <w:br/>
      </w:r>
      <w:r w:rsidRPr="005D0FC5">
        <w:instrText>-</w:instrText>
      </w:r>
    </w:p>
    <w:p w14:paraId="7258A18C" w14:textId="77777777" w:rsidR="005D0FC5" w:rsidRPr="005D0FC5" w:rsidRDefault="005D0FC5" w:rsidP="005D0FC5">
      <w:pPr>
        <w:rPr>
          <w:noProof/>
        </w:rPr>
      </w:pPr>
      <w:r w:rsidRPr="005D0FC5">
        <w:instrText>"</w:instrText>
      </w:r>
      <w:r w:rsidRPr="005D0FC5">
        <w:rPr>
          <w:b/>
        </w:rPr>
        <w:instrText xml:space="preserve"> </w:instrText>
      </w:r>
      <w:r w:rsidRPr="005D0FC5">
        <w:rPr>
          <w:b/>
        </w:rPr>
        <w:fldChar w:fldCharType="end"/>
      </w:r>
      <w:r w:rsidRPr="005D0FC5">
        <w:rPr>
          <w:b/>
        </w:rPr>
        <w:instrText xml:space="preserve">  "Tidigare behandlat i utskottet</w:instrText>
      </w:r>
      <w:r w:rsidRPr="005D0FC5">
        <w:rPr>
          <w:b/>
        </w:rPr>
        <w:br/>
      </w:r>
      <w:r w:rsidRPr="005D0FC5">
        <w:instrText>-</w:instrText>
      </w:r>
    </w:p>
    <w:p w14:paraId="4D3A6FAB" w14:textId="38DC889B" w:rsidR="005D0FC5" w:rsidRPr="005D0FC5" w:rsidRDefault="005D0FC5" w:rsidP="005D0FC5">
      <w:r w:rsidRPr="005D0FC5">
        <w:instrText>"</w:instrText>
      </w:r>
      <w:r w:rsidRPr="005D0FC5">
        <w:rPr>
          <w:b/>
        </w:rPr>
        <w:instrText xml:space="preserve"> </w:instrText>
      </w:r>
      <w:r w:rsidRPr="005D0FC5">
        <w:rPr>
          <w:b/>
        </w:rPr>
        <w:fldChar w:fldCharType="end"/>
      </w:r>
      <w:r w:rsidRPr="005D0FC5">
        <w:rPr>
          <w:b/>
        </w:rPr>
        <w:t>Annotering</w:t>
      </w:r>
      <w:r w:rsidRPr="005D0FC5">
        <w:rPr>
          <w:b/>
        </w:rPr>
        <w:br/>
      </w:r>
      <w:r w:rsidRPr="005D0FC5">
        <w:rPr>
          <w:b/>
          <w:bCs/>
        </w:rPr>
        <w:t>Avsikt med behandlingen i rådet:</w:t>
      </w:r>
      <w:r w:rsidRPr="005D0FC5">
        <w:t xml:space="preserve"> </w:t>
      </w:r>
      <w:r w:rsidR="00DC33E9">
        <w:br/>
      </w:r>
      <w:r w:rsidRPr="005D0FC5">
        <w:rPr>
          <w:rFonts w:asciiTheme="majorBidi" w:hAnsiTheme="majorBidi" w:cstheme="majorBidi"/>
          <w:bCs/>
        </w:rPr>
        <w:t>Att rådet antar beslutet om att påbörja förhandlingar om UNWTO-konventionen liksom det mandat inom vilket KOM får förhandla å EU:s vägnar.</w:t>
      </w:r>
    </w:p>
    <w:p w14:paraId="54DC62A5" w14:textId="77777777" w:rsidR="005D0FC5" w:rsidRPr="005D0FC5" w:rsidRDefault="005D0FC5" w:rsidP="005D0FC5">
      <w:pPr>
        <w:spacing w:after="280" w:afterAutospacing="1"/>
        <w:rPr>
          <w:bCs/>
        </w:rPr>
      </w:pPr>
      <w:r w:rsidRPr="005D0FC5">
        <w:rPr>
          <w:b/>
          <w:bCs/>
        </w:rPr>
        <w:t xml:space="preserve">Hur regeringen ställer sig till den blivande A-punkten: </w:t>
      </w:r>
      <w:r w:rsidRPr="005D0FC5">
        <w:rPr>
          <w:b/>
          <w:bCs/>
        </w:rPr>
        <w:br/>
      </w:r>
      <w:r w:rsidRPr="005D0FC5">
        <w:rPr>
          <w:rFonts w:asciiTheme="majorBidi" w:hAnsiTheme="majorBidi" w:cstheme="majorBidi"/>
          <w:bCs/>
        </w:rPr>
        <w:t xml:space="preserve">SE </w:t>
      </w:r>
      <w:r w:rsidRPr="005D0FC5">
        <w:rPr>
          <w:bCs/>
        </w:rPr>
        <w:t xml:space="preserve">kan stödja ORDF:s förslag till beslut och förhandlingsmandat. </w:t>
      </w:r>
    </w:p>
    <w:p w14:paraId="48852D8D" w14:textId="46E74F9D" w:rsidR="005D0FC5" w:rsidRPr="005D0FC5" w:rsidRDefault="005D0FC5" w:rsidP="005D0FC5">
      <w:pPr>
        <w:spacing w:after="280" w:afterAutospacing="1"/>
      </w:pPr>
      <w:r w:rsidRPr="005D0FC5">
        <w:rPr>
          <w:b/>
          <w:bCs/>
        </w:rPr>
        <w:t xml:space="preserve">Bakgrund: </w:t>
      </w:r>
      <w:r w:rsidRPr="005D0FC5">
        <w:rPr>
          <w:b/>
          <w:bCs/>
        </w:rPr>
        <w:br/>
      </w:r>
      <w:r w:rsidRPr="005D0FC5">
        <w:rPr>
          <w:bCs/>
        </w:rPr>
        <w:t>Inför rådsarbetsgruppsmöte 2017-03-01 presenterade kommissionen ett förslag till rådsbeslut om att tilldela</w:t>
      </w:r>
      <w:r w:rsidRPr="005D0FC5">
        <w:t xml:space="preserve"> kommissionen ett mandat att inleda förhandlingar med FN:s turismorganisation UNWTO. Förhandlingarna planeras resultera i en konvention om skydd för turister samt rättigheter och skyldigheter för utförare av turismtjänster.  Nuvarande process avser enbart mandatet att inleda förhandlingar med UNWTO. Förhandlingar om innehållet i konventionen har ännu inte påbörjats. Mandatet är allmänt formulerat och under förhandlingens gång kommer kommissionen återkomma till rådet. </w:t>
      </w:r>
    </w:p>
    <w:p w14:paraId="73DF251C" w14:textId="77777777" w:rsidR="00643D86" w:rsidRDefault="00343494" w:rsidP="00643D86"/>
    <w:bookmarkEnd w:id="3"/>
    <w:p w14:paraId="73DF251D" w14:textId="77777777" w:rsidR="00643D86" w:rsidRPr="00377012" w:rsidRDefault="00343494"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F2537" w14:textId="77777777" w:rsidR="006C7C6C" w:rsidRDefault="005D0FC5">
      <w:pPr>
        <w:spacing w:after="0" w:line="240" w:lineRule="auto"/>
      </w:pPr>
      <w:r>
        <w:separator/>
      </w:r>
    </w:p>
  </w:endnote>
  <w:endnote w:type="continuationSeparator" w:id="0">
    <w:p w14:paraId="73DF2539" w14:textId="77777777" w:rsidR="006C7C6C" w:rsidRDefault="005D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F2521" w14:textId="77777777" w:rsidR="002F3A5A" w:rsidRDefault="003434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3DF2522" w14:textId="77777777" w:rsidR="00283DF3" w:rsidRDefault="00343494">
        <w:pPr>
          <w:pStyle w:val="Sidfot"/>
          <w:jc w:val="right"/>
        </w:pPr>
      </w:p>
    </w:sdtContent>
  </w:sdt>
  <w:p w14:paraId="73DF2523" w14:textId="77777777" w:rsidR="00283DF3" w:rsidRDefault="0034349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F2531" w14:textId="77777777" w:rsidR="00283DF3" w:rsidRDefault="00343494">
    <w:pPr>
      <w:pStyle w:val="Sidfot"/>
      <w:jc w:val="right"/>
    </w:pPr>
  </w:p>
  <w:p w14:paraId="73DF2532" w14:textId="77777777" w:rsidR="00283DF3" w:rsidRDefault="0034349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F2533" w14:textId="77777777" w:rsidR="006C7C6C" w:rsidRDefault="005D0FC5">
      <w:pPr>
        <w:spacing w:after="0" w:line="240" w:lineRule="auto"/>
      </w:pPr>
      <w:r>
        <w:separator/>
      </w:r>
    </w:p>
  </w:footnote>
  <w:footnote w:type="continuationSeparator" w:id="0">
    <w:p w14:paraId="73DF2535" w14:textId="77777777" w:rsidR="006C7C6C" w:rsidRDefault="005D0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F251E" w14:textId="77777777" w:rsidR="002F3A5A" w:rsidRDefault="0034349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3DF251F" w14:textId="77777777" w:rsidR="002F3A5A" w:rsidRDefault="005D0FC5" w:rsidP="002F3A5A">
        <w:pPr>
          <w:pStyle w:val="Sidhuvud"/>
          <w:jc w:val="right"/>
        </w:pPr>
        <w:r>
          <w:fldChar w:fldCharType="begin"/>
        </w:r>
        <w:r>
          <w:instrText xml:space="preserve"> PAGE   \* MERGEFORMAT </w:instrText>
        </w:r>
        <w:r>
          <w:fldChar w:fldCharType="separate"/>
        </w:r>
        <w:r w:rsidR="00343494">
          <w:rPr>
            <w:noProof/>
          </w:rPr>
          <w:t>2</w:t>
        </w:r>
        <w:r>
          <w:rPr>
            <w:noProof/>
          </w:rPr>
          <w:fldChar w:fldCharType="end"/>
        </w:r>
      </w:p>
    </w:sdtContent>
  </w:sdt>
  <w:p w14:paraId="73DF2520" w14:textId="77777777" w:rsidR="006F1C0D" w:rsidRDefault="00343494"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50C67" w14:paraId="73DF252B" w14:textId="77777777" w:rsidTr="006E71D7">
      <w:tc>
        <w:tcPr>
          <w:tcW w:w="4606" w:type="dxa"/>
        </w:tcPr>
        <w:p w14:paraId="73DF2524" w14:textId="77777777" w:rsidR="006E71D7" w:rsidRDefault="005D0FC5" w:rsidP="00752770">
          <w:pPr>
            <w:pStyle w:val="Sidhuvud"/>
            <w:ind w:left="0"/>
          </w:pPr>
          <w:r>
            <w:rPr>
              <w:noProof/>
              <w:lang w:eastAsia="sv-SE"/>
            </w:rPr>
            <w:drawing>
              <wp:inline distT="0" distB="0" distL="0" distR="0" wp14:anchorId="73DF2533" wp14:editId="73DF253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3DF2525" w14:textId="77777777" w:rsidR="00FB32B9" w:rsidRDefault="00343494"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50C67" w14:paraId="73DF2528" w14:textId="77777777" w:rsidTr="00623763">
            <w:tc>
              <w:tcPr>
                <w:tcW w:w="1833" w:type="dxa"/>
              </w:tcPr>
              <w:p w14:paraId="73DF2526" w14:textId="77777777" w:rsidR="00623763" w:rsidRPr="00623763" w:rsidRDefault="005D0FC5" w:rsidP="00623763">
                <w:pPr>
                  <w:ind w:left="0"/>
                </w:pPr>
                <w:r w:rsidRPr="00623763">
                  <w:rPr>
                    <w:rFonts w:ascii="TradeGothic" w:hAnsi="TradeGothic"/>
                    <w:b/>
                  </w:rPr>
                  <w:t>Promemoria</w:t>
                </w:r>
              </w:p>
            </w:tc>
            <w:tc>
              <w:tcPr>
                <w:tcW w:w="1833" w:type="dxa"/>
              </w:tcPr>
              <w:p w14:paraId="73DF2527" w14:textId="77777777" w:rsidR="00623763" w:rsidRPr="00623763" w:rsidRDefault="005D0FC5"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12</w:t>
                </w:r>
                <w:r w:rsidRPr="00623763">
                  <w:rPr>
                    <w:rFonts w:ascii="TradeGothic" w:hAnsi="TradeGothic"/>
                    <w:b/>
                  </w:rPr>
                  <w:t>]</w:t>
                </w:r>
              </w:p>
            </w:tc>
          </w:tr>
        </w:tbl>
        <w:p w14:paraId="73DF2529" w14:textId="77777777" w:rsidR="00FB32B9" w:rsidRDefault="00343494" w:rsidP="00FB32B9">
          <w:pPr>
            <w:jc w:val="right"/>
          </w:pPr>
        </w:p>
        <w:p w14:paraId="73DF252A" w14:textId="77777777" w:rsidR="006E71D7" w:rsidRDefault="005D0FC5" w:rsidP="00FB32B9">
          <w:pPr>
            <w:ind w:right="916"/>
          </w:pPr>
          <w:r>
            <w:rPr>
              <w:rFonts w:ascii="TradeGothic" w:hAnsi="TradeGothic"/>
              <w:b/>
              <w:noProof/>
            </w:rPr>
            <w:t>2017-03-23</w:t>
          </w:r>
          <w:r w:rsidRPr="00934953">
            <w:t xml:space="preserve"> </w:t>
          </w:r>
        </w:p>
      </w:tc>
    </w:tr>
  </w:tbl>
  <w:p w14:paraId="73DF252C" w14:textId="77777777" w:rsidR="00FB32B9" w:rsidRDefault="00343494" w:rsidP="00FB32B9">
    <w:pPr>
      <w:pStyle w:val="Avsndare"/>
      <w:framePr w:w="0" w:hRule="auto" w:hSpace="0" w:wrap="auto" w:vAnchor="margin" w:hAnchor="text" w:xAlign="left" w:yAlign="inline"/>
      <w:rPr>
        <w:b/>
        <w:i w:val="0"/>
        <w:sz w:val="22"/>
      </w:rPr>
    </w:pPr>
  </w:p>
  <w:p w14:paraId="73DF252D" w14:textId="77777777" w:rsidR="00FB32B9" w:rsidRDefault="005D0FC5" w:rsidP="00FB32B9">
    <w:pPr>
      <w:pStyle w:val="Avsndare"/>
      <w:framePr w:w="0" w:hRule="auto" w:hSpace="0" w:wrap="auto" w:vAnchor="margin" w:hAnchor="text" w:xAlign="left" w:yAlign="inline"/>
      <w:rPr>
        <w:b/>
        <w:i w:val="0"/>
        <w:sz w:val="22"/>
      </w:rPr>
    </w:pPr>
    <w:r>
      <w:rPr>
        <w:b/>
        <w:i w:val="0"/>
        <w:sz w:val="22"/>
      </w:rPr>
      <w:t>Statsrådsberedningen</w:t>
    </w:r>
  </w:p>
  <w:p w14:paraId="73DF252E" w14:textId="77777777" w:rsidR="00FB32B9" w:rsidRDefault="00343494" w:rsidP="00FB32B9">
    <w:pPr>
      <w:pStyle w:val="Avsndare"/>
      <w:framePr w:w="0" w:hRule="auto" w:hSpace="0" w:wrap="auto" w:vAnchor="margin" w:hAnchor="text" w:xAlign="left" w:yAlign="inline"/>
    </w:pPr>
  </w:p>
  <w:p w14:paraId="73DF252F" w14:textId="77777777" w:rsidR="00FB32B9" w:rsidRDefault="005D0FC5" w:rsidP="00FB32B9">
    <w:pPr>
      <w:pStyle w:val="Avsndare"/>
      <w:framePr w:w="0" w:hRule="auto" w:hSpace="0" w:wrap="auto" w:vAnchor="margin" w:hAnchor="text" w:xAlign="left" w:yAlign="inline"/>
    </w:pPr>
    <w:r>
      <w:t>EU-kansliet</w:t>
    </w:r>
  </w:p>
  <w:p w14:paraId="73DF2530" w14:textId="77777777" w:rsidR="0012376B" w:rsidRDefault="0034349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6E24F318">
      <w:start w:val="1"/>
      <w:numFmt w:val="decimal"/>
      <w:pStyle w:val="Rubrik1"/>
      <w:lvlText w:val="%1."/>
      <w:lvlJc w:val="left"/>
      <w:pPr>
        <w:ind w:left="720" w:hanging="360"/>
      </w:pPr>
    </w:lvl>
    <w:lvl w:ilvl="1" w:tplc="9248505A" w:tentative="1">
      <w:start w:val="1"/>
      <w:numFmt w:val="lowerLetter"/>
      <w:lvlText w:val="%2."/>
      <w:lvlJc w:val="left"/>
      <w:pPr>
        <w:ind w:left="1440" w:hanging="360"/>
      </w:pPr>
    </w:lvl>
    <w:lvl w:ilvl="2" w:tplc="027ED5B4" w:tentative="1">
      <w:start w:val="1"/>
      <w:numFmt w:val="lowerRoman"/>
      <w:lvlText w:val="%3."/>
      <w:lvlJc w:val="right"/>
      <w:pPr>
        <w:ind w:left="2160" w:hanging="180"/>
      </w:pPr>
    </w:lvl>
    <w:lvl w:ilvl="3" w:tplc="0C265E40" w:tentative="1">
      <w:start w:val="1"/>
      <w:numFmt w:val="decimal"/>
      <w:lvlText w:val="%4."/>
      <w:lvlJc w:val="left"/>
      <w:pPr>
        <w:ind w:left="2880" w:hanging="360"/>
      </w:pPr>
    </w:lvl>
    <w:lvl w:ilvl="4" w:tplc="375AE964" w:tentative="1">
      <w:start w:val="1"/>
      <w:numFmt w:val="lowerLetter"/>
      <w:lvlText w:val="%5."/>
      <w:lvlJc w:val="left"/>
      <w:pPr>
        <w:ind w:left="3600" w:hanging="360"/>
      </w:pPr>
    </w:lvl>
    <w:lvl w:ilvl="5" w:tplc="50F2AF60" w:tentative="1">
      <w:start w:val="1"/>
      <w:numFmt w:val="lowerRoman"/>
      <w:lvlText w:val="%6."/>
      <w:lvlJc w:val="right"/>
      <w:pPr>
        <w:ind w:left="4320" w:hanging="180"/>
      </w:pPr>
    </w:lvl>
    <w:lvl w:ilvl="6" w:tplc="66CE4F6C" w:tentative="1">
      <w:start w:val="1"/>
      <w:numFmt w:val="decimal"/>
      <w:lvlText w:val="%7."/>
      <w:lvlJc w:val="left"/>
      <w:pPr>
        <w:ind w:left="5040" w:hanging="360"/>
      </w:pPr>
    </w:lvl>
    <w:lvl w:ilvl="7" w:tplc="3E1C23A6" w:tentative="1">
      <w:start w:val="1"/>
      <w:numFmt w:val="lowerLetter"/>
      <w:lvlText w:val="%8."/>
      <w:lvlJc w:val="left"/>
      <w:pPr>
        <w:ind w:left="5760" w:hanging="360"/>
      </w:pPr>
    </w:lvl>
    <w:lvl w:ilvl="8" w:tplc="FB6A9A4A" w:tentative="1">
      <w:start w:val="1"/>
      <w:numFmt w:val="lowerRoman"/>
      <w:lvlText w:val="%9."/>
      <w:lvlJc w:val="right"/>
      <w:pPr>
        <w:ind w:left="6480" w:hanging="180"/>
      </w:pPr>
    </w:lvl>
  </w:abstractNum>
  <w:abstractNum w:abstractNumId="1">
    <w:nsid w:val="73990993"/>
    <w:multiLevelType w:val="hybridMultilevel"/>
    <w:tmpl w:val="3BD822EE"/>
    <w:lvl w:ilvl="0" w:tplc="8F1462DE">
      <w:start w:val="1"/>
      <w:numFmt w:val="decimal"/>
      <w:lvlText w:val="%1."/>
      <w:lvlJc w:val="left"/>
      <w:pPr>
        <w:ind w:left="360" w:hanging="360"/>
      </w:pPr>
      <w:rPr>
        <w:b w:val="0"/>
      </w:rPr>
    </w:lvl>
    <w:lvl w:ilvl="1" w:tplc="7AA8109C" w:tentative="1">
      <w:start w:val="1"/>
      <w:numFmt w:val="lowerLetter"/>
      <w:lvlText w:val="%2."/>
      <w:lvlJc w:val="left"/>
      <w:pPr>
        <w:ind w:left="1080" w:hanging="360"/>
      </w:pPr>
    </w:lvl>
    <w:lvl w:ilvl="2" w:tplc="AD82E7B8" w:tentative="1">
      <w:start w:val="1"/>
      <w:numFmt w:val="lowerRoman"/>
      <w:lvlText w:val="%3."/>
      <w:lvlJc w:val="right"/>
      <w:pPr>
        <w:ind w:left="1800" w:hanging="180"/>
      </w:pPr>
    </w:lvl>
    <w:lvl w:ilvl="3" w:tplc="1B8ACECE" w:tentative="1">
      <w:start w:val="1"/>
      <w:numFmt w:val="decimal"/>
      <w:lvlText w:val="%4."/>
      <w:lvlJc w:val="left"/>
      <w:pPr>
        <w:ind w:left="2520" w:hanging="360"/>
      </w:pPr>
    </w:lvl>
    <w:lvl w:ilvl="4" w:tplc="3B1AD8F2" w:tentative="1">
      <w:start w:val="1"/>
      <w:numFmt w:val="lowerLetter"/>
      <w:lvlText w:val="%5."/>
      <w:lvlJc w:val="left"/>
      <w:pPr>
        <w:ind w:left="3240" w:hanging="360"/>
      </w:pPr>
    </w:lvl>
    <w:lvl w:ilvl="5" w:tplc="54B06910" w:tentative="1">
      <w:start w:val="1"/>
      <w:numFmt w:val="lowerRoman"/>
      <w:lvlText w:val="%6."/>
      <w:lvlJc w:val="right"/>
      <w:pPr>
        <w:ind w:left="3960" w:hanging="180"/>
      </w:pPr>
    </w:lvl>
    <w:lvl w:ilvl="6" w:tplc="185CED74" w:tentative="1">
      <w:start w:val="1"/>
      <w:numFmt w:val="decimal"/>
      <w:lvlText w:val="%7."/>
      <w:lvlJc w:val="left"/>
      <w:pPr>
        <w:ind w:left="4680" w:hanging="360"/>
      </w:pPr>
    </w:lvl>
    <w:lvl w:ilvl="7" w:tplc="212C0866" w:tentative="1">
      <w:start w:val="1"/>
      <w:numFmt w:val="lowerLetter"/>
      <w:lvlText w:val="%8."/>
      <w:lvlJc w:val="left"/>
      <w:pPr>
        <w:ind w:left="5400" w:hanging="360"/>
      </w:pPr>
    </w:lvl>
    <w:lvl w:ilvl="8" w:tplc="A282BE72" w:tentative="1">
      <w:start w:val="1"/>
      <w:numFmt w:val="lowerRoman"/>
      <w:lvlText w:val="%9."/>
      <w:lvlJc w:val="right"/>
      <w:pPr>
        <w:ind w:left="6120" w:hanging="180"/>
      </w:pPr>
    </w:lvl>
  </w:abstractNum>
  <w:abstractNum w:abstractNumId="2">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67"/>
    <w:rsid w:val="00050C67"/>
    <w:rsid w:val="00343494"/>
    <w:rsid w:val="005D0FC5"/>
    <w:rsid w:val="006C7C6C"/>
    <w:rsid w:val="006E2789"/>
    <w:rsid w:val="00775CEF"/>
    <w:rsid w:val="00AB1CEE"/>
    <w:rsid w:val="00DC33E9"/>
    <w:rsid w:val="00E25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AB1CEE"/>
    <w:pPr>
      <w:spacing w:after="0" w:line="240" w:lineRule="auto"/>
      <w:ind w:left="1701"/>
    </w:pPr>
    <w:rPr>
      <w:rFonts w:eastAsiaTheme="minorHAnsi"/>
      <w:sz w:val="24"/>
      <w:lang w:val="en-GB"/>
    </w:rPr>
  </w:style>
  <w:style w:type="paragraph" w:customStyle="1" w:styleId="DashEqual1">
    <w:name w:val="Dash Equal 1"/>
    <w:basedOn w:val="Normal"/>
    <w:rsid w:val="00AB1CEE"/>
    <w:pPr>
      <w:numPr>
        <w:numId w:val="3"/>
      </w:numPr>
      <w:spacing w:after="0" w:line="240" w:lineRule="auto"/>
    </w:pPr>
    <w:rPr>
      <w:rFonts w:eastAsiaTheme="minorHAnsi"/>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AB1CEE"/>
    <w:pPr>
      <w:spacing w:after="0" w:line="240" w:lineRule="auto"/>
      <w:ind w:left="1701"/>
    </w:pPr>
    <w:rPr>
      <w:rFonts w:eastAsiaTheme="minorHAnsi"/>
      <w:sz w:val="24"/>
      <w:lang w:val="en-GB"/>
    </w:rPr>
  </w:style>
  <w:style w:type="paragraph" w:customStyle="1" w:styleId="DashEqual1">
    <w:name w:val="Dash Equal 1"/>
    <w:basedOn w:val="Normal"/>
    <w:rsid w:val="00AB1CEE"/>
    <w:pPr>
      <w:numPr>
        <w:numId w:val="3"/>
      </w:numPr>
      <w:spacing w:after="0" w:line="240" w:lineRule="auto"/>
    </w:pPr>
    <w:rPr>
      <w:rFonts w:eastAsiaTheme="minorHAns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JE6N4JFJXNNF-17-42357</_dlc_DocId>
    <_dlc_DocIdUrl xmlns="8b66ae41-1ec6-402e-b662-35d1932ca064">
      <Url>http://rkdhs-sb/enhet/EUKansli/_layouts/DocIdRedir.aspx?ID=JE6N4JFJXNNF-17-42357</Url>
      <Description>JE6N4JFJXNNF-17-42357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1D67-21B2-45CE-B3D8-B9F283D8CE82}"/>
</file>

<file path=customXml/itemProps2.xml><?xml version="1.0" encoding="utf-8"?>
<ds:datastoreItem xmlns:ds="http://schemas.openxmlformats.org/officeDocument/2006/customXml" ds:itemID="{42D32F77-0698-4ACC-AD36-A923163337D5}"/>
</file>

<file path=customXml/itemProps3.xml><?xml version="1.0" encoding="utf-8"?>
<ds:datastoreItem xmlns:ds="http://schemas.openxmlformats.org/officeDocument/2006/customXml" ds:itemID="{96FAC11E-5E77-46FB-8404-DA41C1F27655}"/>
</file>

<file path=customXml/itemProps4.xml><?xml version="1.0" encoding="utf-8"?>
<ds:datastoreItem xmlns:ds="http://schemas.openxmlformats.org/officeDocument/2006/customXml" ds:itemID="{8697817E-B362-45F7-96E8-AC4FC3804E5F}"/>
</file>

<file path=customXml/itemProps5.xml><?xml version="1.0" encoding="utf-8"?>
<ds:datastoreItem xmlns:ds="http://schemas.openxmlformats.org/officeDocument/2006/customXml" ds:itemID="{818781ED-6181-4858-A2D4-7F51FB34826E}"/>
</file>

<file path=customXml/itemProps6.xml><?xml version="1.0" encoding="utf-8"?>
<ds:datastoreItem xmlns:ds="http://schemas.openxmlformats.org/officeDocument/2006/customXml" ds:itemID="{086F1651-D0F2-44C3-B655-F05237C1A510}"/>
</file>

<file path=customXml/itemProps7.xml><?xml version="1.0" encoding="utf-8"?>
<ds:datastoreItem xmlns:ds="http://schemas.openxmlformats.org/officeDocument/2006/customXml" ds:itemID="{B227D3A4-F7D9-47B1-A83C-A71EAA9362E7}"/>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4739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2017-03-23T11:33:00Z</dcterms:created>
  <dcterms:modified xsi:type="dcterms:W3CDTF">2017-03-23T11:33:00Z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Valter.Lindmark@regeringskansliet.se</vt:lpwstr>
  </property>
  <property fmtid="{D5CDD505-2E9C-101B-9397-08002B2CF9AE}" pid="4" name="MRelatedAgendaItemIds">
    <vt:lpwstr>20,18</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96c4f93c-d6e6-4dfe-a922-b56a3147e5b0</vt:lpwstr>
  </property>
</Properties>
</file>