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15F53FA4" w14:textId="77777777" w:rsidTr="00A87189">
        <w:tc>
          <w:tcPr>
            <w:tcW w:w="2268" w:type="dxa"/>
          </w:tcPr>
          <w:p w14:paraId="505511D0" w14:textId="549D753B" w:rsidR="006E4E11" w:rsidRPr="00F070D0" w:rsidRDefault="00F070D0" w:rsidP="007242A3">
            <w:pPr>
              <w:framePr w:w="5035" w:h="1644" w:wrap="notBeside" w:vAnchor="page" w:hAnchor="page" w:x="6573" w:y="721"/>
              <w:rPr>
                <w:rFonts w:ascii="TradeGothic" w:hAnsi="TradeGothic"/>
                <w:sz w:val="18"/>
              </w:rPr>
            </w:pPr>
            <w:r>
              <w:rPr>
                <w:rFonts w:ascii="TradeGothic" w:hAnsi="TradeGothic"/>
                <w:sz w:val="18"/>
              </w:rPr>
              <w:t>M2016/02144/I</w:t>
            </w:r>
          </w:p>
        </w:tc>
        <w:tc>
          <w:tcPr>
            <w:tcW w:w="2999" w:type="dxa"/>
            <w:gridSpan w:val="2"/>
          </w:tcPr>
          <w:p w14:paraId="6A994B93" w14:textId="77777777" w:rsidR="006E4E11" w:rsidRDefault="006E4E11" w:rsidP="007242A3">
            <w:pPr>
              <w:framePr w:w="5035" w:h="1644" w:wrap="notBeside" w:vAnchor="page" w:hAnchor="page" w:x="6573" w:y="721"/>
              <w:rPr>
                <w:rFonts w:ascii="TradeGothic" w:hAnsi="TradeGothic"/>
                <w:i/>
                <w:sz w:val="18"/>
              </w:rPr>
            </w:pPr>
          </w:p>
        </w:tc>
      </w:tr>
      <w:tr w:rsidR="00A87189" w14:paraId="4D99F3BE" w14:textId="77777777" w:rsidTr="00A87189">
        <w:tc>
          <w:tcPr>
            <w:tcW w:w="5267" w:type="dxa"/>
            <w:gridSpan w:val="3"/>
          </w:tcPr>
          <w:p w14:paraId="7C972601" w14:textId="77777777" w:rsidR="00A87189" w:rsidRDefault="00A87189"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C7BD833" w14:textId="77777777" w:rsidTr="00A87189">
        <w:tc>
          <w:tcPr>
            <w:tcW w:w="3402" w:type="dxa"/>
            <w:gridSpan w:val="2"/>
          </w:tcPr>
          <w:p w14:paraId="262891C6" w14:textId="77777777" w:rsidR="006E4E11" w:rsidRPr="00A87189" w:rsidRDefault="00A87189" w:rsidP="007242A3">
            <w:pPr>
              <w:framePr w:w="5035" w:h="1644" w:wrap="notBeside" w:vAnchor="page" w:hAnchor="page" w:x="6573" w:y="721"/>
              <w:rPr>
                <w:rFonts w:ascii="TradeGothic" w:hAnsi="TradeGothic"/>
                <w:b/>
                <w:sz w:val="22"/>
              </w:rPr>
            </w:pPr>
            <w:r>
              <w:rPr>
                <w:rFonts w:ascii="TradeGothic" w:hAnsi="TradeGothic"/>
                <w:b/>
                <w:sz w:val="22"/>
              </w:rPr>
              <w:t>Miljörådet</w:t>
            </w:r>
          </w:p>
        </w:tc>
        <w:tc>
          <w:tcPr>
            <w:tcW w:w="1865" w:type="dxa"/>
          </w:tcPr>
          <w:p w14:paraId="7D6D12EC" w14:textId="77777777" w:rsidR="006E4E11" w:rsidRDefault="006E4E11" w:rsidP="007242A3">
            <w:pPr>
              <w:framePr w:w="5035" w:h="1644" w:wrap="notBeside" w:vAnchor="page" w:hAnchor="page" w:x="6573" w:y="721"/>
            </w:pPr>
          </w:p>
        </w:tc>
      </w:tr>
      <w:tr w:rsidR="006E4E11" w14:paraId="1648E29A" w14:textId="77777777" w:rsidTr="00A87189">
        <w:tc>
          <w:tcPr>
            <w:tcW w:w="2268" w:type="dxa"/>
          </w:tcPr>
          <w:p w14:paraId="16220F18" w14:textId="58CB0ACD" w:rsidR="006E4E11" w:rsidRDefault="00A87189" w:rsidP="007242A3">
            <w:pPr>
              <w:framePr w:w="5035" w:h="1644" w:wrap="notBeside" w:vAnchor="page" w:hAnchor="page" w:x="6573" w:y="721"/>
            </w:pPr>
            <w:r>
              <w:t>2016-10-0</w:t>
            </w:r>
            <w:r w:rsidR="00945339">
              <w:t>7</w:t>
            </w:r>
          </w:p>
        </w:tc>
        <w:tc>
          <w:tcPr>
            <w:tcW w:w="2999" w:type="dxa"/>
            <w:gridSpan w:val="2"/>
          </w:tcPr>
          <w:p w14:paraId="33A9DB25" w14:textId="77777777" w:rsidR="006E4E11" w:rsidRPr="00ED583F" w:rsidRDefault="006E4E11" w:rsidP="007242A3">
            <w:pPr>
              <w:framePr w:w="5035" w:h="1644" w:wrap="notBeside" w:vAnchor="page" w:hAnchor="page" w:x="6573" w:y="721"/>
              <w:rPr>
                <w:sz w:val="20"/>
              </w:rPr>
            </w:pPr>
          </w:p>
        </w:tc>
      </w:tr>
      <w:tr w:rsidR="006E4E11" w14:paraId="71705127" w14:textId="77777777" w:rsidTr="00A87189">
        <w:tc>
          <w:tcPr>
            <w:tcW w:w="2268" w:type="dxa"/>
          </w:tcPr>
          <w:p w14:paraId="0529DE5A" w14:textId="77777777" w:rsidR="006E4E11" w:rsidRDefault="006E4E11" w:rsidP="007242A3">
            <w:pPr>
              <w:framePr w:w="5035" w:h="1644" w:wrap="notBeside" w:vAnchor="page" w:hAnchor="page" w:x="6573" w:y="721"/>
            </w:pPr>
          </w:p>
        </w:tc>
        <w:tc>
          <w:tcPr>
            <w:tcW w:w="2999" w:type="dxa"/>
            <w:gridSpan w:val="2"/>
          </w:tcPr>
          <w:p w14:paraId="3243E3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F54DD1" w14:textId="77777777">
        <w:trPr>
          <w:trHeight w:val="284"/>
        </w:trPr>
        <w:tc>
          <w:tcPr>
            <w:tcW w:w="4911" w:type="dxa"/>
          </w:tcPr>
          <w:p w14:paraId="7CE62A65" w14:textId="77777777" w:rsidR="006E4E11" w:rsidRDefault="00A87189">
            <w:pPr>
              <w:pStyle w:val="Avsndare"/>
              <w:framePr w:h="2483" w:wrap="notBeside" w:x="1504"/>
              <w:rPr>
                <w:b/>
                <w:i w:val="0"/>
                <w:sz w:val="22"/>
              </w:rPr>
            </w:pPr>
            <w:r>
              <w:rPr>
                <w:b/>
                <w:i w:val="0"/>
                <w:sz w:val="22"/>
              </w:rPr>
              <w:t>Miljö- och energidepartementet</w:t>
            </w:r>
          </w:p>
        </w:tc>
      </w:tr>
      <w:tr w:rsidR="006E4E11" w14:paraId="19244F39" w14:textId="77777777">
        <w:trPr>
          <w:trHeight w:val="284"/>
        </w:trPr>
        <w:tc>
          <w:tcPr>
            <w:tcW w:w="4911" w:type="dxa"/>
          </w:tcPr>
          <w:p w14:paraId="71B71EC5" w14:textId="77777777" w:rsidR="006E4E11" w:rsidRDefault="006E4E11">
            <w:pPr>
              <w:pStyle w:val="Avsndare"/>
              <w:framePr w:h="2483" w:wrap="notBeside" w:x="1504"/>
              <w:rPr>
                <w:bCs/>
                <w:iCs/>
              </w:rPr>
            </w:pPr>
          </w:p>
        </w:tc>
      </w:tr>
      <w:tr w:rsidR="006E4E11" w14:paraId="1932C2F3" w14:textId="77777777">
        <w:trPr>
          <w:trHeight w:val="284"/>
        </w:trPr>
        <w:tc>
          <w:tcPr>
            <w:tcW w:w="4911" w:type="dxa"/>
          </w:tcPr>
          <w:p w14:paraId="210007AA" w14:textId="77777777" w:rsidR="006E4E11" w:rsidRDefault="00A87189">
            <w:pPr>
              <w:pStyle w:val="Avsndare"/>
              <w:framePr w:h="2483" w:wrap="notBeside" w:x="1504"/>
              <w:rPr>
                <w:bCs/>
                <w:iCs/>
              </w:rPr>
            </w:pPr>
            <w:r>
              <w:rPr>
                <w:bCs/>
                <w:iCs/>
              </w:rPr>
              <w:t>Internationella sekretariatet</w:t>
            </w:r>
          </w:p>
        </w:tc>
      </w:tr>
      <w:tr w:rsidR="006E4E11" w14:paraId="4AC4A659" w14:textId="77777777">
        <w:trPr>
          <w:trHeight w:val="284"/>
        </w:trPr>
        <w:tc>
          <w:tcPr>
            <w:tcW w:w="4911" w:type="dxa"/>
          </w:tcPr>
          <w:p w14:paraId="4B6DB4FA" w14:textId="77777777" w:rsidR="006E4E11" w:rsidRDefault="006E4E11">
            <w:pPr>
              <w:pStyle w:val="Avsndare"/>
              <w:framePr w:h="2483" w:wrap="notBeside" w:x="1504"/>
              <w:rPr>
                <w:bCs/>
                <w:iCs/>
              </w:rPr>
            </w:pPr>
          </w:p>
        </w:tc>
      </w:tr>
      <w:tr w:rsidR="006E4E11" w14:paraId="14352974" w14:textId="77777777">
        <w:trPr>
          <w:trHeight w:val="284"/>
        </w:trPr>
        <w:tc>
          <w:tcPr>
            <w:tcW w:w="4911" w:type="dxa"/>
          </w:tcPr>
          <w:p w14:paraId="752E81C4" w14:textId="77777777" w:rsidR="006E4E11" w:rsidRDefault="006E4E11">
            <w:pPr>
              <w:pStyle w:val="Avsndare"/>
              <w:framePr w:h="2483" w:wrap="notBeside" w:x="1504"/>
              <w:rPr>
                <w:bCs/>
                <w:iCs/>
              </w:rPr>
            </w:pPr>
          </w:p>
        </w:tc>
      </w:tr>
      <w:tr w:rsidR="006E4E11" w14:paraId="1F40DBF0" w14:textId="77777777">
        <w:trPr>
          <w:trHeight w:val="284"/>
        </w:trPr>
        <w:tc>
          <w:tcPr>
            <w:tcW w:w="4911" w:type="dxa"/>
          </w:tcPr>
          <w:p w14:paraId="5683F452" w14:textId="77777777" w:rsidR="006E4E11" w:rsidRDefault="006E4E11">
            <w:pPr>
              <w:pStyle w:val="Avsndare"/>
              <w:framePr w:h="2483" w:wrap="notBeside" w:x="1504"/>
              <w:rPr>
                <w:bCs/>
                <w:iCs/>
              </w:rPr>
            </w:pPr>
          </w:p>
        </w:tc>
      </w:tr>
      <w:tr w:rsidR="006E4E11" w14:paraId="05BC3FA8" w14:textId="77777777">
        <w:trPr>
          <w:trHeight w:val="284"/>
        </w:trPr>
        <w:tc>
          <w:tcPr>
            <w:tcW w:w="4911" w:type="dxa"/>
          </w:tcPr>
          <w:p w14:paraId="16423A1E" w14:textId="77777777" w:rsidR="006E4E11" w:rsidRDefault="006E4E11">
            <w:pPr>
              <w:pStyle w:val="Avsndare"/>
              <w:framePr w:h="2483" w:wrap="notBeside" w:x="1504"/>
              <w:rPr>
                <w:bCs/>
                <w:iCs/>
              </w:rPr>
            </w:pPr>
          </w:p>
        </w:tc>
      </w:tr>
      <w:tr w:rsidR="006E4E11" w14:paraId="156D0D24" w14:textId="77777777">
        <w:trPr>
          <w:trHeight w:val="284"/>
        </w:trPr>
        <w:tc>
          <w:tcPr>
            <w:tcW w:w="4911" w:type="dxa"/>
          </w:tcPr>
          <w:p w14:paraId="21E2D0B2" w14:textId="77777777" w:rsidR="006E4E11" w:rsidRDefault="006E4E11">
            <w:pPr>
              <w:pStyle w:val="Avsndare"/>
              <w:framePr w:h="2483" w:wrap="notBeside" w:x="1504"/>
              <w:rPr>
                <w:bCs/>
                <w:iCs/>
              </w:rPr>
            </w:pPr>
          </w:p>
        </w:tc>
      </w:tr>
      <w:tr w:rsidR="006E4E11" w14:paraId="28F5C0D4" w14:textId="77777777">
        <w:trPr>
          <w:trHeight w:val="284"/>
        </w:trPr>
        <w:tc>
          <w:tcPr>
            <w:tcW w:w="4911" w:type="dxa"/>
          </w:tcPr>
          <w:p w14:paraId="139DD4B4" w14:textId="77777777" w:rsidR="006E4E11" w:rsidRDefault="006E4E11">
            <w:pPr>
              <w:pStyle w:val="Avsndare"/>
              <w:framePr w:h="2483" w:wrap="notBeside" w:x="1504"/>
              <w:rPr>
                <w:bCs/>
                <w:iCs/>
              </w:rPr>
            </w:pPr>
          </w:p>
        </w:tc>
      </w:tr>
    </w:tbl>
    <w:p w14:paraId="76F34AC5" w14:textId="77777777" w:rsidR="006E4E11" w:rsidRPr="00A87189" w:rsidRDefault="006E4E11">
      <w:pPr>
        <w:framePr w:w="4400" w:h="2523" w:wrap="notBeside" w:vAnchor="page" w:hAnchor="page" w:x="6453" w:y="2445"/>
        <w:ind w:left="142"/>
        <w:rPr>
          <w:b/>
        </w:rPr>
      </w:pPr>
    </w:p>
    <w:p w14:paraId="6E886BE3" w14:textId="77777777" w:rsidR="00A87189" w:rsidRDefault="00A87189">
      <w:pPr>
        <w:pStyle w:val="RKrubrik"/>
        <w:pBdr>
          <w:bottom w:val="single" w:sz="6" w:space="1" w:color="auto"/>
        </w:pBdr>
      </w:pPr>
      <w:bookmarkStart w:id="0" w:name="bRubrik"/>
      <w:bookmarkEnd w:id="0"/>
      <w:r w:rsidRPr="00194E6F">
        <w:t xml:space="preserve">Rådets möte </w:t>
      </w:r>
      <w:r w:rsidR="00194E6F">
        <w:t>(</w:t>
      </w:r>
      <w:r w:rsidR="00194E6F" w:rsidRPr="00194E6F">
        <w:t xml:space="preserve">miljö- och klimatministrarna) </w:t>
      </w:r>
      <w:r w:rsidRPr="00194E6F">
        <w:t>den 17 oktober 2016</w:t>
      </w:r>
    </w:p>
    <w:p w14:paraId="029FDB47" w14:textId="77777777" w:rsidR="00A87189" w:rsidRDefault="00A87189">
      <w:pPr>
        <w:pStyle w:val="RKrubrik"/>
      </w:pPr>
      <w:r>
        <w:t>Kommenterad dagordning</w:t>
      </w:r>
    </w:p>
    <w:p w14:paraId="73FEB01F" w14:textId="2256F48B" w:rsidR="00194E6F" w:rsidRDefault="00A87189" w:rsidP="00FC1A4A">
      <w:pPr>
        <w:pStyle w:val="RKrubrik"/>
      </w:pPr>
      <w:r>
        <w:t>1.</w:t>
      </w:r>
      <w:r>
        <w:tab/>
        <w:t>Godkännande av dagordningen</w:t>
      </w:r>
    </w:p>
    <w:p w14:paraId="0B3A337B" w14:textId="0165C87C" w:rsidR="00FC1A4A" w:rsidRPr="00FC1A4A" w:rsidRDefault="00FC1A4A" w:rsidP="00FC1A4A">
      <w:pPr>
        <w:pStyle w:val="RKrubrik"/>
        <w:rPr>
          <w:u w:val="single"/>
        </w:rPr>
      </w:pPr>
      <w:r w:rsidRPr="00FC1A4A">
        <w:rPr>
          <w:u w:val="single"/>
        </w:rPr>
        <w:t xml:space="preserve"> Icke lagstiftande verksamhet</w:t>
      </w:r>
    </w:p>
    <w:p w14:paraId="461B73AC" w14:textId="77777777" w:rsidR="00194E6F" w:rsidRDefault="00194E6F" w:rsidP="00194E6F">
      <w:pPr>
        <w:pStyle w:val="RKrubrik"/>
      </w:pPr>
      <w:r>
        <w:t xml:space="preserve">2. </w:t>
      </w:r>
      <w:r>
        <w:tab/>
        <w:t xml:space="preserve">(Ev.) godkännande av A-punkter </w:t>
      </w:r>
    </w:p>
    <w:p w14:paraId="26316886" w14:textId="77777777" w:rsidR="00194E6F" w:rsidRDefault="00194E6F" w:rsidP="00194E6F">
      <w:pPr>
        <w:pStyle w:val="RKnormal"/>
        <w:spacing w:line="276" w:lineRule="auto"/>
      </w:pPr>
    </w:p>
    <w:p w14:paraId="663A924A" w14:textId="56A41617" w:rsidR="00194E6F" w:rsidRDefault="00194E6F" w:rsidP="00194E6F">
      <w:pPr>
        <w:pStyle w:val="RKnormal"/>
        <w:spacing w:line="276" w:lineRule="auto"/>
        <w:rPr>
          <w:rFonts w:ascii="TradeGothic" w:hAnsi="TradeGothic"/>
          <w:b/>
        </w:rPr>
      </w:pPr>
      <w:r>
        <w:t>A-punktslistan är ännu inte känd.</w:t>
      </w:r>
    </w:p>
    <w:p w14:paraId="13D617F4" w14:textId="77777777" w:rsidR="00FC1A4A" w:rsidRDefault="00FC1A4A" w:rsidP="00FC1A4A">
      <w:pPr>
        <w:pStyle w:val="Default"/>
      </w:pPr>
    </w:p>
    <w:p w14:paraId="1761B346" w14:textId="77777777" w:rsidR="00FC1A4A" w:rsidRPr="00FC1A4A" w:rsidRDefault="00FC1A4A" w:rsidP="00FC1A4A">
      <w:pPr>
        <w:pStyle w:val="RKrubrik"/>
        <w:rPr>
          <w:u w:val="single"/>
        </w:rPr>
      </w:pPr>
      <w:r w:rsidRPr="00FC1A4A">
        <w:rPr>
          <w:u w:val="single"/>
        </w:rPr>
        <w:t xml:space="preserve"> Lagstiftningsöverläggningar </w:t>
      </w:r>
    </w:p>
    <w:p w14:paraId="7529845C" w14:textId="145D7548" w:rsidR="00194E6F" w:rsidRPr="00FC1A4A" w:rsidRDefault="00FC1A4A" w:rsidP="00FC1A4A">
      <w:pPr>
        <w:pStyle w:val="RKnormal"/>
        <w:spacing w:line="276" w:lineRule="auto"/>
      </w:pPr>
      <w:r w:rsidRPr="00FC1A4A">
        <w:t>(Offentlig överläggning i enlighet med artikel 16.8 i fördraget om Europeiska unionen)</w:t>
      </w:r>
    </w:p>
    <w:p w14:paraId="24D18163" w14:textId="77777777" w:rsidR="00FC1A4A" w:rsidRPr="00FC1A4A" w:rsidRDefault="00FC1A4A" w:rsidP="00FC1A4A">
      <w:pPr>
        <w:pStyle w:val="RKnormal"/>
      </w:pPr>
    </w:p>
    <w:p w14:paraId="54C7BF6C" w14:textId="77777777" w:rsidR="00194E6F" w:rsidRDefault="00194E6F" w:rsidP="00194E6F">
      <w:pPr>
        <w:pStyle w:val="RKrubrik"/>
        <w:spacing w:before="0" w:after="0" w:line="276" w:lineRule="auto"/>
      </w:pPr>
      <w:r>
        <w:t>3</w:t>
      </w:r>
      <w:r w:rsidRPr="00E67C03">
        <w:t>.</w:t>
      </w:r>
      <w:r>
        <w:rPr>
          <w:b w:val="0"/>
        </w:rPr>
        <w:t xml:space="preserve"> </w:t>
      </w:r>
      <w:r>
        <w:rPr>
          <w:b w:val="0"/>
        </w:rPr>
        <w:tab/>
      </w:r>
      <w:r>
        <w:t xml:space="preserve">(Ev.) godkännande av A punkter </w:t>
      </w:r>
    </w:p>
    <w:p w14:paraId="0E0771C5" w14:textId="77777777" w:rsidR="00194E6F" w:rsidRDefault="00194E6F" w:rsidP="00194E6F">
      <w:pPr>
        <w:pStyle w:val="RKnormal"/>
        <w:spacing w:line="276" w:lineRule="auto"/>
      </w:pPr>
    </w:p>
    <w:p w14:paraId="4EA45CBF" w14:textId="77777777" w:rsidR="00194E6F" w:rsidRDefault="00194E6F" w:rsidP="00194E6F">
      <w:pPr>
        <w:pStyle w:val="RKnormal"/>
        <w:spacing w:line="276" w:lineRule="auto"/>
      </w:pPr>
      <w:r>
        <w:t>A-punktslistan är ännu inte känd.</w:t>
      </w:r>
    </w:p>
    <w:p w14:paraId="22E6A96A" w14:textId="77777777" w:rsidR="00FC1A4A" w:rsidRDefault="00FC1A4A" w:rsidP="00194E6F">
      <w:pPr>
        <w:pStyle w:val="RKnormal"/>
        <w:spacing w:line="276" w:lineRule="auto"/>
      </w:pPr>
    </w:p>
    <w:p w14:paraId="7855CA47" w14:textId="77777777" w:rsidR="00FC1A4A" w:rsidRDefault="00FC1A4A" w:rsidP="00FC1A4A">
      <w:pPr>
        <w:pStyle w:val="RKrubrik"/>
        <w:spacing w:before="0" w:after="0" w:line="276" w:lineRule="auto"/>
      </w:pPr>
      <w:r w:rsidRPr="00FC1A4A">
        <w:t xml:space="preserve">4. Sektorer som inte omfattas av EU:s utsläppshandelssystem </w:t>
      </w:r>
    </w:p>
    <w:p w14:paraId="5A0AEE44" w14:textId="77777777" w:rsidR="00FC1A4A" w:rsidRPr="00FC1A4A" w:rsidRDefault="00FC1A4A" w:rsidP="00FC1A4A">
      <w:pPr>
        <w:pStyle w:val="RKnormal"/>
      </w:pPr>
    </w:p>
    <w:p w14:paraId="0E3DF105" w14:textId="77777777" w:rsidR="00FC1A4A" w:rsidRPr="00FC1A4A" w:rsidRDefault="00FC1A4A" w:rsidP="00FC1A4A">
      <w:pPr>
        <w:pStyle w:val="RKrubrik"/>
        <w:spacing w:before="0" w:after="0" w:line="276" w:lineRule="auto"/>
      </w:pPr>
      <w:r w:rsidRPr="00FC1A4A">
        <w:t xml:space="preserve">a) Förslag till Europaparlamentets och rådets förordning om bindande årliga minskningar av medlemsstaternas växthusgasutsläpp 2021–2030 för att skapa en motståndskraftig energiunion och fullgöra åtagandena enligt Parisavtalet samt om ändring av Europaparlamentets och rådets förordning (EU) nr 525/2013 om en mekanism för att övervaka och rapportera utsläpp av växthusgaser och annan information som är relevant för klimatförändringen (första behandlingen) </w:t>
      </w:r>
    </w:p>
    <w:p w14:paraId="186E499E" w14:textId="77777777" w:rsidR="00FC1A4A" w:rsidRPr="00FC1A4A" w:rsidRDefault="00FC1A4A" w:rsidP="00FC1A4A">
      <w:pPr>
        <w:pStyle w:val="RKnormal"/>
      </w:pPr>
    </w:p>
    <w:p w14:paraId="6E91A8BF" w14:textId="77777777" w:rsidR="00FC1A4A" w:rsidRDefault="00FC1A4A" w:rsidP="00FC1A4A">
      <w:pPr>
        <w:pStyle w:val="RKrubrik"/>
        <w:spacing w:before="0" w:after="0" w:line="276" w:lineRule="auto"/>
      </w:pPr>
      <w:r w:rsidRPr="00FC1A4A">
        <w:lastRenderedPageBreak/>
        <w:t xml:space="preserve">b) Förslag till Europaparlamentets och rådets förordning om inbegripande av utsläpp och upptag av växthusgaser från markanvändning, förändrad markanvändning och skogsbruk i ramen för klimat- och energipolitiken fram till 2030 och om ändring av Europaparlamentets och rådets förordning nr 525/2013 om en mekanism för att övervaka och rapportera utsläpp av växthusgaser och för att rapportera annan information som är relevant för klimatförändringen (första behandlingen) </w:t>
      </w:r>
    </w:p>
    <w:p w14:paraId="181833C6" w14:textId="77777777" w:rsidR="00FC1A4A" w:rsidRPr="00FC1A4A" w:rsidRDefault="00FC1A4A" w:rsidP="00FC1A4A">
      <w:pPr>
        <w:pStyle w:val="RKnormal"/>
      </w:pPr>
    </w:p>
    <w:p w14:paraId="5D42104A" w14:textId="707EB924" w:rsidR="00FC1A4A" w:rsidRDefault="00FC1A4A" w:rsidP="00FC1A4A">
      <w:pPr>
        <w:pStyle w:val="Rubrik3"/>
        <w:numPr>
          <w:ilvl w:val="0"/>
          <w:numId w:val="17"/>
        </w:numPr>
        <w:spacing w:before="0"/>
        <w:ind w:left="1843" w:hanging="425"/>
        <w:textAlignment w:val="auto"/>
        <w:rPr>
          <w:i/>
        </w:rPr>
      </w:pPr>
      <w:r w:rsidRPr="00FC1A4A">
        <w:rPr>
          <w:i/>
        </w:rPr>
        <w:t xml:space="preserve">Riktlinjedebatt </w:t>
      </w:r>
    </w:p>
    <w:p w14:paraId="4D874E6A" w14:textId="06A94CB0" w:rsidR="000D5AAE" w:rsidRDefault="000D5AAE" w:rsidP="00C033C0">
      <w:pPr>
        <w:pStyle w:val="Text5"/>
        <w:shd w:val="clear" w:color="auto" w:fill="FFFFFF" w:themeFill="background1"/>
      </w:pPr>
    </w:p>
    <w:p w14:paraId="0C14E0CE" w14:textId="77777777" w:rsidR="000D5AAE" w:rsidRDefault="000D5AAE" w:rsidP="000D5AAE">
      <w:pPr>
        <w:pStyle w:val="RKnormal"/>
        <w:spacing w:line="276" w:lineRule="auto"/>
        <w:rPr>
          <w:rFonts w:ascii="Trade Gothic" w:hAnsi="Trade Gothic"/>
          <w:b/>
          <w:sz w:val="22"/>
          <w:szCs w:val="22"/>
        </w:rPr>
      </w:pPr>
      <w:r>
        <w:rPr>
          <w:rFonts w:ascii="Trade Gothic" w:hAnsi="Trade Gothic"/>
          <w:b/>
          <w:sz w:val="22"/>
          <w:szCs w:val="22"/>
        </w:rPr>
        <w:t>Avsikten med behandlingen i rådet</w:t>
      </w:r>
    </w:p>
    <w:p w14:paraId="1800E9EC" w14:textId="4C2248BB" w:rsidR="000D5AAE" w:rsidRDefault="000D5AAE" w:rsidP="000D5AAE">
      <w:pPr>
        <w:pStyle w:val="RKnormal"/>
        <w:spacing w:line="276" w:lineRule="auto"/>
      </w:pPr>
      <w:r>
        <w:t xml:space="preserve">Ordförandeskapet har för avsikt att miljörådet ska hålla en </w:t>
      </w:r>
      <w:r w:rsidR="00AF27AF">
        <w:t>riktlinjedebatt</w:t>
      </w:r>
      <w:r>
        <w:t xml:space="preserve"> om kommissionens förslag till en ansvarsfördelningsförordning (ESR) samt förslag till inkluderande av sektorn markanvändning, förändrad markanvändning och skogsbruk (LULUCF) i EU:s klimat- och energiramverk till 2030.</w:t>
      </w:r>
    </w:p>
    <w:p w14:paraId="761AC737" w14:textId="77777777" w:rsidR="000D5AAE" w:rsidRDefault="000D5AAE" w:rsidP="000D5AAE">
      <w:pPr>
        <w:pStyle w:val="RKnormal"/>
        <w:spacing w:line="276" w:lineRule="auto"/>
      </w:pPr>
    </w:p>
    <w:p w14:paraId="7C5989EE" w14:textId="77777777" w:rsidR="000D5AAE" w:rsidRDefault="000D5AAE" w:rsidP="000D5AAE">
      <w:pPr>
        <w:pStyle w:val="RKnormal"/>
        <w:spacing w:line="276" w:lineRule="auto"/>
        <w:rPr>
          <w:rFonts w:ascii="Trade Gothic" w:hAnsi="Trade Gothic"/>
          <w:b/>
          <w:sz w:val="22"/>
          <w:szCs w:val="22"/>
        </w:rPr>
      </w:pPr>
      <w:r>
        <w:rPr>
          <w:rFonts w:ascii="Trade Gothic" w:hAnsi="Trade Gothic"/>
          <w:b/>
          <w:sz w:val="22"/>
          <w:szCs w:val="22"/>
        </w:rPr>
        <w:t>Bakgrund</w:t>
      </w:r>
    </w:p>
    <w:p w14:paraId="120D6088" w14:textId="77777777" w:rsidR="000D5AAE" w:rsidRDefault="000D5AAE" w:rsidP="000D5AAE">
      <w:r>
        <w:rPr>
          <w:szCs w:val="19"/>
        </w:rPr>
        <w:t>Europeiska rådets slutsatser från oktober 2014 fastställer att</w:t>
      </w:r>
      <w:r>
        <w:t xml:space="preserve"> utsläppen av växthusgaser ska minskas med minst 40 procent inom EU fram till 2030 jämfört med år 1990. Utsläppsmålet ska nås genom reviderade mål i EU:s system för handel med utsläppsrätter (EU ETS) och för de sektorer som inte omfattas av handelssystemet. Rådsslutsatserna fastslår dessutom att regelverket för att inkludera LULUCF ska fastställas innan 2020.</w:t>
      </w:r>
    </w:p>
    <w:p w14:paraId="263CF8A1" w14:textId="77777777" w:rsidR="000D5AAE" w:rsidRDefault="000D5AAE" w:rsidP="000D5AAE"/>
    <w:p w14:paraId="0C1B0D50" w14:textId="77777777" w:rsidR="000D5AAE" w:rsidRDefault="000D5AAE" w:rsidP="000D5AAE">
      <w:pPr>
        <w:rPr>
          <w:szCs w:val="19"/>
        </w:rPr>
      </w:pPr>
      <w:r>
        <w:t xml:space="preserve">Den 20 juli 2016 presenterade kommissionen </w:t>
      </w:r>
      <w:r>
        <w:rPr>
          <w:szCs w:val="19"/>
        </w:rPr>
        <w:t xml:space="preserve">ett förslag till förordning om en ansvarsfördelning (ESR) mellan medlemsländerna för utsläppsminskningar i de sektorer som inte omfattas av EU ETS för perioden 2021-2030 samt ett förslag till förordning som inkluderar LULUCF som en separat del i EU:s ramverk för klimat och energi till 2030. </w:t>
      </w:r>
    </w:p>
    <w:p w14:paraId="04DA5ADB" w14:textId="77777777" w:rsidR="000D5AAE" w:rsidRDefault="000D5AAE" w:rsidP="000D5AAE"/>
    <w:p w14:paraId="47DC3E27" w14:textId="77777777" w:rsidR="000D5AAE" w:rsidRDefault="000D5AAE" w:rsidP="000D5AAE">
      <w:pPr>
        <w:rPr>
          <w:szCs w:val="19"/>
        </w:rPr>
      </w:pPr>
      <w:r>
        <w:t xml:space="preserve">Förslaget till ESR innehåller förutom utsläppsminskningsmål till 2030 även flexibilitetsmekanismer. Förslaget om LULUCF innebär att sektorn inkluderas som en separat del i ramverket men med viss flexibilitet till övriga sektorer som inte omfattas av EU ETS. </w:t>
      </w:r>
      <w:r>
        <w:rPr>
          <w:szCs w:val="19"/>
        </w:rPr>
        <w:t xml:space="preserve">Utgångspunkten i </w:t>
      </w:r>
      <w:r>
        <w:t>förslaget till LULUCF-förordning</w:t>
      </w:r>
      <w:r>
        <w:rPr>
          <w:szCs w:val="19"/>
        </w:rPr>
        <w:t xml:space="preserve"> är </w:t>
      </w:r>
      <w:r>
        <w:t xml:space="preserve">att nettoupptagen i sektorn i varje medlemsstat inte får minska, eller i de fall nettoutsläpp för sektorn redovisas, att nettoutsläppen inte får öka. Förslaget innehåller även regler för hur förändrade utsläpp och upptag bokförs och olika typer av flexibilitetsmekanismer. </w:t>
      </w:r>
    </w:p>
    <w:p w14:paraId="674939A7" w14:textId="77777777" w:rsidR="000D5AAE" w:rsidRDefault="000D5AAE" w:rsidP="000D5AAE"/>
    <w:p w14:paraId="35485626" w14:textId="77777777" w:rsidR="00CB3550" w:rsidRDefault="00CB3550" w:rsidP="000D5AAE">
      <w:pPr>
        <w:rPr>
          <w:rFonts w:ascii="TradeGothic" w:hAnsi="TradeGothic" w:cs="Arial"/>
          <w:b/>
          <w:sz w:val="22"/>
          <w:szCs w:val="22"/>
        </w:rPr>
      </w:pPr>
    </w:p>
    <w:p w14:paraId="117E1B7D" w14:textId="77777777" w:rsidR="00CB3550" w:rsidRDefault="00CB3550" w:rsidP="000D5AAE">
      <w:pPr>
        <w:rPr>
          <w:rFonts w:ascii="TradeGothic" w:hAnsi="TradeGothic" w:cs="Arial"/>
          <w:b/>
          <w:sz w:val="22"/>
          <w:szCs w:val="22"/>
        </w:rPr>
      </w:pPr>
    </w:p>
    <w:p w14:paraId="7F35B38D" w14:textId="77777777" w:rsidR="000D5AAE" w:rsidRDefault="000D5AAE" w:rsidP="000D5AAE">
      <w:pPr>
        <w:rPr>
          <w:rFonts w:ascii="TradeGothic" w:hAnsi="TradeGothic" w:cs="Arial"/>
          <w:b/>
          <w:sz w:val="22"/>
          <w:szCs w:val="22"/>
        </w:rPr>
      </w:pPr>
      <w:r>
        <w:rPr>
          <w:rFonts w:ascii="TradeGothic" w:hAnsi="TradeGothic" w:cs="Arial"/>
          <w:b/>
          <w:sz w:val="22"/>
          <w:szCs w:val="22"/>
        </w:rPr>
        <w:lastRenderedPageBreak/>
        <w:t>Förslag till svensk ståndpunkt</w:t>
      </w:r>
    </w:p>
    <w:p w14:paraId="4A361A0A" w14:textId="77777777" w:rsidR="000D5AAE" w:rsidRDefault="000D5AAE" w:rsidP="000D5AAE">
      <w:pPr>
        <w:rPr>
          <w:rFonts w:eastAsiaTheme="minorHAnsi"/>
        </w:rPr>
      </w:pPr>
      <w:r>
        <w:rPr>
          <w:rFonts w:eastAsiaTheme="minorHAnsi"/>
        </w:rPr>
        <w:t>Sverige välkomnar att kommissionen har lagt fram ett förslag till ansvarsfördelning för perioden 2021-2030. Alla medlemsländer behöver bidra genom att ta på sig ambitiösa mål i ansvarsfördelningen. Sverige är berett att ta ansvar och visa hög ambition i arbetet för de utsläppsminskningar som krävs för att Parisavtalets mål ska uppnås.</w:t>
      </w:r>
    </w:p>
    <w:p w14:paraId="1891C82D" w14:textId="77777777" w:rsidR="000D5AAE" w:rsidRDefault="000D5AAE" w:rsidP="000D5AAE">
      <w:pPr>
        <w:rPr>
          <w:rFonts w:eastAsiaTheme="minorHAnsi"/>
        </w:rPr>
      </w:pPr>
    </w:p>
    <w:p w14:paraId="2BB93852" w14:textId="77777777" w:rsidR="000D5AAE" w:rsidRDefault="000D5AAE" w:rsidP="000D5AAE">
      <w:r>
        <w:rPr>
          <w:rFonts w:eastAsiaTheme="minorHAnsi"/>
        </w:rPr>
        <w:t xml:space="preserve">Sverige välkomnar förslaget att inkludera LULUCF i EU:s klimat- och energiramverk till 2030 men betonar att det måste ske på ett sådant sätt att ambitionsnivån i ramverket inte minskas. </w:t>
      </w:r>
      <w:r>
        <w:t xml:space="preserve">Regelverket för LULUCF-sektorn måste också utformas så att det inte hindrar möjligheter till en långsiktigt ökad och hållbar produktion av bioenergi, livsmedel och fossilsnåla material från jord- och skogsbruket eller insatser för biologisk mångfald. </w:t>
      </w:r>
    </w:p>
    <w:p w14:paraId="7BB270AF" w14:textId="77777777" w:rsidR="000D5AAE" w:rsidRDefault="000D5AAE" w:rsidP="000D5AAE">
      <w:pPr>
        <w:rPr>
          <w:rFonts w:eastAsiaTheme="minorHAnsi"/>
        </w:rPr>
      </w:pPr>
    </w:p>
    <w:p w14:paraId="0799F40C" w14:textId="77777777" w:rsidR="000D5AAE" w:rsidRDefault="000D5AAE" w:rsidP="000D5AAE">
      <w:pPr>
        <w:rPr>
          <w:rFonts w:eastAsiaTheme="minorHAnsi"/>
        </w:rPr>
      </w:pPr>
      <w:r>
        <w:rPr>
          <w:rFonts w:eastAsiaTheme="minorHAnsi"/>
        </w:rPr>
        <w:t>Sverige anser att viss flexibilitet behövs men den får inte utformas så att vissa medlemsländer inte behöver genomföra de åtgärder och den omställning som krävs. Utformningen av flexibiliteterna måste också upprätthålla systemets faktiska ambitionsnivå och miljömässiga integritet.</w:t>
      </w:r>
    </w:p>
    <w:p w14:paraId="3834173F" w14:textId="77777777" w:rsidR="000D5AAE" w:rsidRDefault="000D5AAE" w:rsidP="000D5AAE">
      <w:pPr>
        <w:rPr>
          <w:rFonts w:eastAsiaTheme="minorHAnsi"/>
        </w:rPr>
      </w:pPr>
    </w:p>
    <w:p w14:paraId="416CB024" w14:textId="77777777" w:rsidR="000D5AAE" w:rsidRDefault="000D5AAE" w:rsidP="000D5AAE">
      <w:pPr>
        <w:rPr>
          <w:rFonts w:eastAsiaTheme="minorHAnsi"/>
        </w:rPr>
      </w:pPr>
      <w:r>
        <w:rPr>
          <w:rFonts w:eastAsiaTheme="minorHAnsi"/>
        </w:rPr>
        <w:t xml:space="preserve">Sverige vill se en starkare formulering av översynsklausulen i förordningsförslagen. EU ska öka sin ambitionsnivå till 2030 om Parisavtalets mål ska nås. EU ska delta fullt ut i Parisavtalets femåriga ambitionscykler och därför behöver översynsklausulen vara tydlig med att Parisavtalet inklusive dess mål beaktas fullt ut i det fortsatta genomförandet av 2030-ramverket för klimat och energi. Översynsklausulen behöver därmed också inkludera den facilitativa dialogen under Parisavtalet som ska äga rum 2018. Översynsklausulen kan därför inte begränsas till endast tiden efter 2024. </w:t>
      </w:r>
    </w:p>
    <w:p w14:paraId="01AE3045" w14:textId="77777777" w:rsidR="000D5AAE" w:rsidRDefault="000D5AAE" w:rsidP="000D5AAE">
      <w:pPr>
        <w:rPr>
          <w:rFonts w:eastAsiaTheme="minorHAnsi"/>
        </w:rPr>
      </w:pPr>
    </w:p>
    <w:p w14:paraId="127E7CB8" w14:textId="77777777" w:rsidR="000D5AAE" w:rsidRDefault="000D5AAE" w:rsidP="000D5AAE">
      <w:pPr>
        <w:rPr>
          <w:rFonts w:eastAsiaTheme="minorHAnsi"/>
        </w:rPr>
      </w:pPr>
      <w:r>
        <w:rPr>
          <w:rFonts w:eastAsiaTheme="minorHAnsi"/>
        </w:rPr>
        <w:t>Sverige betonar vikten av robusta, rättvisande och transparanta bokföringsregler för LULUCF-sektorn för att upprätthålla ramverkets trovärdighet. Sverige anser att regelverket bör understödja åtgärder som långsiktigt ger hög klimatnytta, där minskad användning av fossila råvaror är en central del, före lösningar som ger bokförda utsläppsminskningar på kort sikt.</w:t>
      </w:r>
    </w:p>
    <w:p w14:paraId="1983546C" w14:textId="77777777" w:rsidR="000D5AAE" w:rsidRDefault="000D5AAE" w:rsidP="000D5AAE">
      <w:pPr>
        <w:rPr>
          <w:rFonts w:eastAsiaTheme="minorHAnsi"/>
        </w:rPr>
      </w:pPr>
    </w:p>
    <w:p w14:paraId="5E4A78D7" w14:textId="5CF9A7AE" w:rsidR="000D5AAE" w:rsidRDefault="00CB3550" w:rsidP="000D5AAE">
      <w:r>
        <w:t>Sverige</w:t>
      </w:r>
      <w:r w:rsidR="000D5AAE">
        <w:t xml:space="preserve"> ställer sig positiv till en gemensam process inklusive vägledning och teknisk granskning för hur medlemsstaternas referensnivåer för skogsbruk sätts, för att skapa en transparent och trovärdig process. </w:t>
      </w:r>
      <w:r>
        <w:t>Sverige</w:t>
      </w:r>
      <w:r w:rsidR="000D5AAE">
        <w:t xml:space="preserve"> värnar det nationella självbestämmandet i skogsfrågor. Det är viktigt att medlemsländerna själva beslutar om sina referensnivåer för skogsbruk. Det måste säkerställas att referensnivåerna fastställs i enlighet </w:t>
      </w:r>
      <w:r w:rsidR="000D5AAE">
        <w:lastRenderedPageBreak/>
        <w:t>med de gemensamma krav och principer som ska gälla för alla medlemsstater för att säkra den miljömässiga integriteten.</w:t>
      </w:r>
    </w:p>
    <w:p w14:paraId="6A0AC67D" w14:textId="77777777" w:rsidR="000D5AAE" w:rsidRDefault="000D5AAE" w:rsidP="000D5AAE">
      <w:pPr>
        <w:pStyle w:val="RKnormal"/>
        <w:spacing w:line="276" w:lineRule="auto"/>
      </w:pPr>
    </w:p>
    <w:p w14:paraId="7DDE4CDC" w14:textId="082ABEC1" w:rsidR="00AF27AF" w:rsidRDefault="00AF27AF" w:rsidP="00AF27AF">
      <w:pPr>
        <w:pStyle w:val="rknormal0"/>
      </w:pPr>
      <w:r>
        <w:rPr>
          <w:i/>
          <w:iCs/>
          <w:szCs w:val="23"/>
        </w:rPr>
        <w:t>Förslagen</w:t>
      </w:r>
      <w:r w:rsidRPr="008A0D77">
        <w:rPr>
          <w:i/>
          <w:iCs/>
          <w:szCs w:val="23"/>
        </w:rPr>
        <w:t xml:space="preserve"> har inte tidigare behandlats i EU-nämnden.</w:t>
      </w:r>
    </w:p>
    <w:p w14:paraId="78B36089" w14:textId="5563F80D" w:rsidR="00FC1A4A" w:rsidRDefault="00FC1A4A" w:rsidP="00C033C0">
      <w:pPr>
        <w:pStyle w:val="Text5"/>
        <w:shd w:val="clear" w:color="auto" w:fill="FFFFFF" w:themeFill="background1"/>
      </w:pPr>
    </w:p>
    <w:p w14:paraId="0F9B56F7" w14:textId="5B90CF79" w:rsidR="00FC1A4A" w:rsidRPr="00FC1A4A" w:rsidRDefault="00FC1A4A" w:rsidP="00FC1A4A">
      <w:pPr>
        <w:pStyle w:val="Text5"/>
        <w:shd w:val="clear" w:color="auto" w:fill="FFFFFF" w:themeFill="background1"/>
        <w:ind w:left="0"/>
        <w:rPr>
          <w:u w:val="single"/>
        </w:rPr>
      </w:pPr>
      <w:r w:rsidRPr="00FC1A4A">
        <w:rPr>
          <w:b/>
          <w:bCs/>
          <w:sz w:val="23"/>
          <w:szCs w:val="23"/>
          <w:u w:val="single"/>
        </w:rPr>
        <w:t>Icke lagstiftande verksamhet</w:t>
      </w:r>
    </w:p>
    <w:p w14:paraId="439AA9DC" w14:textId="77777777" w:rsidR="00FC1A4A" w:rsidRDefault="00FC1A4A" w:rsidP="00C033C0">
      <w:pPr>
        <w:pStyle w:val="Text5"/>
        <w:shd w:val="clear" w:color="auto" w:fill="FFFFFF" w:themeFill="background1"/>
      </w:pPr>
    </w:p>
    <w:p w14:paraId="4692150A" w14:textId="77777777" w:rsidR="00194E6F" w:rsidRDefault="00194E6F" w:rsidP="00C033C0">
      <w:pPr>
        <w:pStyle w:val="RKnormal"/>
        <w:shd w:val="clear" w:color="auto" w:fill="FFFFFF" w:themeFill="background1"/>
        <w:rPr>
          <w:rFonts w:ascii="TradeGothic" w:hAnsi="TradeGothic"/>
          <w:b/>
          <w:sz w:val="22"/>
          <w:szCs w:val="22"/>
        </w:rPr>
      </w:pPr>
    </w:p>
    <w:p w14:paraId="55F6B5EF" w14:textId="77777777" w:rsidR="00FC1A4A" w:rsidRDefault="00FC1A4A" w:rsidP="00FC1A4A">
      <w:pPr>
        <w:pStyle w:val="RKrubrik"/>
        <w:spacing w:before="0" w:after="0" w:line="276" w:lineRule="auto"/>
      </w:pPr>
      <w:r w:rsidRPr="00FC1A4A">
        <w:t>5. Utkast till rådets slutsatser om konventionen om biologisk mångfald</w:t>
      </w:r>
    </w:p>
    <w:p w14:paraId="3C4B7FEB" w14:textId="74AE84D6" w:rsidR="00FC1A4A" w:rsidRPr="00FC1A4A" w:rsidRDefault="00FC1A4A" w:rsidP="00FC1A4A">
      <w:pPr>
        <w:pStyle w:val="RKrubrik"/>
        <w:spacing w:before="0" w:after="0" w:line="276" w:lineRule="auto"/>
      </w:pPr>
      <w:r w:rsidRPr="00FC1A4A">
        <w:t xml:space="preserve"> </w:t>
      </w:r>
    </w:p>
    <w:p w14:paraId="73167A04" w14:textId="77777777" w:rsidR="00FC1A4A" w:rsidRDefault="00FC1A4A" w:rsidP="00FC1A4A">
      <w:pPr>
        <w:pStyle w:val="RKrubrik"/>
        <w:numPr>
          <w:ilvl w:val="0"/>
          <w:numId w:val="18"/>
        </w:numPr>
        <w:spacing w:before="0" w:after="0" w:line="276" w:lineRule="auto"/>
      </w:pPr>
      <w:r w:rsidRPr="00FC1A4A">
        <w:t xml:space="preserve">Förberedelser inför det 13:e mötet i partskonferensen (COP 13) för konventionen om biologisk mångfald (Cancún, Mexiko, den 4–17 december 2016) </w:t>
      </w:r>
    </w:p>
    <w:p w14:paraId="3A4A568C" w14:textId="77777777" w:rsidR="00FC1A4A" w:rsidRPr="00FC1A4A" w:rsidRDefault="00FC1A4A" w:rsidP="00FC1A4A">
      <w:pPr>
        <w:pStyle w:val="RKnormal"/>
      </w:pPr>
    </w:p>
    <w:p w14:paraId="74935C58" w14:textId="1A473F0B" w:rsidR="00FC1A4A" w:rsidRPr="00FC1A4A" w:rsidRDefault="00FC1A4A" w:rsidP="00FC1A4A">
      <w:pPr>
        <w:pStyle w:val="RKrubrik"/>
        <w:numPr>
          <w:ilvl w:val="0"/>
          <w:numId w:val="18"/>
        </w:numPr>
        <w:spacing w:before="0" w:after="0" w:line="276" w:lineRule="auto"/>
      </w:pPr>
      <w:r w:rsidRPr="00FC1A4A">
        <w:t xml:space="preserve"> Förberedelser inför det åttonde mötet i partskonferensen för konventionen om biologisk mångfald i dess egenskap av möte mellan parterna i Cartagenaprotokollet om biosäkerhet (COP-MOP 8) </w:t>
      </w:r>
    </w:p>
    <w:p w14:paraId="544A98F3" w14:textId="50E7129F" w:rsidR="00FC1A4A" w:rsidRDefault="00FC1A4A" w:rsidP="00FC1A4A">
      <w:pPr>
        <w:pStyle w:val="RKrubrik"/>
        <w:spacing w:before="0" w:after="0" w:line="276" w:lineRule="auto"/>
      </w:pPr>
      <w:r>
        <w:tab/>
      </w:r>
      <w:r w:rsidRPr="00FC1A4A">
        <w:t xml:space="preserve">(Cancún, Mexiko, den 4–17 december 2016) </w:t>
      </w:r>
    </w:p>
    <w:p w14:paraId="1E4067A4" w14:textId="77777777" w:rsidR="00FC1A4A" w:rsidRPr="00FC1A4A" w:rsidRDefault="00FC1A4A" w:rsidP="00FC1A4A">
      <w:pPr>
        <w:pStyle w:val="RKnormal"/>
      </w:pPr>
    </w:p>
    <w:p w14:paraId="4CDA7B37" w14:textId="25C55480" w:rsidR="00FC1A4A" w:rsidRDefault="00FC1A4A" w:rsidP="00FC1A4A">
      <w:pPr>
        <w:pStyle w:val="RKrubrik"/>
        <w:numPr>
          <w:ilvl w:val="0"/>
          <w:numId w:val="18"/>
        </w:numPr>
        <w:spacing w:before="0" w:after="0" w:line="276" w:lineRule="auto"/>
      </w:pPr>
      <w:r w:rsidRPr="00FC1A4A">
        <w:t xml:space="preserve">Förberedelser inför det andra mötet i partskonferensen för konventionen om biologisk mångfald i dess egenskap av möte mellan parterna i Nagoyaprotokollet (COP-MOP 2) (Cancún, Mexiko, den 4–17 december 2016) </w:t>
      </w:r>
    </w:p>
    <w:p w14:paraId="27D4B235" w14:textId="77777777" w:rsidR="00FC1A4A" w:rsidRPr="00FC1A4A" w:rsidRDefault="00FC1A4A" w:rsidP="00FC1A4A">
      <w:pPr>
        <w:pStyle w:val="RKnormal"/>
        <w:ind w:left="720"/>
      </w:pPr>
    </w:p>
    <w:p w14:paraId="7B9A55B0" w14:textId="0866965F" w:rsidR="003C4EC1" w:rsidRDefault="00FC1A4A" w:rsidP="00FC1A4A">
      <w:pPr>
        <w:pStyle w:val="Rubrik3"/>
        <w:numPr>
          <w:ilvl w:val="0"/>
          <w:numId w:val="17"/>
        </w:numPr>
        <w:spacing w:before="0"/>
        <w:ind w:left="1843" w:hanging="425"/>
        <w:textAlignment w:val="auto"/>
        <w:rPr>
          <w:i/>
        </w:rPr>
      </w:pPr>
      <w:r w:rsidRPr="00FC1A4A">
        <w:rPr>
          <w:i/>
        </w:rPr>
        <w:t xml:space="preserve"> Antagande</w:t>
      </w:r>
    </w:p>
    <w:p w14:paraId="1FC5F577" w14:textId="77777777" w:rsidR="00FC1A4A" w:rsidRPr="00FC1A4A" w:rsidRDefault="00FC1A4A" w:rsidP="00FC1A4A">
      <w:pPr>
        <w:pStyle w:val="RKnormal"/>
      </w:pPr>
    </w:p>
    <w:p w14:paraId="7D263A1F" w14:textId="1608C822" w:rsidR="00814646" w:rsidRDefault="00FC1A4A" w:rsidP="003C4EC1">
      <w:pPr>
        <w:pStyle w:val="RKrubrik"/>
        <w:spacing w:before="0" w:after="0" w:line="276" w:lineRule="auto"/>
      </w:pPr>
      <w:r>
        <w:t xml:space="preserve">Avsikten med </w:t>
      </w:r>
      <w:r w:rsidR="00814646">
        <w:t>behandling i rådet</w:t>
      </w:r>
    </w:p>
    <w:p w14:paraId="3E90B8D0" w14:textId="0DDD518B" w:rsidR="00814646" w:rsidRDefault="00814646" w:rsidP="00814646">
      <w:pPr>
        <w:pStyle w:val="RKnormal"/>
      </w:pPr>
      <w:r>
        <w:t>Rådet förväntas anta rådsslutsatser om EU:s förhandlingsmandat inför CBD</w:t>
      </w:r>
      <w:r w:rsidR="003F5AE3">
        <w:t>:</w:t>
      </w:r>
      <w:r>
        <w:t xml:space="preserve">s partsmöte och dess två protokoll. </w:t>
      </w:r>
    </w:p>
    <w:p w14:paraId="7CF064AC" w14:textId="77777777" w:rsidR="003C4EC1" w:rsidRDefault="003C4EC1" w:rsidP="00814646">
      <w:pPr>
        <w:pStyle w:val="RKnormal"/>
      </w:pPr>
    </w:p>
    <w:p w14:paraId="510EDFA6" w14:textId="77777777" w:rsidR="00814646" w:rsidRDefault="00814646" w:rsidP="003C4EC1">
      <w:pPr>
        <w:pStyle w:val="RKrubrik"/>
        <w:spacing w:before="0" w:after="0" w:line="276" w:lineRule="auto"/>
      </w:pPr>
      <w:r>
        <w:t>Bakgrund</w:t>
      </w:r>
    </w:p>
    <w:p w14:paraId="42A6C636" w14:textId="66B3F3B9" w:rsidR="00814646" w:rsidRDefault="00814646" w:rsidP="003C4EC1">
      <w:pPr>
        <w:pStyle w:val="RKnormal"/>
      </w:pPr>
      <w:r w:rsidRPr="003C4EC1">
        <w:t xml:space="preserve">Partsmöten för konventionen för biologisk mångfald (CBD) och dess två protokoll hålls </w:t>
      </w:r>
      <w:r w:rsidR="00D566B6">
        <w:t>parallellt den</w:t>
      </w:r>
      <w:r w:rsidRPr="003C4EC1">
        <w:t xml:space="preserve"> 4-17 december 2016 i Cancun. Rådsslutsatserna är EU:s förhandlingsmandat inför partsmöten med konventionen och dess två protokoll.</w:t>
      </w:r>
    </w:p>
    <w:p w14:paraId="1D54E837" w14:textId="77777777" w:rsidR="003C4EC1" w:rsidRPr="003C4EC1" w:rsidRDefault="003C4EC1" w:rsidP="003C4EC1">
      <w:pPr>
        <w:pStyle w:val="RKnormal"/>
      </w:pPr>
    </w:p>
    <w:p w14:paraId="3B466CB2" w14:textId="52D90248" w:rsidR="00814646" w:rsidRDefault="009D49DF" w:rsidP="00814646">
      <w:pPr>
        <w:pStyle w:val="RKnormal"/>
      </w:pPr>
      <w:r>
        <w:t>Slutsatserna är uppdela</w:t>
      </w:r>
      <w:r w:rsidR="00511F16">
        <w:t>de</w:t>
      </w:r>
      <w:r>
        <w:t xml:space="preserve"> i tre delar, del ett handlar om COP 13, del två</w:t>
      </w:r>
      <w:r w:rsidR="00814646">
        <w:t xml:space="preserve"> handlar om Cartagenaprotokollets partsmöte och del tre handlar om Nagoyaprotokollets partsmöte. En gemensam del hanterar frågor som berör både konventionen och </w:t>
      </w:r>
      <w:r>
        <w:t xml:space="preserve">protokollen. </w:t>
      </w:r>
    </w:p>
    <w:p w14:paraId="6765E89D" w14:textId="77777777" w:rsidR="00671DA8" w:rsidRDefault="00671DA8" w:rsidP="00814646">
      <w:pPr>
        <w:pStyle w:val="RKnormal"/>
      </w:pPr>
    </w:p>
    <w:p w14:paraId="4BCBA207" w14:textId="21DBFAEB" w:rsidR="004A6E25" w:rsidRDefault="004A6E25" w:rsidP="004A6E25">
      <w:pPr>
        <w:rPr>
          <w:u w:val="single"/>
        </w:rPr>
      </w:pPr>
      <w:r>
        <w:rPr>
          <w:u w:val="single"/>
        </w:rPr>
        <w:t>COP 13</w:t>
      </w:r>
    </w:p>
    <w:p w14:paraId="666EA7B3" w14:textId="5E13CB3F" w:rsidR="004A6E25" w:rsidRPr="0089312F" w:rsidRDefault="00814646" w:rsidP="004A6E25">
      <w:r w:rsidRPr="004A6E25">
        <w:t>Målen för</w:t>
      </w:r>
      <w:r>
        <w:t xml:space="preserve"> arbetet inom konventionen</w:t>
      </w:r>
      <w:r w:rsidR="00D566B6">
        <w:t xml:space="preserve"> för biologisk mångfald</w:t>
      </w:r>
      <w:r>
        <w:t xml:space="preserve"> är att bevara och hållbart nyttja den biologiska mångfalden och att nyttan av att använda genetiska resurser ska fördelas rättvist. </w:t>
      </w:r>
      <w:r w:rsidR="004A6E25" w:rsidRPr="0089312F">
        <w:t xml:space="preserve">Rådsslutsatserna går igenom de stora områdena som kommer att diskuteras på CBDs partsmöte (COP 13). Det inkluderar framsteg i arbetet med den </w:t>
      </w:r>
      <w:r w:rsidR="004A6E25" w:rsidRPr="0089312F">
        <w:lastRenderedPageBreak/>
        <w:t>strategiska planen, sektorsintegrering av biologisk mångfald, koppling till klimatförändringar, arbetet med skyddade områden och ekosystemrestaurering, marin biologisk mångfald, invasiva främmande arter och frågor som rör traditionell och lokal kunskap. Horisontella frågor som rör både konventionen och dess två protokoll är syntetisk biologi, kapacitetsuppbyggnad</w:t>
      </w:r>
      <w:r w:rsidR="004A6E25">
        <w:t xml:space="preserve"> och</w:t>
      </w:r>
      <w:r w:rsidR="004A6E25" w:rsidRPr="0089312F">
        <w:t xml:space="preserve"> frågor som rör budgeten. </w:t>
      </w:r>
    </w:p>
    <w:p w14:paraId="3A7BEDAB" w14:textId="77777777" w:rsidR="004A6E25" w:rsidRDefault="004A6E25" w:rsidP="004A6E25"/>
    <w:p w14:paraId="0F35C937" w14:textId="1D74ED2B" w:rsidR="004A6E25" w:rsidRPr="004A6E25" w:rsidRDefault="004A6E25" w:rsidP="004A6E25">
      <w:pPr>
        <w:rPr>
          <w:u w:val="single"/>
        </w:rPr>
      </w:pPr>
      <w:r>
        <w:rPr>
          <w:u w:val="single"/>
        </w:rPr>
        <w:t>Cartagenaprotokollet</w:t>
      </w:r>
    </w:p>
    <w:p w14:paraId="6AFBD0C5" w14:textId="1CFB3FEB" w:rsidR="004A6E25" w:rsidRPr="0089312F" w:rsidRDefault="00814646" w:rsidP="004A6E25">
      <w:pPr>
        <w:pStyle w:val="RKnormal"/>
      </w:pPr>
      <w:r w:rsidRPr="004A6E25">
        <w:t xml:space="preserve">Cartagenaprotokollet </w:t>
      </w:r>
      <w:r w:rsidRPr="004A6E25">
        <w:rPr>
          <w:szCs w:val="24"/>
        </w:rPr>
        <w:t>om biosäkerhet</w:t>
      </w:r>
      <w:r>
        <w:rPr>
          <w:sz w:val="28"/>
        </w:rPr>
        <w:t xml:space="preserve"> </w:t>
      </w:r>
      <w:r>
        <w:t xml:space="preserve">vid gränsöverskridande transporter av levande genetiskt modifierade organismer (LMO) reglerar hantering av </w:t>
      </w:r>
      <w:r w:rsidR="003F5AE3">
        <w:t>L</w:t>
      </w:r>
      <w:r>
        <w:t xml:space="preserve">MO:s på global nivå vilket underlättar för både forskning och industri. Protokollet ger parterna till protokollet en rättslig grund för att själva avgöra om levande modifierade organismer ska </w:t>
      </w:r>
      <w:r w:rsidR="00DD1014">
        <w:t xml:space="preserve">få föras in i landet eller inte. </w:t>
      </w:r>
      <w:r w:rsidR="004A6E25" w:rsidRPr="0089312F">
        <w:t xml:space="preserve">Rådsslutsatserna </w:t>
      </w:r>
      <w:r w:rsidR="004A6E25">
        <w:t>utgör</w:t>
      </w:r>
      <w:r w:rsidR="004A6E25" w:rsidRPr="0089312F">
        <w:t xml:space="preserve"> EU:s förhandlingsmandat inför Cartagena</w:t>
      </w:r>
      <w:r w:rsidR="004A6E25" w:rsidRPr="0089312F">
        <w:softHyphen/>
        <w:t>protokollets partsmöte (COP-MOP 8). EU framhåller bland annat vikten av ett effektivt genomförande av protokollet och uppmuntrar parterna att lämna in den tredje nationella genomföranderapporten. EU understryker vidare betydelsen av miljöriskbedömningar när beslut avseende levande GMOs tas samt uppmuntrar parterna att överväga fortsatt arbete avseende socioekonomiska överväganden.</w:t>
      </w:r>
    </w:p>
    <w:p w14:paraId="378AF81F" w14:textId="77777777" w:rsidR="00814646" w:rsidRDefault="00814646" w:rsidP="00814646">
      <w:pPr>
        <w:pStyle w:val="RKnormal"/>
      </w:pPr>
    </w:p>
    <w:p w14:paraId="29BB4837" w14:textId="07324577" w:rsidR="004A6E25" w:rsidRPr="004A6E25" w:rsidRDefault="004A6E25" w:rsidP="00814646">
      <w:pPr>
        <w:pStyle w:val="RKnormal"/>
      </w:pPr>
      <w:r>
        <w:rPr>
          <w:u w:val="single"/>
        </w:rPr>
        <w:t>Nagoyaprotokollet</w:t>
      </w:r>
    </w:p>
    <w:p w14:paraId="21B0C6B0" w14:textId="2BE9BC4C" w:rsidR="00814646" w:rsidRPr="0089312F" w:rsidRDefault="00814646" w:rsidP="00814646">
      <w:pPr>
        <w:pStyle w:val="RKnormal"/>
      </w:pPr>
      <w:r w:rsidRPr="004A6E25">
        <w:rPr>
          <w:iCs/>
        </w:rPr>
        <w:t xml:space="preserve">Nagoyaprotokollet </w:t>
      </w:r>
      <w:r w:rsidRPr="004A6E25">
        <w:t xml:space="preserve">om tillträde till genetiska resurser samt rimlig och rättvis fördelning </w:t>
      </w:r>
      <w:r w:rsidRPr="004A6E25">
        <w:rPr>
          <w:iCs/>
        </w:rPr>
        <w:t>av den nytta som uppstår vid deras användning</w:t>
      </w:r>
      <w:r w:rsidRPr="004A6E25">
        <w:t xml:space="preserve"> är ett</w:t>
      </w:r>
      <w:r>
        <w:t xml:space="preserve"> tilläggsprotokoll till konventionen om biologisk mångfald.</w:t>
      </w:r>
      <w:r w:rsidR="004A6E25">
        <w:t xml:space="preserve"> Det syftar bland annat till att genomföra målet om rättvis</w:t>
      </w:r>
      <w:r>
        <w:t xml:space="preserve"> och skälig</w:t>
      </w:r>
      <w:r w:rsidR="004A6E25">
        <w:t xml:space="preserve"> fördelning</w:t>
      </w:r>
      <w:r>
        <w:t xml:space="preserve"> av den nytta som uppstår vid användning</w:t>
      </w:r>
      <w:r w:rsidR="004A6E25">
        <w:t xml:space="preserve"> av genetiska resurser. </w:t>
      </w:r>
      <w:r w:rsidR="001F3233" w:rsidRPr="0089312F">
        <w:t>Rådsslutsatserna utgör</w:t>
      </w:r>
      <w:r w:rsidRPr="0089312F">
        <w:t xml:space="preserve"> även ett mandat för Nagoyaprotokollets partsmöte (COP-MOP 2) där EU bland annat uppmanar alla parter att ratificera protokollet och arbeta för dess genomförande.</w:t>
      </w:r>
    </w:p>
    <w:p w14:paraId="2F0D0F2A" w14:textId="77777777" w:rsidR="003C4EC1" w:rsidRDefault="003C4EC1" w:rsidP="00814646">
      <w:pPr>
        <w:pStyle w:val="RKnormal"/>
      </w:pPr>
    </w:p>
    <w:p w14:paraId="15C30EE7" w14:textId="77777777" w:rsidR="00814646" w:rsidRPr="003C4EC1" w:rsidRDefault="00814646" w:rsidP="003C4EC1">
      <w:pPr>
        <w:pStyle w:val="RKnormal"/>
        <w:rPr>
          <w:rFonts w:ascii="TradeGothic" w:hAnsi="TradeGothic"/>
          <w:b/>
          <w:sz w:val="22"/>
          <w:szCs w:val="22"/>
        </w:rPr>
      </w:pPr>
      <w:r w:rsidRPr="003C4EC1">
        <w:rPr>
          <w:rFonts w:ascii="TradeGothic" w:hAnsi="TradeGothic"/>
          <w:b/>
          <w:sz w:val="22"/>
          <w:szCs w:val="22"/>
        </w:rPr>
        <w:t>Förslag till svensk ståndpunkt</w:t>
      </w:r>
    </w:p>
    <w:p w14:paraId="31124ED2" w14:textId="77777777" w:rsidR="00082AF9" w:rsidRDefault="00082AF9" w:rsidP="00082AF9">
      <w:pPr>
        <w:pStyle w:val="RKnormal"/>
      </w:pPr>
      <w:r>
        <w:t xml:space="preserve">Regeringen anser att Sverige bör stödja de föreslagna rådsslutsatserna som enligt regeringens uppfattning kommer fungera som en bra grund för förhandlingarna vid partsmöten för CBD och dess protokoll.  </w:t>
      </w:r>
    </w:p>
    <w:p w14:paraId="266697F2" w14:textId="77777777" w:rsidR="00082AF9" w:rsidRDefault="00082AF9" w:rsidP="00082AF9">
      <w:pPr>
        <w:pStyle w:val="RKnormal"/>
      </w:pPr>
    </w:p>
    <w:p w14:paraId="3D659ABE" w14:textId="77777777" w:rsidR="00082AF9" w:rsidRDefault="00082AF9" w:rsidP="00082AF9">
      <w:pPr>
        <w:pStyle w:val="RKnormal"/>
      </w:pPr>
      <w:r>
        <w:t xml:space="preserve">Regeringen anser att förslaget till rådsslutsatser tillgodoser de svenska prioriteringarna inför CBD:s partsmöte. Sverige har bland annat fått gehör för att lyfta fram vikten av att genomföra CBD:s strategiska plan, vikten av bra beslut om integrering av biologisk mångfald i berörda sektorer samt bra skrivningar om ekosystems värde, vikten av bra förutsättningar för arbetet inklusive näringslivets deltagande. Vidare har Sverige fått gehör för att lyfta fram vikten av jämställdhet samt vikten av att fasa ut subsidier som är skadliga för den biologiska mångfalden. </w:t>
      </w:r>
    </w:p>
    <w:p w14:paraId="38A6A607" w14:textId="77777777" w:rsidR="00082AF9" w:rsidRDefault="00082AF9" w:rsidP="00082AF9">
      <w:pPr>
        <w:pStyle w:val="RKnormal"/>
      </w:pPr>
    </w:p>
    <w:p w14:paraId="48DFE798" w14:textId="489FA2C8" w:rsidR="00082AF9" w:rsidRDefault="00082AF9" w:rsidP="00082AF9">
      <w:pPr>
        <w:pStyle w:val="RKnormal"/>
      </w:pPr>
      <w:r>
        <w:t xml:space="preserve">Sverige har också bidragit till balanserade rådsslutsatser ifråga om syntetisk biologi. Den pågående diskussionen om syntetisk biologi syftar </w:t>
      </w:r>
      <w:r>
        <w:lastRenderedPageBreak/>
        <w:t>till att stödja fortsatt arbete med att klargöra avgränsningar för begreppet och dess relation till arbetet under Cartagenaprotokollet och Nagoyaprotokollet.</w:t>
      </w:r>
      <w:r w:rsidRPr="00082AF9">
        <w:t xml:space="preserve"> Det kan förväntas vid rådsmötet en fortsatt diskussion avsee</w:t>
      </w:r>
      <w:r w:rsidR="008162CF">
        <w:t xml:space="preserve">nde texten om syntetisk biologi, </w:t>
      </w:r>
      <w:r w:rsidR="008162CF" w:rsidRPr="00082AF9">
        <w:t xml:space="preserve">där </w:t>
      </w:r>
      <w:r w:rsidR="008162CF">
        <w:t>några medlemsländer vill förstärka och andra vill</w:t>
      </w:r>
      <w:r w:rsidR="008162CF" w:rsidRPr="00082AF9">
        <w:t xml:space="preserve"> försvaga</w:t>
      </w:r>
      <w:r w:rsidR="008162CF">
        <w:t xml:space="preserve"> texten.</w:t>
      </w:r>
      <w:r w:rsidRPr="00082AF9">
        <w:t xml:space="preserve"> Regeringen an</w:t>
      </w:r>
      <w:r w:rsidR="008162CF">
        <w:t xml:space="preserve">ser dock att ordförandeskapets förslag </w:t>
      </w:r>
      <w:r w:rsidRPr="00082AF9">
        <w:t>kan stödjas och anser generellt att paragraferna inte ska bli för detaljerade. Eftersom definitionen av syntetisk biologi är fortsatt under diskussion är det viktigt att inte låsa in sig i detaljer eller förstärka texten i detta avsnitt.</w:t>
      </w:r>
    </w:p>
    <w:p w14:paraId="39ADE901" w14:textId="77777777" w:rsidR="00082AF9" w:rsidRPr="00082AF9" w:rsidRDefault="00082AF9" w:rsidP="00082AF9">
      <w:pPr>
        <w:pStyle w:val="RKnormal"/>
      </w:pPr>
    </w:p>
    <w:p w14:paraId="50C49366" w14:textId="77777777" w:rsidR="00082AF9" w:rsidRPr="00082AF9" w:rsidRDefault="00082AF9" w:rsidP="00082AF9">
      <w:pPr>
        <w:pStyle w:val="RKnormal"/>
      </w:pPr>
      <w:r w:rsidRPr="00082AF9">
        <w:t>Regeringen anser vidare att tidigare CBD-beslut om att använda begreppet ”urfolk och lokala samhällen” i CBD-beslut och CBD-dokument ska följas. Regeringen stödjer därför även rekommendationerna till partsmötena för Cartagenaprotokollet och Nagoyaprokollet om att använda ”urfolk och lokala samhällen” i kommande beslut och dokument.</w:t>
      </w:r>
    </w:p>
    <w:p w14:paraId="2057A073" w14:textId="77777777" w:rsidR="00082AF9" w:rsidRDefault="00082AF9" w:rsidP="00082AF9">
      <w:pPr>
        <w:pStyle w:val="RKnormal"/>
      </w:pPr>
    </w:p>
    <w:p w14:paraId="5CB320EF" w14:textId="77777777" w:rsidR="00082AF9" w:rsidRDefault="00082AF9" w:rsidP="00082AF9">
      <w:pPr>
        <w:pStyle w:val="RKnormal"/>
      </w:pPr>
      <w:r>
        <w:t xml:space="preserve">Regeringen anser att förslaget till rådsslutsatser avseende Cartagenaprotokollet tillgodoser den svenska strävan att fortsatt ha bra system för kontroll, spårbarhet och märkning av levande GMO:s. </w:t>
      </w:r>
    </w:p>
    <w:p w14:paraId="5F0363C3" w14:textId="77777777" w:rsidR="00082AF9" w:rsidRDefault="00082AF9" w:rsidP="00082AF9">
      <w:pPr>
        <w:pStyle w:val="RKnormal"/>
      </w:pPr>
      <w:r>
        <w:t> </w:t>
      </w:r>
    </w:p>
    <w:p w14:paraId="2017221C" w14:textId="77777777" w:rsidR="00082AF9" w:rsidRDefault="00082AF9" w:rsidP="00082AF9">
      <w:pPr>
        <w:pStyle w:val="RKnormal"/>
      </w:pPr>
      <w:r>
        <w:t xml:space="preserve">Vad gäller Nagoyaprotokollet ger rådsslutsatserna en bra grund för diskussionerna på partsmötet. I rådsslutsatserna betonas vikten av att alla parter ratificerar protokollet. </w:t>
      </w:r>
    </w:p>
    <w:p w14:paraId="6B6942AD" w14:textId="6A28E0DA" w:rsidR="008A0D77" w:rsidRDefault="008A0D77" w:rsidP="00814646">
      <w:pPr>
        <w:pStyle w:val="rknormal0"/>
      </w:pPr>
    </w:p>
    <w:p w14:paraId="045C7609" w14:textId="769FC0EC" w:rsidR="008A0D77" w:rsidRDefault="008A0D77" w:rsidP="00814646">
      <w:pPr>
        <w:pStyle w:val="rknormal0"/>
      </w:pPr>
      <w:r w:rsidRPr="008A0D77">
        <w:rPr>
          <w:i/>
          <w:iCs/>
          <w:szCs w:val="23"/>
        </w:rPr>
        <w:t>Förslaget har inte tidigare behandlats i EU-nämnden.</w:t>
      </w:r>
    </w:p>
    <w:p w14:paraId="50EFC9A3" w14:textId="77777777" w:rsidR="00194E6F" w:rsidRDefault="00194E6F" w:rsidP="00194E6F">
      <w:pPr>
        <w:pStyle w:val="DashEqual1"/>
        <w:numPr>
          <w:ilvl w:val="0"/>
          <w:numId w:val="0"/>
        </w:numPr>
        <w:ind w:left="1134" w:hanging="567"/>
      </w:pPr>
    </w:p>
    <w:p w14:paraId="1A175785" w14:textId="77777777" w:rsidR="00A87189" w:rsidRDefault="00A87189" w:rsidP="00A87189">
      <w:pPr>
        <w:pStyle w:val="DashEqual1"/>
        <w:numPr>
          <w:ilvl w:val="0"/>
          <w:numId w:val="0"/>
        </w:numPr>
        <w:ind w:left="1134"/>
      </w:pPr>
    </w:p>
    <w:p w14:paraId="75EED833" w14:textId="77777777" w:rsidR="00FC1A4A" w:rsidRPr="00FC1A4A" w:rsidRDefault="00FC1A4A" w:rsidP="00FC1A4A">
      <w:pPr>
        <w:pStyle w:val="RKrubrik"/>
        <w:spacing w:before="0" w:after="0" w:line="276" w:lineRule="auto"/>
      </w:pPr>
      <w:r w:rsidRPr="00FC1A4A">
        <w:t xml:space="preserve">6. Utkast till rådets slutsatser om hållbar vattenförvaltning </w:t>
      </w:r>
    </w:p>
    <w:p w14:paraId="66E9031A" w14:textId="559B2264" w:rsidR="00FC1A4A" w:rsidRPr="00FC1A4A" w:rsidRDefault="00FC1A4A" w:rsidP="00FC1A4A">
      <w:pPr>
        <w:pStyle w:val="Rubrik3"/>
        <w:numPr>
          <w:ilvl w:val="0"/>
          <w:numId w:val="17"/>
        </w:numPr>
        <w:spacing w:before="0"/>
        <w:ind w:left="1843" w:hanging="425"/>
        <w:textAlignment w:val="auto"/>
        <w:rPr>
          <w:i/>
        </w:rPr>
      </w:pPr>
      <w:r w:rsidRPr="00FC1A4A">
        <w:rPr>
          <w:i/>
        </w:rPr>
        <w:t xml:space="preserve">Antagande </w:t>
      </w:r>
    </w:p>
    <w:p w14:paraId="256C8286" w14:textId="77777777" w:rsidR="009045E3" w:rsidRPr="00117AA8" w:rsidRDefault="009045E3" w:rsidP="009045E3">
      <w:pPr>
        <w:pStyle w:val="RKnormal"/>
        <w:rPr>
          <w:rFonts w:ascii="TradeGothic" w:hAnsi="TradeGothic"/>
          <w:sz w:val="22"/>
          <w:szCs w:val="22"/>
        </w:rPr>
      </w:pPr>
    </w:p>
    <w:p w14:paraId="4ED81723" w14:textId="77777777" w:rsidR="009045E3" w:rsidRDefault="009045E3" w:rsidP="009045E3">
      <w:pPr>
        <w:pStyle w:val="RKnormal"/>
        <w:rPr>
          <w:rFonts w:ascii="TradeGothic" w:hAnsi="TradeGothic"/>
          <w:b/>
          <w:sz w:val="22"/>
          <w:szCs w:val="22"/>
        </w:rPr>
      </w:pPr>
      <w:r>
        <w:rPr>
          <w:rFonts w:ascii="TradeGothic" w:hAnsi="TradeGothic"/>
          <w:b/>
          <w:sz w:val="22"/>
          <w:szCs w:val="22"/>
        </w:rPr>
        <w:t>Avsikten med behandlingen i rådet</w:t>
      </w:r>
    </w:p>
    <w:p w14:paraId="52FC65FE" w14:textId="07B004B5" w:rsidR="009045E3" w:rsidRPr="00E742FD" w:rsidRDefault="009045E3" w:rsidP="009045E3">
      <w:pPr>
        <w:pStyle w:val="RKnormal"/>
        <w:rPr>
          <w:szCs w:val="24"/>
        </w:rPr>
      </w:pPr>
      <w:r w:rsidRPr="00E742FD">
        <w:rPr>
          <w:szCs w:val="24"/>
        </w:rPr>
        <w:t xml:space="preserve">Rådet förväntas anta </w:t>
      </w:r>
      <w:r w:rsidR="003C4EC1">
        <w:rPr>
          <w:szCs w:val="24"/>
        </w:rPr>
        <w:t>rådsslutsatser om h</w:t>
      </w:r>
      <w:r w:rsidRPr="00E742FD">
        <w:rPr>
          <w:szCs w:val="24"/>
        </w:rPr>
        <w:t>ållbar vattenförvaltning</w:t>
      </w:r>
      <w:r w:rsidR="0089312F">
        <w:rPr>
          <w:szCs w:val="24"/>
        </w:rPr>
        <w:t>.</w:t>
      </w:r>
      <w:r w:rsidRPr="00E742FD">
        <w:rPr>
          <w:szCs w:val="24"/>
        </w:rPr>
        <w:t xml:space="preserve"> </w:t>
      </w:r>
    </w:p>
    <w:p w14:paraId="37E197AB" w14:textId="77777777" w:rsidR="009045E3" w:rsidRPr="00117AA8" w:rsidRDefault="009045E3" w:rsidP="009045E3">
      <w:pPr>
        <w:pStyle w:val="RKnormal"/>
        <w:rPr>
          <w:rFonts w:ascii="TradeGothic" w:hAnsi="TradeGothic"/>
          <w:sz w:val="22"/>
          <w:szCs w:val="22"/>
        </w:rPr>
      </w:pPr>
    </w:p>
    <w:p w14:paraId="64843F27" w14:textId="77777777" w:rsidR="009045E3" w:rsidRDefault="009045E3" w:rsidP="009045E3">
      <w:pPr>
        <w:pStyle w:val="RKnormal"/>
        <w:rPr>
          <w:rFonts w:ascii="TradeGothic" w:hAnsi="TradeGothic"/>
          <w:b/>
          <w:sz w:val="22"/>
          <w:szCs w:val="22"/>
        </w:rPr>
      </w:pPr>
      <w:r>
        <w:rPr>
          <w:rFonts w:ascii="TradeGothic" w:hAnsi="TradeGothic"/>
          <w:b/>
          <w:sz w:val="22"/>
          <w:szCs w:val="22"/>
        </w:rPr>
        <w:t>Bakgrund</w:t>
      </w:r>
    </w:p>
    <w:p w14:paraId="4077B8AC" w14:textId="6DDFFDC4" w:rsidR="009045E3" w:rsidRPr="00E742FD" w:rsidRDefault="003748F7" w:rsidP="009045E3">
      <w:pPr>
        <w:pStyle w:val="RKnormal"/>
        <w:rPr>
          <w:szCs w:val="24"/>
        </w:rPr>
      </w:pPr>
      <w:r>
        <w:rPr>
          <w:szCs w:val="24"/>
        </w:rPr>
        <w:t>Utkastet till rådsslutsatser är en uppföljning på den konferens som arrangerades av det slovakiska ordförandeskapet den 11</w:t>
      </w:r>
      <w:r w:rsidR="009045E3" w:rsidRPr="00E742FD">
        <w:rPr>
          <w:szCs w:val="24"/>
        </w:rPr>
        <w:t xml:space="preserve"> juli 2016 </w:t>
      </w:r>
      <w:r>
        <w:rPr>
          <w:szCs w:val="24"/>
        </w:rPr>
        <w:t>i samband med det</w:t>
      </w:r>
      <w:r w:rsidR="009045E3" w:rsidRPr="00E742FD">
        <w:rPr>
          <w:szCs w:val="24"/>
        </w:rPr>
        <w:t xml:space="preserve"> informell</w:t>
      </w:r>
      <w:r>
        <w:rPr>
          <w:szCs w:val="24"/>
        </w:rPr>
        <w:t>a</w:t>
      </w:r>
      <w:r w:rsidR="009045E3" w:rsidRPr="00E742FD">
        <w:rPr>
          <w:szCs w:val="24"/>
        </w:rPr>
        <w:t xml:space="preserve"> klimat- och miljöministermöte</w:t>
      </w:r>
      <w:r>
        <w:rPr>
          <w:szCs w:val="24"/>
        </w:rPr>
        <w:t>t</w:t>
      </w:r>
      <w:r w:rsidR="009045E3" w:rsidRPr="00E742FD">
        <w:rPr>
          <w:szCs w:val="24"/>
        </w:rPr>
        <w:t xml:space="preserve"> i Bratislava. Vid mötet diskuterades utmaningar för vattenförvaltningen</w:t>
      </w:r>
      <w:r>
        <w:rPr>
          <w:szCs w:val="24"/>
        </w:rPr>
        <w:t xml:space="preserve"> i ljuset av klimatförändringar</w:t>
      </w:r>
      <w:r w:rsidR="009045E3" w:rsidRPr="00E742FD">
        <w:rPr>
          <w:szCs w:val="24"/>
        </w:rPr>
        <w:t>, i synnerhet vad gäller vattenbrist och torka. Ett klargörande av vilka gemensamma mål och vilka de gemensamma principerna på EU-nivå ska vara efterlystes.</w:t>
      </w:r>
    </w:p>
    <w:p w14:paraId="4BF481D7" w14:textId="77777777" w:rsidR="009045E3" w:rsidRPr="00E742FD" w:rsidRDefault="009045E3" w:rsidP="009045E3">
      <w:pPr>
        <w:pStyle w:val="RKnormal"/>
        <w:rPr>
          <w:szCs w:val="24"/>
        </w:rPr>
      </w:pPr>
    </w:p>
    <w:p w14:paraId="7E25E965" w14:textId="154EAF71" w:rsidR="009045E3" w:rsidRDefault="009045E3" w:rsidP="009045E3">
      <w:pPr>
        <w:pStyle w:val="RKnormal"/>
        <w:rPr>
          <w:szCs w:val="24"/>
        </w:rPr>
      </w:pPr>
      <w:r>
        <w:rPr>
          <w:szCs w:val="24"/>
        </w:rPr>
        <w:t>R</w:t>
      </w:r>
      <w:r w:rsidRPr="00E742FD">
        <w:rPr>
          <w:szCs w:val="24"/>
        </w:rPr>
        <w:t>ådsslutsatser</w:t>
      </w:r>
      <w:r>
        <w:rPr>
          <w:szCs w:val="24"/>
        </w:rPr>
        <w:t>na</w:t>
      </w:r>
      <w:r w:rsidRPr="00E742FD">
        <w:rPr>
          <w:szCs w:val="24"/>
        </w:rPr>
        <w:t xml:space="preserve"> </w:t>
      </w:r>
      <w:r w:rsidR="003C4EC1">
        <w:rPr>
          <w:szCs w:val="24"/>
        </w:rPr>
        <w:t>syftar främst</w:t>
      </w:r>
      <w:r w:rsidRPr="00E742FD">
        <w:rPr>
          <w:szCs w:val="24"/>
        </w:rPr>
        <w:t xml:space="preserve"> till att klargöra mål och principer</w:t>
      </w:r>
      <w:r w:rsidR="003748F7">
        <w:rPr>
          <w:szCs w:val="24"/>
        </w:rPr>
        <w:t xml:space="preserve"> för hållbar vattenförvaltning</w:t>
      </w:r>
      <w:r w:rsidRPr="00E742FD">
        <w:rPr>
          <w:szCs w:val="24"/>
        </w:rPr>
        <w:t xml:space="preserve"> på en </w:t>
      </w:r>
      <w:r w:rsidR="003C4EC1">
        <w:rPr>
          <w:szCs w:val="24"/>
        </w:rPr>
        <w:t>övergripande</w:t>
      </w:r>
      <w:r w:rsidRPr="00E742FD">
        <w:rPr>
          <w:szCs w:val="24"/>
        </w:rPr>
        <w:t xml:space="preserve"> EU-nivå. </w:t>
      </w:r>
      <w:r w:rsidR="003748F7">
        <w:rPr>
          <w:szCs w:val="24"/>
        </w:rPr>
        <w:t>I utkastet slås</w:t>
      </w:r>
      <w:r w:rsidRPr="00E742FD">
        <w:rPr>
          <w:szCs w:val="24"/>
        </w:rPr>
        <w:t xml:space="preserve"> fast att situationer med </w:t>
      </w:r>
      <w:r w:rsidR="003748F7">
        <w:rPr>
          <w:szCs w:val="24"/>
        </w:rPr>
        <w:t>vattenbrist och torka i EU</w:t>
      </w:r>
      <w:r w:rsidRPr="00E742FD">
        <w:rPr>
          <w:szCs w:val="24"/>
        </w:rPr>
        <w:t xml:space="preserve"> påverkas både av en ökad efterfrågan på vatten och a</w:t>
      </w:r>
      <w:r w:rsidR="003748F7">
        <w:rPr>
          <w:szCs w:val="24"/>
        </w:rPr>
        <w:t>v pågående klimatförändringar. I utkastet till rådsslutsatser</w:t>
      </w:r>
      <w:r w:rsidRPr="00E742FD">
        <w:rPr>
          <w:szCs w:val="24"/>
        </w:rPr>
        <w:t xml:space="preserve"> </w:t>
      </w:r>
      <w:r w:rsidR="003748F7">
        <w:rPr>
          <w:szCs w:val="24"/>
        </w:rPr>
        <w:t>betonas</w:t>
      </w:r>
      <w:r w:rsidRPr="00E742FD">
        <w:rPr>
          <w:szCs w:val="24"/>
        </w:rPr>
        <w:t xml:space="preserve"> vikten av att minsk</w:t>
      </w:r>
      <w:r w:rsidR="003748F7">
        <w:rPr>
          <w:szCs w:val="24"/>
        </w:rPr>
        <w:t xml:space="preserve">a vattenförbrukningen i EU </w:t>
      </w:r>
      <w:r w:rsidR="003748F7">
        <w:rPr>
          <w:szCs w:val="24"/>
        </w:rPr>
        <w:lastRenderedPageBreak/>
        <w:t>och</w:t>
      </w:r>
      <w:r w:rsidRPr="00E742FD">
        <w:rPr>
          <w:szCs w:val="24"/>
        </w:rPr>
        <w:t xml:space="preserve"> medlemsstaterna</w:t>
      </w:r>
      <w:r w:rsidR="003748F7">
        <w:rPr>
          <w:szCs w:val="24"/>
        </w:rPr>
        <w:t xml:space="preserve"> uppmanas</w:t>
      </w:r>
      <w:r w:rsidRPr="00E742FD">
        <w:rPr>
          <w:szCs w:val="24"/>
        </w:rPr>
        <w:t xml:space="preserve"> att vidta åtgärder för att uppnå en hållbar och effektiv vattenanvändning.</w:t>
      </w:r>
    </w:p>
    <w:p w14:paraId="0F77D529" w14:textId="77777777" w:rsidR="009045E3" w:rsidRDefault="009045E3" w:rsidP="009045E3">
      <w:pPr>
        <w:pStyle w:val="RKnormal"/>
        <w:rPr>
          <w:szCs w:val="24"/>
        </w:rPr>
      </w:pPr>
    </w:p>
    <w:p w14:paraId="3AD8EAD2" w14:textId="77777777" w:rsidR="009045E3" w:rsidRPr="00B93BF7" w:rsidRDefault="009045E3" w:rsidP="009045E3">
      <w:pPr>
        <w:pStyle w:val="RKnormal"/>
        <w:rPr>
          <w:rFonts w:ascii="TradeGothic" w:hAnsi="TradeGothic"/>
          <w:b/>
          <w:sz w:val="22"/>
          <w:szCs w:val="22"/>
        </w:rPr>
      </w:pPr>
      <w:r>
        <w:rPr>
          <w:rFonts w:ascii="TradeGothic" w:hAnsi="TradeGothic"/>
          <w:b/>
          <w:sz w:val="22"/>
          <w:szCs w:val="22"/>
        </w:rPr>
        <w:t xml:space="preserve">Förslag till svensk ståndpunkt </w:t>
      </w:r>
    </w:p>
    <w:p w14:paraId="7D974596" w14:textId="108319A5" w:rsidR="009045E3" w:rsidRDefault="003C4EC1" w:rsidP="009045E3">
      <w:pPr>
        <w:pStyle w:val="RKnormal"/>
      </w:pPr>
      <w:r>
        <w:t xml:space="preserve">Regeringen anser att </w:t>
      </w:r>
      <w:r w:rsidR="009045E3">
        <w:t xml:space="preserve">Sverige kan ställa sig bakom rådsslutsatserna om </w:t>
      </w:r>
      <w:r>
        <w:t>h</w:t>
      </w:r>
      <w:r w:rsidR="009045E3">
        <w:t>ållbar vattenförvaltning.</w:t>
      </w:r>
    </w:p>
    <w:p w14:paraId="11020A5D" w14:textId="77777777" w:rsidR="0089312F" w:rsidRDefault="0089312F" w:rsidP="0089312F">
      <w:pPr>
        <w:pStyle w:val="RKnormal"/>
        <w:rPr>
          <w:szCs w:val="24"/>
        </w:rPr>
      </w:pPr>
    </w:p>
    <w:p w14:paraId="1222ACA1" w14:textId="16545958" w:rsidR="0089312F" w:rsidRDefault="0089312F" w:rsidP="0089312F">
      <w:pPr>
        <w:pStyle w:val="RKnormal"/>
        <w:rPr>
          <w:szCs w:val="24"/>
        </w:rPr>
      </w:pPr>
      <w:r>
        <w:rPr>
          <w:szCs w:val="24"/>
        </w:rPr>
        <w:t xml:space="preserve">Sverige har i förhandlingarna drivit och fått gehör för </w:t>
      </w:r>
      <w:r w:rsidRPr="00DE091D">
        <w:rPr>
          <w:szCs w:val="24"/>
        </w:rPr>
        <w:t xml:space="preserve">att en hållbar vattenförvaltning bygger på en integrerad förvaltning där många olika intressen berörs och där alla behöver ta ansvar. Sverige har </w:t>
      </w:r>
      <w:r>
        <w:rPr>
          <w:szCs w:val="24"/>
        </w:rPr>
        <w:t xml:space="preserve">vidare framhållit </w:t>
      </w:r>
      <w:r w:rsidRPr="00DE091D">
        <w:rPr>
          <w:szCs w:val="24"/>
        </w:rPr>
        <w:t xml:space="preserve">att förutsättningarna för att nå EU:s vattenpolitiska mål skiljer sig åt mellan länderna, och att rådsslutsatserna därför ska innehålla robusta och flexibla skrivningar som möjliggör för länder med olika förutsättningar att nå målen. </w:t>
      </w:r>
    </w:p>
    <w:p w14:paraId="244EA5DD" w14:textId="77777777" w:rsidR="008A0D77" w:rsidRDefault="008A0D77" w:rsidP="0089312F">
      <w:pPr>
        <w:pStyle w:val="RKnormal"/>
        <w:rPr>
          <w:szCs w:val="24"/>
        </w:rPr>
      </w:pPr>
    </w:p>
    <w:p w14:paraId="3F25B610" w14:textId="66C4BB34" w:rsidR="008A0D77" w:rsidRDefault="008A0D77" w:rsidP="008A0D77">
      <w:pPr>
        <w:pStyle w:val="RKnormal"/>
        <w:rPr>
          <w:rFonts w:ascii="Arial" w:eastAsiaTheme="minorEastAsia" w:hAnsi="Arial" w:cs="Arial"/>
          <w:noProof/>
          <w:color w:val="000000"/>
          <w:sz w:val="18"/>
          <w:szCs w:val="18"/>
          <w:lang w:eastAsia="sv-SE"/>
        </w:rPr>
      </w:pPr>
      <w:r w:rsidRPr="008A0D77">
        <w:rPr>
          <w:i/>
          <w:iCs/>
          <w:szCs w:val="23"/>
        </w:rPr>
        <w:t>Förslaget har inte tidigare behandlats i EU-nämnden.</w:t>
      </w:r>
    </w:p>
    <w:p w14:paraId="7B9091D9" w14:textId="77777777" w:rsidR="008A0D77" w:rsidRDefault="008A0D77" w:rsidP="0089312F">
      <w:pPr>
        <w:pStyle w:val="RKnormal"/>
        <w:rPr>
          <w:szCs w:val="24"/>
        </w:rPr>
      </w:pPr>
    </w:p>
    <w:p w14:paraId="53432FA5" w14:textId="77777777" w:rsidR="00D566B6" w:rsidRDefault="00D566B6" w:rsidP="00DE7B66">
      <w:pPr>
        <w:pStyle w:val="RKnormal"/>
        <w:rPr>
          <w:rFonts w:ascii="TradeGothic" w:hAnsi="TradeGothic"/>
          <w:b/>
          <w:sz w:val="22"/>
          <w:szCs w:val="22"/>
          <w:u w:val="single"/>
        </w:rPr>
      </w:pPr>
    </w:p>
    <w:p w14:paraId="164D3601" w14:textId="440AFE65" w:rsidR="003C4EC1" w:rsidRDefault="00DE7B66" w:rsidP="00DE7B66">
      <w:pPr>
        <w:pStyle w:val="RKnormal"/>
        <w:rPr>
          <w:rFonts w:ascii="TradeGothic" w:hAnsi="TradeGothic"/>
          <w:b/>
          <w:sz w:val="22"/>
          <w:szCs w:val="22"/>
          <w:u w:val="single"/>
        </w:rPr>
      </w:pPr>
      <w:r w:rsidRPr="00DE7B66">
        <w:rPr>
          <w:rFonts w:ascii="TradeGothic" w:hAnsi="TradeGothic"/>
          <w:b/>
          <w:sz w:val="22"/>
          <w:szCs w:val="22"/>
          <w:u w:val="single"/>
        </w:rPr>
        <w:t>Övriga frågor</w:t>
      </w:r>
    </w:p>
    <w:p w14:paraId="06B40AB2" w14:textId="77777777" w:rsidR="00DE7B66" w:rsidRDefault="00DE7B66" w:rsidP="00DE7B66">
      <w:pPr>
        <w:pStyle w:val="RKnormal"/>
        <w:rPr>
          <w:rFonts w:ascii="TradeGothic" w:hAnsi="TradeGothic"/>
          <w:b/>
          <w:sz w:val="22"/>
          <w:szCs w:val="22"/>
          <w:u w:val="single"/>
        </w:rPr>
      </w:pPr>
    </w:p>
    <w:p w14:paraId="0896463F" w14:textId="271ACD16" w:rsidR="00DE7B66" w:rsidRDefault="00DE7B66" w:rsidP="00DE7B66">
      <w:pPr>
        <w:pStyle w:val="RKnormal"/>
        <w:rPr>
          <w:rFonts w:ascii="TradeGothic" w:hAnsi="TradeGothic"/>
          <w:b/>
          <w:sz w:val="22"/>
          <w:szCs w:val="22"/>
        </w:rPr>
      </w:pPr>
      <w:r>
        <w:rPr>
          <w:rFonts w:ascii="TradeGothic" w:hAnsi="TradeGothic"/>
          <w:b/>
          <w:sz w:val="22"/>
          <w:szCs w:val="22"/>
        </w:rPr>
        <w:t xml:space="preserve">7. </w:t>
      </w:r>
    </w:p>
    <w:p w14:paraId="1BCD1E94" w14:textId="77777777" w:rsidR="00DE7B66" w:rsidRDefault="00DE7B66" w:rsidP="00DE7B66">
      <w:pPr>
        <w:pStyle w:val="RKnormal"/>
        <w:rPr>
          <w:rFonts w:ascii="TradeGothic" w:hAnsi="TradeGothic"/>
          <w:b/>
          <w:sz w:val="22"/>
          <w:szCs w:val="22"/>
        </w:rPr>
      </w:pPr>
    </w:p>
    <w:p w14:paraId="50806CA4"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a) 28:e partsmötet (MOP28) för Montrealprotokollet om ämnen som </w:t>
      </w:r>
    </w:p>
    <w:p w14:paraId="69D4B7BA"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bryter ned ozonskiktet </w:t>
      </w:r>
    </w:p>
    <w:p w14:paraId="209946D8" w14:textId="4CCC9AB0" w:rsidR="00DE7B66" w:rsidRDefault="00DE7B66" w:rsidP="00DE7B66">
      <w:pPr>
        <w:pStyle w:val="Rubrik3"/>
        <w:numPr>
          <w:ilvl w:val="0"/>
          <w:numId w:val="17"/>
        </w:numPr>
        <w:spacing w:before="0"/>
        <w:ind w:left="1701" w:hanging="1102"/>
        <w:textAlignment w:val="auto"/>
        <w:rPr>
          <w:i/>
        </w:rPr>
      </w:pPr>
      <w:r w:rsidRPr="00DE7B66">
        <w:rPr>
          <w:i/>
        </w:rPr>
        <w:t xml:space="preserve">Information från ordförandeskapet och kommissionen </w:t>
      </w:r>
    </w:p>
    <w:p w14:paraId="5349EB84" w14:textId="1BFB2BD5" w:rsidR="00DE7B66" w:rsidRDefault="00DE7B66" w:rsidP="00DE7B66">
      <w:r w:rsidRPr="003C4EC1">
        <w:t>Ordförandeskapet</w:t>
      </w:r>
      <w:r>
        <w:t xml:space="preserve"> och kommissionen avser informera om det 28:e partsmötet för Montrealprotokollet som äger rum i Kigali (Rwanda) den 10-14 oktober 2016.</w:t>
      </w:r>
    </w:p>
    <w:p w14:paraId="2D639E19" w14:textId="77777777" w:rsidR="00DE7B66" w:rsidRPr="00DE7B66" w:rsidRDefault="00DE7B66" w:rsidP="00DE7B66">
      <w:pPr>
        <w:pStyle w:val="RKnormal"/>
      </w:pPr>
    </w:p>
    <w:p w14:paraId="333F9201" w14:textId="77777777" w:rsidR="00DE7B66" w:rsidRPr="006255FC" w:rsidRDefault="00DE7B66" w:rsidP="00DE7B66">
      <w:pPr>
        <w:pStyle w:val="RKnormal"/>
        <w:rPr>
          <w:rFonts w:ascii="TradeGothic" w:hAnsi="TradeGothic"/>
          <w:b/>
          <w:sz w:val="22"/>
          <w:szCs w:val="22"/>
        </w:rPr>
      </w:pPr>
      <w:r w:rsidRPr="006255FC">
        <w:rPr>
          <w:rFonts w:ascii="TradeGothic" w:hAnsi="TradeGothic"/>
          <w:b/>
          <w:sz w:val="22"/>
          <w:szCs w:val="22"/>
        </w:rPr>
        <w:t xml:space="preserve">b) Meddelande om utfasning av fossila bränslen i transportstrategin </w:t>
      </w:r>
    </w:p>
    <w:p w14:paraId="28D0F96C" w14:textId="4B5738D7" w:rsidR="00DE7B66" w:rsidRPr="006255FC" w:rsidRDefault="00DE7B66" w:rsidP="00DE7B66">
      <w:pPr>
        <w:pStyle w:val="Rubrik3"/>
        <w:numPr>
          <w:ilvl w:val="0"/>
          <w:numId w:val="17"/>
        </w:numPr>
        <w:spacing w:before="0"/>
        <w:ind w:left="1701" w:hanging="1102"/>
        <w:textAlignment w:val="auto"/>
        <w:rPr>
          <w:i/>
        </w:rPr>
      </w:pPr>
      <w:r w:rsidRPr="006255FC">
        <w:rPr>
          <w:i/>
        </w:rPr>
        <w:t xml:space="preserve">Information från kommissionen </w:t>
      </w:r>
    </w:p>
    <w:p w14:paraId="45E48804" w14:textId="6975C6C2" w:rsidR="00DE7B66" w:rsidRPr="006255FC" w:rsidRDefault="00DE7B66" w:rsidP="00DE7B66">
      <w:r w:rsidRPr="006255FC">
        <w:t xml:space="preserve">Kommissionen avser informera om meddelandet om en europeisk strategi för utsläppssnål rörlighet. </w:t>
      </w:r>
    </w:p>
    <w:p w14:paraId="6B42E136" w14:textId="77777777" w:rsidR="00DE7B66" w:rsidRPr="006255FC" w:rsidRDefault="00DE7B66" w:rsidP="00DE7B66"/>
    <w:p w14:paraId="7FC6B3B3" w14:textId="77777777" w:rsidR="00DE7B66" w:rsidRDefault="00DE7B66" w:rsidP="00DE7B66">
      <w:r w:rsidRPr="006255FC">
        <w:t>Den 20 juli 2016 presenterades kommissionens meddelande om en europeisk strategi för utsläppssnål rörlighet. I strategin redogör kommissionen i samlad form för de åtgärder och initiativ som man anser är nödvändiga för att uppnå utsläppssnål rörlighet i EU. Strategin fokuserar på 1) högre effektivitet i transportsystemen, 2) utsläppssnåla energialternativ för transporter och 3) fordon med låga eller inga utsläpp. Meddelandet åtföljs av en handlingsplan med åtgärder som kommissionen avser genomföra.</w:t>
      </w:r>
    </w:p>
    <w:p w14:paraId="31207991" w14:textId="77777777" w:rsidR="00DE7B66" w:rsidRPr="00DE7B66" w:rsidRDefault="00DE7B66" w:rsidP="00DE7B66">
      <w:pPr>
        <w:pStyle w:val="RKnormal"/>
      </w:pPr>
    </w:p>
    <w:p w14:paraId="73FD5B87"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c) 17:e mötet i partskonferensen (COP 17) för konventionen om </w:t>
      </w:r>
    </w:p>
    <w:p w14:paraId="59AD4C31"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internationell handel med utrotningshotade arter av vilda djur och växter (Cites) </w:t>
      </w:r>
    </w:p>
    <w:p w14:paraId="6850E145"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(Johannesburg, Sydafrika, den 24 september−5 oktober 2016) </w:t>
      </w:r>
    </w:p>
    <w:p w14:paraId="01DEFC5F" w14:textId="7A7A997F" w:rsidR="00DE7B66" w:rsidRDefault="00DE7B66" w:rsidP="00DE7B66">
      <w:pPr>
        <w:pStyle w:val="Rubrik3"/>
        <w:numPr>
          <w:ilvl w:val="0"/>
          <w:numId w:val="17"/>
        </w:numPr>
        <w:spacing w:before="0"/>
        <w:ind w:left="1701" w:hanging="1102"/>
        <w:textAlignment w:val="auto"/>
        <w:rPr>
          <w:i/>
        </w:rPr>
      </w:pPr>
      <w:r w:rsidRPr="00DE7B66">
        <w:rPr>
          <w:i/>
        </w:rPr>
        <w:lastRenderedPageBreak/>
        <w:t xml:space="preserve">Information från ordförandeskapet och kommissionen </w:t>
      </w:r>
    </w:p>
    <w:p w14:paraId="3308F426" w14:textId="630508B7" w:rsidR="00DE7B66" w:rsidRPr="00FC1A4A" w:rsidRDefault="00DE7B66" w:rsidP="00DE7B66">
      <w:pPr>
        <w:pStyle w:val="RKnormal"/>
      </w:pPr>
      <w:r>
        <w:t>Ordförandeskapet och kommissionen avser informera om det 17 partsmötet för Cites-konventionen som ägde rum i Johannesburg (Sydafrika) den 24 september-5 oktober).</w:t>
      </w:r>
    </w:p>
    <w:p w14:paraId="7ABCAB6A" w14:textId="77777777" w:rsidR="00DE7B66" w:rsidRPr="00DE7B66" w:rsidRDefault="00DE7B66" w:rsidP="00DE7B66">
      <w:pPr>
        <w:pStyle w:val="RKnormal"/>
      </w:pPr>
    </w:p>
    <w:p w14:paraId="628475FE"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d) 39:e Icao-församlingen (Montreal, Kanada, den 27 september−7 oktober 2016) </w:t>
      </w:r>
    </w:p>
    <w:p w14:paraId="0EAF74EF" w14:textId="04837E6F" w:rsidR="00DE7B66" w:rsidRDefault="00DE7B66" w:rsidP="00DE7B66">
      <w:pPr>
        <w:pStyle w:val="Rubrik3"/>
        <w:numPr>
          <w:ilvl w:val="0"/>
          <w:numId w:val="17"/>
        </w:numPr>
        <w:spacing w:before="0"/>
        <w:ind w:left="1701" w:hanging="1102"/>
        <w:textAlignment w:val="auto"/>
        <w:rPr>
          <w:i/>
        </w:rPr>
      </w:pPr>
      <w:r w:rsidRPr="00DE7B66">
        <w:rPr>
          <w:i/>
        </w:rPr>
        <w:t xml:space="preserve">Information från kommissionen </w:t>
      </w:r>
    </w:p>
    <w:p w14:paraId="1D9D5BAB" w14:textId="12E556FA" w:rsidR="00DE7B66" w:rsidRDefault="00DE7B66" w:rsidP="00DE7B66">
      <w:r>
        <w:t>Kommissionen avser informera om det 19:e mötet i Icao:s generalförsamling i Montreal (Kanada) som ägde rum den 27 september - 7 oktober 2016.</w:t>
      </w:r>
    </w:p>
    <w:p w14:paraId="088298C7" w14:textId="77777777" w:rsidR="00DE7B66" w:rsidRPr="00DE7B66" w:rsidRDefault="00DE7B66" w:rsidP="00DE7B66">
      <w:pPr>
        <w:pStyle w:val="RKnormal"/>
      </w:pPr>
    </w:p>
    <w:p w14:paraId="7C25AF44"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e) Outnyttjade medel från finansieringsprogrammet NER300 </w:t>
      </w:r>
    </w:p>
    <w:p w14:paraId="4CC1B79E" w14:textId="2D00C1E1" w:rsidR="00DE7B66" w:rsidRDefault="00DE7B66" w:rsidP="00DE7B66">
      <w:pPr>
        <w:pStyle w:val="Rubrik3"/>
        <w:numPr>
          <w:ilvl w:val="0"/>
          <w:numId w:val="17"/>
        </w:numPr>
        <w:spacing w:before="0"/>
        <w:ind w:left="1701" w:hanging="1102"/>
        <w:textAlignment w:val="auto"/>
        <w:rPr>
          <w:i/>
        </w:rPr>
      </w:pPr>
      <w:r w:rsidRPr="00DE7B66">
        <w:rPr>
          <w:i/>
        </w:rPr>
        <w:t xml:space="preserve">Information från den cypriotiska delegationen </w:t>
      </w:r>
    </w:p>
    <w:p w14:paraId="5A7F061E" w14:textId="77777777" w:rsidR="00DE7B66" w:rsidRDefault="00DE7B66" w:rsidP="00DE7B66">
      <w:pPr>
        <w:pStyle w:val="RKnormal"/>
      </w:pPr>
      <w:r>
        <w:rPr>
          <w:rFonts w:cs="Arial"/>
          <w:color w:val="222222"/>
        </w:rPr>
        <w:t>Cypern avser presentera ett</w:t>
      </w:r>
      <w:r>
        <w:t xml:space="preserve"> ändringsförslag gällande finansiering för demonstrationsprojekt under NER300-programmet. NER300-programmet ger finansiering för </w:t>
      </w:r>
      <w:r w:rsidRPr="00D8609D">
        <w:t xml:space="preserve">kommersiella demonstrationsprojekt </w:t>
      </w:r>
      <w:r>
        <w:t xml:space="preserve">för förnybar energi samt </w:t>
      </w:r>
      <w:r w:rsidRPr="00D8609D">
        <w:t xml:space="preserve">miljösäker avskiljning och geologisk lagring av </w:t>
      </w:r>
      <w:r>
        <w:t xml:space="preserve">koldioxid </w:t>
      </w:r>
      <w:r w:rsidRPr="00D8609D">
        <w:t>(CCS).</w:t>
      </w:r>
      <w:r>
        <w:t xml:space="preserve"> NER300-programmet finanseras av intäkter från försäljningen av utsläppsrätter inom EU:s system för handel med utsläppsrätter.</w:t>
      </w:r>
    </w:p>
    <w:p w14:paraId="561A92A6" w14:textId="77777777" w:rsidR="00DE7B66" w:rsidRDefault="00DE7B66" w:rsidP="00DE7B66">
      <w:pPr>
        <w:pStyle w:val="RKnormal"/>
      </w:pPr>
    </w:p>
    <w:p w14:paraId="5478DDC5" w14:textId="77777777" w:rsidR="00DE7B66" w:rsidRPr="001E215F" w:rsidRDefault="00DE7B66" w:rsidP="00DE7B66">
      <w:pPr>
        <w:pStyle w:val="RKnormal"/>
      </w:pPr>
      <w:r>
        <w:t>Cypern anser att regler för finansiering av beviljade projekt under NER300-programmet bör ändras. Cyperns förslag innebär att projekt som redan tilldelats finansiering under NER300-programmet bör kunna få mer finansiering. Under nuvarande regelverk för NER300-programmet får beviljade projekt som redan tilldelats finansiering inte någon extra finansiering.</w:t>
      </w:r>
    </w:p>
    <w:p w14:paraId="4141BC0B" w14:textId="77777777" w:rsidR="00DE7B66" w:rsidRPr="00DE7B66" w:rsidRDefault="00DE7B66" w:rsidP="00DE7B66">
      <w:pPr>
        <w:pStyle w:val="RKnormal"/>
      </w:pPr>
    </w:p>
    <w:p w14:paraId="3498AFD5" w14:textId="0CB5E69B"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f) Förvaltning av naturresurser, exemplet Białowie</w:t>
      </w:r>
      <w:r>
        <w:rPr>
          <w:rFonts w:ascii="TradeGothic" w:hAnsi="TradeGothic"/>
          <w:b/>
          <w:sz w:val="22"/>
          <w:szCs w:val="22"/>
        </w:rPr>
        <w:t>z</w:t>
      </w:r>
      <w:r w:rsidRPr="00DE7B66">
        <w:rPr>
          <w:rFonts w:ascii="TradeGothic" w:hAnsi="TradeGothic"/>
          <w:b/>
          <w:sz w:val="22"/>
          <w:szCs w:val="22"/>
        </w:rPr>
        <w:t xml:space="preserve">askogen: återverkningar för Europa </w:t>
      </w:r>
    </w:p>
    <w:p w14:paraId="609E57C4" w14:textId="1DF510A9" w:rsidR="00DE7B66" w:rsidRDefault="00DE7B66" w:rsidP="00DE7B66">
      <w:pPr>
        <w:pStyle w:val="Rubrik3"/>
        <w:numPr>
          <w:ilvl w:val="0"/>
          <w:numId w:val="17"/>
        </w:numPr>
        <w:spacing w:before="0"/>
        <w:ind w:left="1701" w:hanging="1102"/>
        <w:textAlignment w:val="auto"/>
        <w:rPr>
          <w:i/>
        </w:rPr>
      </w:pPr>
      <w:r w:rsidRPr="00DE7B66">
        <w:rPr>
          <w:i/>
        </w:rPr>
        <w:t xml:space="preserve">Information från den polska delegationen </w:t>
      </w:r>
    </w:p>
    <w:p w14:paraId="1B4B7171" w14:textId="77777777" w:rsidR="00DE7B66" w:rsidRDefault="00DE7B66" w:rsidP="00DE7B66">
      <w:pPr>
        <w:pStyle w:val="RKnormal"/>
      </w:pPr>
      <w:r>
        <w:t xml:space="preserve">Polen avser informera om skötselplanen för den del av Bialowiezaskogen som ligger i Polen (skogen fortsätter in i Vitryssland). </w:t>
      </w:r>
    </w:p>
    <w:p w14:paraId="384BC6D4" w14:textId="77777777" w:rsidR="00DE7B66" w:rsidRDefault="00DE7B66" w:rsidP="00DE7B66">
      <w:pPr>
        <w:pStyle w:val="RKnormal"/>
      </w:pPr>
    </w:p>
    <w:p w14:paraId="4E17977E" w14:textId="37B0BC8A" w:rsidR="00DE7B66" w:rsidRPr="004D1AE0" w:rsidRDefault="00DE7B66" w:rsidP="00DE7B66">
      <w:pPr>
        <w:pStyle w:val="RKnormal"/>
      </w:pPr>
      <w:r>
        <w:t>Bialowiezaskogen är ett världsarvsområde och den del som ligger i Polen är ett Natura 2000-område. Området utgörs av ett av Kontinentaleuropas mest värdefulla skogsområden och representerar en typ av skogslandskap som försvunnit i stora delar av Europa.  Skogen har mycket höga värden för biologisk mångfald med stor artrikedom och variation på ekosystem. En av Europas mest kända och omtalade ”arträddningsprojekt” har genomförts här genom att vicenten, den europeiska bison</w:t>
      </w:r>
      <w:r w:rsidR="00511F16">
        <w:t>,</w:t>
      </w:r>
      <w:r>
        <w:t xml:space="preserve"> har återintroducerats och skapat en vild population från att tidigare varit utrotad i det vilda.</w:t>
      </w:r>
    </w:p>
    <w:p w14:paraId="4E0E7280" w14:textId="77777777" w:rsidR="00DE7B66" w:rsidRDefault="00DE7B66" w:rsidP="00DE7B66">
      <w:pPr>
        <w:pStyle w:val="RKnormal"/>
      </w:pPr>
    </w:p>
    <w:p w14:paraId="6AE49A46" w14:textId="0F66A127" w:rsidR="00AF27AF" w:rsidRDefault="00AF27AF" w:rsidP="00DE7B66">
      <w:pPr>
        <w:pStyle w:val="RKnormal"/>
      </w:pPr>
    </w:p>
    <w:p w14:paraId="2B7700CE" w14:textId="77777777" w:rsidR="00AF27AF" w:rsidRPr="00DE7B66" w:rsidRDefault="00AF27AF" w:rsidP="00DE7B66">
      <w:pPr>
        <w:pStyle w:val="RKnormal"/>
      </w:pPr>
      <w:bookmarkStart w:id="1" w:name="_GoBack"/>
      <w:bookmarkEnd w:id="1"/>
    </w:p>
    <w:p w14:paraId="3599EECB"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lastRenderedPageBreak/>
        <w:t xml:space="preserve">g) Förslag till Europaparlamentets och rådets direktiv om minskning </w:t>
      </w:r>
    </w:p>
    <w:p w14:paraId="6D6AAD7F" w14:textId="77777777" w:rsidR="00DE7B66" w:rsidRPr="00DE7B66" w:rsidRDefault="00DE7B66" w:rsidP="00DE7B66">
      <w:pPr>
        <w:pStyle w:val="RKnormal"/>
        <w:rPr>
          <w:rFonts w:ascii="TradeGothic" w:hAnsi="TradeGothic"/>
          <w:b/>
          <w:sz w:val="22"/>
          <w:szCs w:val="22"/>
        </w:rPr>
      </w:pPr>
      <w:r w:rsidRPr="00DE7B66">
        <w:rPr>
          <w:rFonts w:ascii="TradeGothic" w:hAnsi="TradeGothic"/>
          <w:b/>
          <w:sz w:val="22"/>
          <w:szCs w:val="22"/>
        </w:rPr>
        <w:t xml:space="preserve">av nationella utsläpp av vissa luftföroreningar och om ändring av direktiv 2003/35/EG (NEC-direktivet) − lärdomar </w:t>
      </w:r>
    </w:p>
    <w:p w14:paraId="1A724F30" w14:textId="3A63E007" w:rsidR="00DE7B66" w:rsidRPr="00DE7B66" w:rsidRDefault="00DE7B66" w:rsidP="00DE7B66">
      <w:pPr>
        <w:pStyle w:val="Rubrik3"/>
        <w:numPr>
          <w:ilvl w:val="0"/>
          <w:numId w:val="17"/>
        </w:numPr>
        <w:spacing w:before="0"/>
        <w:ind w:left="1134" w:hanging="535"/>
        <w:textAlignment w:val="auto"/>
        <w:rPr>
          <w:b/>
          <w:szCs w:val="22"/>
          <w:u w:val="single"/>
        </w:rPr>
      </w:pPr>
      <w:r w:rsidRPr="00DE7B66">
        <w:rPr>
          <w:i/>
        </w:rPr>
        <w:t>Information från den polska, rumänska och ungerska  delegationen</w:t>
      </w:r>
    </w:p>
    <w:p w14:paraId="614B7CB8" w14:textId="24D2C294" w:rsidR="00C751F6" w:rsidRDefault="00C751F6" w:rsidP="00C751F6">
      <w:r>
        <w:t>Polen,</w:t>
      </w:r>
      <w:r w:rsidR="006255FC">
        <w:t xml:space="preserve"> </w:t>
      </w:r>
      <w:r>
        <w:t>Ungern och Rumänien önskar lyfta en övrig fråga mot bakgrund av att de anser att det så kallade takdirektivet (om minskning av nationella utsläpp av vissa luftföroreningar) inte är kostnadseffektivt.</w:t>
      </w:r>
    </w:p>
    <w:p w14:paraId="27FC9A8D" w14:textId="77777777" w:rsidR="00C751F6" w:rsidRDefault="00C751F6" w:rsidP="00C751F6"/>
    <w:p w14:paraId="20C1E8CB" w14:textId="2C103E50" w:rsidR="00C751F6" w:rsidRDefault="00C751F6" w:rsidP="00C751F6">
      <w:r>
        <w:t xml:space="preserve">Dessa länder kritiserar i sin not det underlag som har fördelat utsläppen mellan medlemsländerna och anser att deras utsläppstak är för skarpa. </w:t>
      </w:r>
    </w:p>
    <w:p w14:paraId="7F74BA60" w14:textId="77777777" w:rsidR="00194E6F" w:rsidRPr="00A87189" w:rsidRDefault="00194E6F" w:rsidP="00194E6F">
      <w:pPr>
        <w:pStyle w:val="DashEqual2"/>
        <w:numPr>
          <w:ilvl w:val="0"/>
          <w:numId w:val="0"/>
        </w:numPr>
        <w:ind w:left="1701" w:hanging="567"/>
        <w:rPr>
          <w:bCs/>
        </w:rPr>
      </w:pPr>
    </w:p>
    <w:p w14:paraId="40E0882C" w14:textId="77777777" w:rsidR="003A0F1F" w:rsidRDefault="003A0F1F" w:rsidP="00194E6F">
      <w:pPr>
        <w:pStyle w:val="DashEqual2"/>
        <w:numPr>
          <w:ilvl w:val="0"/>
          <w:numId w:val="0"/>
        </w:numPr>
        <w:ind w:left="1701" w:hanging="567"/>
        <w:rPr>
          <w:rFonts w:ascii="TradeGothic" w:hAnsi="TradeGothic"/>
          <w:b/>
          <w:sz w:val="22"/>
          <w:szCs w:val="22"/>
        </w:rPr>
      </w:pPr>
    </w:p>
    <w:p w14:paraId="00D4D149" w14:textId="44F98FBC" w:rsidR="003A0F1F" w:rsidRPr="005F1790" w:rsidRDefault="003A0F1F" w:rsidP="003A0F1F">
      <w:pPr>
        <w:pStyle w:val="RKnormal"/>
        <w:spacing w:line="276" w:lineRule="auto"/>
        <w:rPr>
          <w:rFonts w:ascii="TradeGothic Bold" w:hAnsi="TradeGothic Bold"/>
          <w:sz w:val="22"/>
        </w:rPr>
      </w:pPr>
      <w:r w:rsidRPr="005F1790">
        <w:rPr>
          <w:rFonts w:ascii="TradeGothic Bold" w:hAnsi="TradeGothic Bold"/>
          <w:sz w:val="22"/>
          <w:szCs w:val="22"/>
        </w:rPr>
        <w:t>Kriterier för fastställande av hormonstörande ämnen</w:t>
      </w:r>
    </w:p>
    <w:p w14:paraId="29D63302" w14:textId="5D8A4AF3" w:rsidR="003A0F1F" w:rsidRPr="009D6F78" w:rsidRDefault="003A0F1F" w:rsidP="009D6F78">
      <w:pPr>
        <w:pStyle w:val="RKnormal"/>
        <w:numPr>
          <w:ilvl w:val="0"/>
          <w:numId w:val="8"/>
        </w:numPr>
        <w:spacing w:line="276" w:lineRule="auto"/>
        <w:rPr>
          <w:rFonts w:ascii="TradeGothic" w:hAnsi="TradeGothic"/>
          <w:b/>
          <w:sz w:val="22"/>
          <w:szCs w:val="22"/>
        </w:rPr>
      </w:pPr>
      <w:r w:rsidRPr="005F1790">
        <w:rPr>
          <w:rFonts w:ascii="TradeGothic" w:hAnsi="TradeGothic"/>
          <w:sz w:val="22"/>
        </w:rPr>
        <w:t xml:space="preserve">Information från </w:t>
      </w:r>
      <w:r w:rsidR="005F1790">
        <w:rPr>
          <w:rFonts w:ascii="TradeGothic" w:hAnsi="TradeGothic"/>
          <w:sz w:val="22"/>
        </w:rPr>
        <w:t>de</w:t>
      </w:r>
      <w:r w:rsidR="009D6F78">
        <w:rPr>
          <w:rFonts w:ascii="TradeGothic" w:hAnsi="TradeGothic"/>
          <w:sz w:val="22"/>
        </w:rPr>
        <w:t xml:space="preserve"> svenska, danska och nederländska delegationerna</w:t>
      </w:r>
    </w:p>
    <w:p w14:paraId="5E75EB6E" w14:textId="77777777" w:rsidR="009D6F78" w:rsidRDefault="009D6F78" w:rsidP="009D6F78">
      <w:pPr>
        <w:pStyle w:val="RKnormal"/>
        <w:spacing w:line="276" w:lineRule="auto"/>
        <w:ind w:left="1065"/>
        <w:rPr>
          <w:rFonts w:ascii="TradeGothic" w:hAnsi="TradeGothic"/>
          <w:b/>
          <w:sz w:val="22"/>
          <w:szCs w:val="22"/>
        </w:rPr>
      </w:pPr>
    </w:p>
    <w:p w14:paraId="3C18B646" w14:textId="3154B1FF" w:rsidR="009D6F78" w:rsidRDefault="009D6F78" w:rsidP="009D6F78">
      <w:pPr>
        <w:pStyle w:val="RKnormal"/>
        <w:spacing w:line="276" w:lineRule="auto"/>
        <w:rPr>
          <w:i/>
        </w:rPr>
      </w:pPr>
      <w:r>
        <w:t>(</w:t>
      </w:r>
      <w:r>
        <w:rPr>
          <w:i/>
        </w:rPr>
        <w:t>Punkten förväntas läggas till den slutliga dagordningen)</w:t>
      </w:r>
    </w:p>
    <w:p w14:paraId="254E5226" w14:textId="77777777" w:rsidR="009D6F78" w:rsidRPr="009D6F78" w:rsidRDefault="009D6F78" w:rsidP="009D6F78">
      <w:pPr>
        <w:pStyle w:val="RKnormal"/>
        <w:spacing w:line="276" w:lineRule="auto"/>
        <w:rPr>
          <w:rFonts w:ascii="TradeGothic" w:hAnsi="TradeGothic"/>
          <w:b/>
          <w:sz w:val="22"/>
          <w:szCs w:val="22"/>
        </w:rPr>
      </w:pPr>
    </w:p>
    <w:p w14:paraId="19E2E311" w14:textId="25F1666C" w:rsidR="003A0F1F" w:rsidRDefault="009D6F78" w:rsidP="003A0F1F">
      <w:r>
        <w:t xml:space="preserve">Sverige avser tillsammans med Nederländerna och Danmark samt med stöd av Luxemburg </w:t>
      </w:r>
      <w:r w:rsidR="005F1790">
        <w:t>informera</w:t>
      </w:r>
      <w:r w:rsidR="003A0F1F">
        <w:t xml:space="preserve"> om </w:t>
      </w:r>
      <w:r w:rsidR="003A0F1F" w:rsidRPr="003C3A83">
        <w:t>förslag</w:t>
      </w:r>
      <w:r w:rsidR="003A0F1F">
        <w:t>en</w:t>
      </w:r>
      <w:r w:rsidR="003A0F1F" w:rsidRPr="003C3A83">
        <w:t xml:space="preserve"> till kommissionens akter om vetenskapliga kriterier för att fastställa hormonstörande ämnen enligt EU:s lagstiftning om växtskyddsmedelsprodukter respektive biocidprodukter</w:t>
      </w:r>
      <w:r w:rsidR="003A0F1F">
        <w:t xml:space="preserve">. </w:t>
      </w:r>
      <w:r w:rsidR="003A0F1F" w:rsidRPr="003C3A83">
        <w:t>De båda förslagen diskuteras för närvarande i expertgrupper under respektive förordning</w:t>
      </w:r>
      <w:r w:rsidR="003A0F1F">
        <w:t xml:space="preserve">. I </w:t>
      </w:r>
      <w:r w:rsidR="005F1790">
        <w:t>det</w:t>
      </w:r>
      <w:r>
        <w:t xml:space="preserve"> gemensamma</w:t>
      </w:r>
      <w:r w:rsidR="00E75006">
        <w:t xml:space="preserve"> underlag</w:t>
      </w:r>
      <w:r w:rsidR="005F1790">
        <w:t xml:space="preserve"> som tagit</w:t>
      </w:r>
      <w:r>
        <w:t>s</w:t>
      </w:r>
      <w:r w:rsidR="005F1790">
        <w:t xml:space="preserve"> fram inför rådsmötet</w:t>
      </w:r>
      <w:r w:rsidR="00E75006">
        <w:t xml:space="preserve"> </w:t>
      </w:r>
      <w:r w:rsidR="005F1790">
        <w:t>understryks</w:t>
      </w:r>
      <w:r w:rsidR="003A0F1F">
        <w:t xml:space="preserve"> betydelsen av att fastställa kriterierna för att uppnå målsättningarna i </w:t>
      </w:r>
      <w:r w:rsidR="00285977">
        <w:t>EU:s</w:t>
      </w:r>
      <w:r w:rsidR="003A0F1F">
        <w:t xml:space="preserve"> 7:e miljöhandlingsprogram</w:t>
      </w:r>
      <w:r w:rsidR="00E75006">
        <w:t>. Vidare notera</w:t>
      </w:r>
      <w:r w:rsidR="005F1790">
        <w:t xml:space="preserve">s det i underlaget </w:t>
      </w:r>
      <w:r w:rsidR="003A0F1F">
        <w:t>att kritik har riktats mot förslagen för att de inte är i linje med rättsakternas övergripande syfte och går utöver kommissionens mandat att anpassa akterna till teknisk och vetenskaplig utveckling.</w:t>
      </w:r>
    </w:p>
    <w:p w14:paraId="3DDF618F" w14:textId="77777777" w:rsidR="003A0F1F" w:rsidRDefault="003A0F1F" w:rsidP="003A0F1F">
      <w:pPr>
        <w:pStyle w:val="RKnormal"/>
      </w:pPr>
    </w:p>
    <w:p w14:paraId="3DAE92A7" w14:textId="77777777" w:rsidR="003A0F1F" w:rsidRDefault="003A0F1F" w:rsidP="00194E6F">
      <w:pPr>
        <w:pStyle w:val="DashEqual2"/>
        <w:numPr>
          <w:ilvl w:val="0"/>
          <w:numId w:val="0"/>
        </w:numPr>
        <w:ind w:left="1701" w:hanging="567"/>
      </w:pPr>
    </w:p>
    <w:p w14:paraId="6D3CD320" w14:textId="77777777" w:rsidR="00194E6F" w:rsidRDefault="00194E6F">
      <w:pPr>
        <w:pStyle w:val="RKnormal"/>
      </w:pPr>
    </w:p>
    <w:sectPr w:rsidR="00194E6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03C66" w14:textId="77777777" w:rsidR="00A87189" w:rsidRDefault="00A87189">
      <w:r>
        <w:separator/>
      </w:r>
    </w:p>
  </w:endnote>
  <w:endnote w:type="continuationSeparator" w:id="0">
    <w:p w14:paraId="152D9BDB" w14:textId="77777777" w:rsidR="00A87189" w:rsidRDefault="00A87189">
      <w:r>
        <w:continuationSeparator/>
      </w:r>
    </w:p>
  </w:endnote>
  <w:endnote w:type="continuationNotice" w:id="1">
    <w:p w14:paraId="0D8657D1" w14:textId="77777777" w:rsidR="0036139A" w:rsidRDefault="003613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adeGothic Bold">
    <w:panose1 w:val="000006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ade Gothic">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BD52B" w14:textId="77777777" w:rsidR="00A87189" w:rsidRDefault="00A87189">
      <w:r>
        <w:separator/>
      </w:r>
    </w:p>
  </w:footnote>
  <w:footnote w:type="continuationSeparator" w:id="0">
    <w:p w14:paraId="68F7E7AD" w14:textId="77777777" w:rsidR="00A87189" w:rsidRDefault="00A87189">
      <w:r>
        <w:continuationSeparator/>
      </w:r>
    </w:p>
  </w:footnote>
  <w:footnote w:type="continuationNotice" w:id="1">
    <w:p w14:paraId="76F0DBA0" w14:textId="77777777" w:rsidR="0036139A" w:rsidRDefault="0036139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F03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F27A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95F9FC" w14:textId="77777777">
      <w:trPr>
        <w:cantSplit/>
      </w:trPr>
      <w:tc>
        <w:tcPr>
          <w:tcW w:w="3119" w:type="dxa"/>
        </w:tcPr>
        <w:p w14:paraId="5AF474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2F7C42" w14:textId="77777777" w:rsidR="00E80146" w:rsidRDefault="00E80146">
          <w:pPr>
            <w:pStyle w:val="Sidhuvud"/>
            <w:ind w:right="360"/>
          </w:pPr>
        </w:p>
      </w:tc>
      <w:tc>
        <w:tcPr>
          <w:tcW w:w="1525" w:type="dxa"/>
        </w:tcPr>
        <w:p w14:paraId="0BBED249" w14:textId="77777777" w:rsidR="00E80146" w:rsidRDefault="00E80146">
          <w:pPr>
            <w:pStyle w:val="Sidhuvud"/>
            <w:ind w:right="360"/>
          </w:pPr>
        </w:p>
      </w:tc>
    </w:tr>
  </w:tbl>
  <w:p w14:paraId="3EA40C9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93A0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F27A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FA7806" w14:textId="77777777">
      <w:trPr>
        <w:cantSplit/>
      </w:trPr>
      <w:tc>
        <w:tcPr>
          <w:tcW w:w="3119" w:type="dxa"/>
        </w:tcPr>
        <w:p w14:paraId="0B63CF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2C5F1D" w14:textId="77777777" w:rsidR="00E80146" w:rsidRDefault="00E80146">
          <w:pPr>
            <w:pStyle w:val="Sidhuvud"/>
            <w:ind w:right="360"/>
          </w:pPr>
        </w:p>
      </w:tc>
      <w:tc>
        <w:tcPr>
          <w:tcW w:w="1525" w:type="dxa"/>
        </w:tcPr>
        <w:p w14:paraId="34498EDD" w14:textId="77777777" w:rsidR="00E80146" w:rsidRDefault="00E80146">
          <w:pPr>
            <w:pStyle w:val="Sidhuvud"/>
            <w:ind w:right="360"/>
          </w:pPr>
        </w:p>
      </w:tc>
    </w:tr>
  </w:tbl>
  <w:p w14:paraId="17DB397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966A" w14:textId="77777777" w:rsidR="00A87189" w:rsidRDefault="00A87189">
    <w:pPr>
      <w:framePr w:w="2948" w:h="1321" w:hRule="exact" w:wrap="notBeside" w:vAnchor="page" w:hAnchor="page" w:x="1362" w:y="653"/>
    </w:pPr>
    <w:r>
      <w:rPr>
        <w:noProof/>
        <w:lang w:eastAsia="sv-SE"/>
      </w:rPr>
      <w:drawing>
        <wp:inline distT="0" distB="0" distL="0" distR="0" wp14:anchorId="53246526" wp14:editId="3649496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B908F8" w14:textId="77777777" w:rsidR="00E80146" w:rsidRDefault="00E80146">
    <w:pPr>
      <w:pStyle w:val="RKrubrik"/>
      <w:keepNext w:val="0"/>
      <w:tabs>
        <w:tab w:val="clear" w:pos="1134"/>
        <w:tab w:val="clear" w:pos="2835"/>
      </w:tabs>
      <w:spacing w:before="0" w:after="0" w:line="320" w:lineRule="atLeast"/>
      <w:rPr>
        <w:bCs/>
      </w:rPr>
    </w:pPr>
  </w:p>
  <w:p w14:paraId="4599EF3B" w14:textId="77777777" w:rsidR="00E80146" w:rsidRDefault="00E80146">
    <w:pPr>
      <w:rPr>
        <w:rFonts w:ascii="TradeGothic" w:hAnsi="TradeGothic"/>
        <w:b/>
        <w:bCs/>
        <w:spacing w:val="12"/>
        <w:sz w:val="22"/>
      </w:rPr>
    </w:pPr>
  </w:p>
  <w:p w14:paraId="3D7B7BCE" w14:textId="77777777" w:rsidR="00E80146" w:rsidRDefault="00E80146">
    <w:pPr>
      <w:pStyle w:val="RKrubrik"/>
      <w:keepNext w:val="0"/>
      <w:tabs>
        <w:tab w:val="clear" w:pos="1134"/>
        <w:tab w:val="clear" w:pos="2835"/>
      </w:tabs>
      <w:spacing w:before="0" w:after="0" w:line="320" w:lineRule="atLeast"/>
      <w:rPr>
        <w:bCs/>
      </w:rPr>
    </w:pPr>
  </w:p>
  <w:p w14:paraId="454971B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2F94"/>
    <w:multiLevelType w:val="hybridMultilevel"/>
    <w:tmpl w:val="7290761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289211E"/>
    <w:multiLevelType w:val="hybridMultilevel"/>
    <w:tmpl w:val="AB38FE36"/>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3A81389"/>
    <w:multiLevelType w:val="hybridMultilevel"/>
    <w:tmpl w:val="A06028DA"/>
    <w:lvl w:ilvl="0" w:tplc="041D000F">
      <w:start w:val="1"/>
      <w:numFmt w:val="decimal"/>
      <w:lvlText w:val="%1."/>
      <w:lvlJc w:val="left"/>
      <w:pPr>
        <w:ind w:left="36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3BBA1934"/>
    <w:multiLevelType w:val="hybridMultilevel"/>
    <w:tmpl w:val="09A41A0C"/>
    <w:lvl w:ilvl="0" w:tplc="FF1C7542">
      <w:start w:val="5"/>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nsid w:val="3FC40503"/>
    <w:multiLevelType w:val="hybridMultilevel"/>
    <w:tmpl w:val="48AE923C"/>
    <w:lvl w:ilvl="0" w:tplc="041D0019">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4DCC621E"/>
    <w:multiLevelType w:val="singleLevel"/>
    <w:tmpl w:val="2CD8C9DC"/>
    <w:name w:val="Dash Equal 1"/>
    <w:lvl w:ilvl="0">
      <w:start w:val="1"/>
      <w:numFmt w:val="bullet"/>
      <w:pStyle w:val="DashEqual1"/>
      <w:lvlText w:val="="/>
      <w:lvlJc w:val="left"/>
      <w:pPr>
        <w:tabs>
          <w:tab w:val="num" w:pos="1134"/>
        </w:tabs>
        <w:ind w:left="1134" w:hanging="567"/>
      </w:pPr>
    </w:lvl>
  </w:abstractNum>
  <w:abstractNum w:abstractNumId="6">
    <w:nsid w:val="51A16676"/>
    <w:multiLevelType w:val="singleLevel"/>
    <w:tmpl w:val="DB12E56A"/>
    <w:name w:val="Dash Equal 2"/>
    <w:lvl w:ilvl="0">
      <w:start w:val="1"/>
      <w:numFmt w:val="bullet"/>
      <w:pStyle w:val="DashEqual2"/>
      <w:lvlText w:val="="/>
      <w:lvlJc w:val="left"/>
      <w:pPr>
        <w:tabs>
          <w:tab w:val="num" w:pos="1701"/>
        </w:tabs>
        <w:ind w:left="1701" w:hanging="567"/>
      </w:pPr>
    </w:lvl>
  </w:abstractNum>
  <w:abstractNum w:abstractNumId="7">
    <w:nsid w:val="5F3B16CC"/>
    <w:multiLevelType w:val="hybridMultilevel"/>
    <w:tmpl w:val="69F41A98"/>
    <w:lvl w:ilvl="0" w:tplc="8C005B40">
      <w:start w:val="1"/>
      <w:numFmt w:val="lowerLetter"/>
      <w:lvlText w:val="%1."/>
      <w:lvlJc w:val="left"/>
      <w:pPr>
        <w:ind w:left="360" w:hanging="360"/>
      </w:pPr>
      <w:rPr>
        <w:rFonts w:ascii="TradeGothic Bold" w:hAnsi="TradeGothic Bold" w:hint="default"/>
      </w:rPr>
    </w:lvl>
    <w:lvl w:ilvl="1" w:tplc="8306FDC0">
      <w:start w:val="5"/>
      <w:numFmt w:val="bullet"/>
      <w:lvlText w:val="-"/>
      <w:lvlJc w:val="left"/>
      <w:pPr>
        <w:ind w:left="1080" w:hanging="360"/>
      </w:pPr>
      <w:rPr>
        <w:rFonts w:ascii="OrigGarmnd BT" w:eastAsia="Times New Roman" w:hAnsi="OrigGarmnd BT" w:cs="Times New Roman"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nsid w:val="6AFE59F2"/>
    <w:multiLevelType w:val="hybridMultilevel"/>
    <w:tmpl w:val="A43AE4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6BA979CD"/>
    <w:multiLevelType w:val="hybridMultilevel"/>
    <w:tmpl w:val="E560533E"/>
    <w:lvl w:ilvl="0" w:tplc="A38828F4">
      <w:start w:val="1"/>
      <w:numFmt w:val="bullet"/>
      <w:lvlText w:val=""/>
      <w:lvlJc w:val="left"/>
      <w:pPr>
        <w:ind w:left="2520" w:hanging="360"/>
      </w:pPr>
      <w:rPr>
        <w:rFonts w:ascii="Symbol" w:hAnsi="Symbol" w:hint="default"/>
      </w:rPr>
    </w:lvl>
    <w:lvl w:ilvl="1" w:tplc="041D0003">
      <w:start w:val="1"/>
      <w:numFmt w:val="bullet"/>
      <w:lvlText w:val="o"/>
      <w:lvlJc w:val="left"/>
      <w:pPr>
        <w:ind w:left="3240" w:hanging="360"/>
      </w:pPr>
      <w:rPr>
        <w:rFonts w:ascii="Courier New" w:hAnsi="Courier New" w:cs="Courier New" w:hint="default"/>
      </w:rPr>
    </w:lvl>
    <w:lvl w:ilvl="2" w:tplc="041D0005">
      <w:start w:val="1"/>
      <w:numFmt w:val="bullet"/>
      <w:lvlText w:val=""/>
      <w:lvlJc w:val="left"/>
      <w:pPr>
        <w:ind w:left="3960" w:hanging="360"/>
      </w:pPr>
      <w:rPr>
        <w:rFonts w:ascii="Wingdings" w:hAnsi="Wingdings" w:hint="default"/>
      </w:rPr>
    </w:lvl>
    <w:lvl w:ilvl="3" w:tplc="041D0001">
      <w:start w:val="1"/>
      <w:numFmt w:val="bullet"/>
      <w:lvlText w:val=""/>
      <w:lvlJc w:val="left"/>
      <w:pPr>
        <w:ind w:left="4680" w:hanging="360"/>
      </w:pPr>
      <w:rPr>
        <w:rFonts w:ascii="Symbol" w:hAnsi="Symbol" w:hint="default"/>
      </w:rPr>
    </w:lvl>
    <w:lvl w:ilvl="4" w:tplc="041D0003">
      <w:start w:val="1"/>
      <w:numFmt w:val="bullet"/>
      <w:lvlText w:val="o"/>
      <w:lvlJc w:val="left"/>
      <w:pPr>
        <w:ind w:left="5400" w:hanging="360"/>
      </w:pPr>
      <w:rPr>
        <w:rFonts w:ascii="Courier New" w:hAnsi="Courier New" w:cs="Courier New" w:hint="default"/>
      </w:rPr>
    </w:lvl>
    <w:lvl w:ilvl="5" w:tplc="041D0005">
      <w:start w:val="1"/>
      <w:numFmt w:val="bullet"/>
      <w:lvlText w:val=""/>
      <w:lvlJc w:val="left"/>
      <w:pPr>
        <w:ind w:left="6120" w:hanging="360"/>
      </w:pPr>
      <w:rPr>
        <w:rFonts w:ascii="Wingdings" w:hAnsi="Wingdings" w:hint="default"/>
      </w:rPr>
    </w:lvl>
    <w:lvl w:ilvl="6" w:tplc="041D0001">
      <w:start w:val="1"/>
      <w:numFmt w:val="bullet"/>
      <w:lvlText w:val=""/>
      <w:lvlJc w:val="left"/>
      <w:pPr>
        <w:ind w:left="6840" w:hanging="360"/>
      </w:pPr>
      <w:rPr>
        <w:rFonts w:ascii="Symbol" w:hAnsi="Symbol" w:hint="default"/>
      </w:rPr>
    </w:lvl>
    <w:lvl w:ilvl="7" w:tplc="041D0003">
      <w:start w:val="1"/>
      <w:numFmt w:val="bullet"/>
      <w:lvlText w:val="o"/>
      <w:lvlJc w:val="left"/>
      <w:pPr>
        <w:ind w:left="7560" w:hanging="360"/>
      </w:pPr>
      <w:rPr>
        <w:rFonts w:ascii="Courier New" w:hAnsi="Courier New" w:cs="Courier New" w:hint="default"/>
      </w:rPr>
    </w:lvl>
    <w:lvl w:ilvl="8" w:tplc="041D0005">
      <w:start w:val="1"/>
      <w:numFmt w:val="bullet"/>
      <w:lvlText w:val=""/>
      <w:lvlJc w:val="left"/>
      <w:pPr>
        <w:ind w:left="8280" w:hanging="360"/>
      </w:pPr>
      <w:rPr>
        <w:rFonts w:ascii="Wingdings" w:hAnsi="Wingdings" w:hint="default"/>
      </w:rPr>
    </w:lvl>
  </w:abstractNum>
  <w:abstractNum w:abstractNumId="10">
    <w:nsid w:val="75CA1266"/>
    <w:multiLevelType w:val="hybridMultilevel"/>
    <w:tmpl w:val="9B3E442A"/>
    <w:lvl w:ilvl="0" w:tplc="D77076C4">
      <w:start w:val="8"/>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5"/>
  </w:num>
  <w:num w:numId="2">
    <w:abstractNumId w:val="6"/>
  </w:num>
  <w:num w:numId="3">
    <w:abstractNumId w:val="5"/>
  </w:num>
  <w:num w:numId="4">
    <w:abstractNumId w:val="6"/>
  </w:num>
  <w:num w:numId="5">
    <w:abstractNumId w:val="2"/>
  </w:num>
  <w:num w:numId="6">
    <w:abstractNumId w:val="0"/>
  </w:num>
  <w:num w:numId="7">
    <w:abstractNumId w:val="7"/>
  </w:num>
  <w:num w:numId="8">
    <w:abstractNumId w:val="10"/>
  </w:num>
  <w:num w:numId="9">
    <w:abstractNumId w:val="4"/>
  </w:num>
  <w:num w:numId="10">
    <w:abstractNumId w:val="1"/>
  </w:num>
  <w:num w:numId="11">
    <w:abstractNumId w:val="3"/>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Miljö- och energidepartementet"/>
    <w:docVar w:name="Regering" w:val="N"/>
  </w:docVars>
  <w:rsids>
    <w:rsidRoot w:val="00A87189"/>
    <w:rsid w:val="00082AF9"/>
    <w:rsid w:val="00091063"/>
    <w:rsid w:val="000B7E62"/>
    <w:rsid w:val="000D5AAE"/>
    <w:rsid w:val="00150384"/>
    <w:rsid w:val="00160901"/>
    <w:rsid w:val="001805B7"/>
    <w:rsid w:val="00194E6F"/>
    <w:rsid w:val="001D3CA0"/>
    <w:rsid w:val="001F3233"/>
    <w:rsid w:val="00214F3A"/>
    <w:rsid w:val="00246071"/>
    <w:rsid w:val="00255857"/>
    <w:rsid w:val="00285977"/>
    <w:rsid w:val="002C33CE"/>
    <w:rsid w:val="00334EA0"/>
    <w:rsid w:val="0036139A"/>
    <w:rsid w:val="00367B1C"/>
    <w:rsid w:val="003748F7"/>
    <w:rsid w:val="003A0F1F"/>
    <w:rsid w:val="003C4EC1"/>
    <w:rsid w:val="003F5AE3"/>
    <w:rsid w:val="00446AC5"/>
    <w:rsid w:val="004A328D"/>
    <w:rsid w:val="004A6E25"/>
    <w:rsid w:val="004D1AE0"/>
    <w:rsid w:val="00511F16"/>
    <w:rsid w:val="0058762B"/>
    <w:rsid w:val="005B45EA"/>
    <w:rsid w:val="005F1790"/>
    <w:rsid w:val="006255FC"/>
    <w:rsid w:val="006420D9"/>
    <w:rsid w:val="00671DA8"/>
    <w:rsid w:val="006A0F6D"/>
    <w:rsid w:val="006A73B8"/>
    <w:rsid w:val="006B2BF8"/>
    <w:rsid w:val="006E4E11"/>
    <w:rsid w:val="007242A3"/>
    <w:rsid w:val="007A6855"/>
    <w:rsid w:val="007C2E6A"/>
    <w:rsid w:val="007F083D"/>
    <w:rsid w:val="00814646"/>
    <w:rsid w:val="008162CF"/>
    <w:rsid w:val="0089312F"/>
    <w:rsid w:val="008A0D77"/>
    <w:rsid w:val="009045E3"/>
    <w:rsid w:val="0092027A"/>
    <w:rsid w:val="00924557"/>
    <w:rsid w:val="00945339"/>
    <w:rsid w:val="00955E31"/>
    <w:rsid w:val="00984E9F"/>
    <w:rsid w:val="00992E72"/>
    <w:rsid w:val="009D49DF"/>
    <w:rsid w:val="009D6F78"/>
    <w:rsid w:val="009E7D71"/>
    <w:rsid w:val="00A04C3D"/>
    <w:rsid w:val="00A532B8"/>
    <w:rsid w:val="00A87189"/>
    <w:rsid w:val="00AF240D"/>
    <w:rsid w:val="00AF26D1"/>
    <w:rsid w:val="00AF27AF"/>
    <w:rsid w:val="00C033C0"/>
    <w:rsid w:val="00C751F6"/>
    <w:rsid w:val="00C8485F"/>
    <w:rsid w:val="00CB3550"/>
    <w:rsid w:val="00D133D7"/>
    <w:rsid w:val="00D566B6"/>
    <w:rsid w:val="00DD1014"/>
    <w:rsid w:val="00DD3B0D"/>
    <w:rsid w:val="00DE7B66"/>
    <w:rsid w:val="00DF7328"/>
    <w:rsid w:val="00E12028"/>
    <w:rsid w:val="00E75006"/>
    <w:rsid w:val="00E80146"/>
    <w:rsid w:val="00E904D0"/>
    <w:rsid w:val="00EC25F9"/>
    <w:rsid w:val="00ED583F"/>
    <w:rsid w:val="00F070D0"/>
    <w:rsid w:val="00F347D3"/>
    <w:rsid w:val="00F93196"/>
    <w:rsid w:val="00FC1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8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Text2">
    <w:name w:val="Text 2"/>
    <w:basedOn w:val="Normal"/>
    <w:rsid w:val="00A87189"/>
    <w:pPr>
      <w:overflowPunct/>
      <w:autoSpaceDE/>
      <w:autoSpaceDN/>
      <w:adjustRightInd/>
      <w:spacing w:line="240" w:lineRule="auto"/>
      <w:ind w:left="1134"/>
      <w:textAlignment w:val="auto"/>
      <w:outlineLvl w:val="1"/>
    </w:pPr>
    <w:rPr>
      <w:rFonts w:ascii="Times New Roman" w:hAnsi="Times New Roman"/>
      <w:szCs w:val="24"/>
      <w:lang w:val="en-GB"/>
    </w:rPr>
  </w:style>
  <w:style w:type="paragraph" w:customStyle="1" w:styleId="Text3">
    <w:name w:val="Text 3"/>
    <w:basedOn w:val="Normal"/>
    <w:rsid w:val="00A87189"/>
    <w:pPr>
      <w:overflowPunct/>
      <w:autoSpaceDE/>
      <w:autoSpaceDN/>
      <w:adjustRightInd/>
      <w:spacing w:line="240" w:lineRule="auto"/>
      <w:ind w:left="1701"/>
      <w:textAlignment w:val="auto"/>
      <w:outlineLvl w:val="2"/>
    </w:pPr>
    <w:rPr>
      <w:rFonts w:ascii="Times New Roman" w:hAnsi="Times New Roman"/>
      <w:szCs w:val="24"/>
      <w:lang w:val="en-GB"/>
    </w:rPr>
  </w:style>
  <w:style w:type="paragraph" w:customStyle="1" w:styleId="Text4">
    <w:name w:val="Text 4"/>
    <w:basedOn w:val="Normal"/>
    <w:rsid w:val="00A87189"/>
    <w:pPr>
      <w:overflowPunct/>
      <w:autoSpaceDE/>
      <w:autoSpaceDN/>
      <w:adjustRightInd/>
      <w:spacing w:line="240" w:lineRule="auto"/>
      <w:ind w:left="2268"/>
      <w:textAlignment w:val="auto"/>
      <w:outlineLvl w:val="3"/>
    </w:pPr>
    <w:rPr>
      <w:rFonts w:ascii="Times New Roman" w:hAnsi="Times New Roman"/>
      <w:szCs w:val="24"/>
      <w:lang w:val="en-GB"/>
    </w:rPr>
  </w:style>
  <w:style w:type="paragraph" w:customStyle="1" w:styleId="Text5">
    <w:name w:val="Text 5"/>
    <w:basedOn w:val="Normal"/>
    <w:rsid w:val="00A87189"/>
    <w:pPr>
      <w:overflowPunct/>
      <w:autoSpaceDE/>
      <w:autoSpaceDN/>
      <w:adjustRightInd/>
      <w:spacing w:line="240" w:lineRule="auto"/>
      <w:ind w:left="2835"/>
      <w:textAlignment w:val="auto"/>
      <w:outlineLvl w:val="4"/>
    </w:pPr>
    <w:rPr>
      <w:rFonts w:ascii="Times New Roman" w:hAnsi="Times New Roman"/>
      <w:szCs w:val="24"/>
      <w:lang w:val="en-GB"/>
    </w:rPr>
  </w:style>
  <w:style w:type="paragraph" w:customStyle="1" w:styleId="PointManual">
    <w:name w:val="Point Manual"/>
    <w:basedOn w:val="Normal"/>
    <w:rsid w:val="00A87189"/>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PointManual1">
    <w:name w:val="Point Manual (1)"/>
    <w:basedOn w:val="Normal"/>
    <w:rsid w:val="00A87189"/>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PointDoubleManual1">
    <w:name w:val="Point Double Manual (1)"/>
    <w:basedOn w:val="Normal"/>
    <w:rsid w:val="00A87189"/>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val="en-GB"/>
    </w:rPr>
  </w:style>
  <w:style w:type="paragraph" w:customStyle="1" w:styleId="DashEqual1">
    <w:name w:val="Dash Equal 1"/>
    <w:basedOn w:val="Normal"/>
    <w:rsid w:val="00A87189"/>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Equal2">
    <w:name w:val="Dash Equal 2"/>
    <w:basedOn w:val="Normal"/>
    <w:rsid w:val="00A87189"/>
    <w:pPr>
      <w:numPr>
        <w:numId w:val="2"/>
      </w:numPr>
      <w:overflowPunct/>
      <w:autoSpaceDE/>
      <w:autoSpaceDN/>
      <w:adjustRightInd/>
      <w:spacing w:line="240" w:lineRule="auto"/>
      <w:textAlignment w:val="auto"/>
      <w:outlineLvl w:val="1"/>
    </w:pPr>
    <w:rPr>
      <w:rFonts w:ascii="Times New Roman" w:hAnsi="Times New Roman"/>
      <w:szCs w:val="24"/>
      <w:lang w:val="en-GB"/>
    </w:rPr>
  </w:style>
  <w:style w:type="paragraph" w:styleId="Ballongtext">
    <w:name w:val="Balloon Text"/>
    <w:basedOn w:val="Normal"/>
    <w:link w:val="BallongtextChar"/>
    <w:rsid w:val="00194E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E6F"/>
    <w:rPr>
      <w:rFonts w:ascii="Tahoma" w:hAnsi="Tahoma" w:cs="Tahoma"/>
      <w:sz w:val="16"/>
      <w:szCs w:val="16"/>
      <w:lang w:eastAsia="en-US"/>
    </w:rPr>
  </w:style>
  <w:style w:type="character" w:customStyle="1" w:styleId="RKnormalChar">
    <w:name w:val="RKnormal Char"/>
    <w:link w:val="RKnormal"/>
    <w:locked/>
    <w:rsid w:val="00194E6F"/>
    <w:rPr>
      <w:rFonts w:ascii="OrigGarmnd BT" w:hAnsi="OrigGarmnd BT"/>
      <w:sz w:val="24"/>
      <w:lang w:eastAsia="en-US"/>
    </w:rPr>
  </w:style>
  <w:style w:type="paragraph" w:customStyle="1" w:styleId="rknormal0">
    <w:name w:val="rknormal"/>
    <w:basedOn w:val="Normal"/>
    <w:rsid w:val="00814646"/>
    <w:pPr>
      <w:overflowPunct/>
      <w:adjustRightInd/>
      <w:spacing w:line="240" w:lineRule="atLeast"/>
      <w:textAlignment w:val="auto"/>
    </w:pPr>
    <w:rPr>
      <w:rFonts w:eastAsiaTheme="minorHAnsi"/>
      <w:szCs w:val="24"/>
      <w:lang w:eastAsia="sv-SE"/>
    </w:rPr>
  </w:style>
  <w:style w:type="character" w:styleId="Kommentarsreferens">
    <w:name w:val="annotation reference"/>
    <w:basedOn w:val="Standardstycketeckensnitt"/>
    <w:rsid w:val="006B2BF8"/>
    <w:rPr>
      <w:sz w:val="16"/>
      <w:szCs w:val="16"/>
    </w:rPr>
  </w:style>
  <w:style w:type="paragraph" w:styleId="Kommentarer">
    <w:name w:val="annotation text"/>
    <w:basedOn w:val="Normal"/>
    <w:link w:val="KommentarerChar"/>
    <w:rsid w:val="006B2BF8"/>
    <w:pPr>
      <w:spacing w:line="240" w:lineRule="auto"/>
    </w:pPr>
    <w:rPr>
      <w:sz w:val="20"/>
    </w:rPr>
  </w:style>
  <w:style w:type="character" w:customStyle="1" w:styleId="KommentarerChar">
    <w:name w:val="Kommentarer Char"/>
    <w:basedOn w:val="Standardstycketeckensnitt"/>
    <w:link w:val="Kommentarer"/>
    <w:rsid w:val="006B2BF8"/>
    <w:rPr>
      <w:rFonts w:ascii="OrigGarmnd BT" w:hAnsi="OrigGarmnd BT"/>
      <w:lang w:eastAsia="en-US"/>
    </w:rPr>
  </w:style>
  <w:style w:type="paragraph" w:styleId="Kommentarsmne">
    <w:name w:val="annotation subject"/>
    <w:basedOn w:val="Kommentarer"/>
    <w:next w:val="Kommentarer"/>
    <w:link w:val="KommentarsmneChar"/>
    <w:rsid w:val="006B2BF8"/>
    <w:rPr>
      <w:b/>
      <w:bCs/>
    </w:rPr>
  </w:style>
  <w:style w:type="character" w:customStyle="1" w:styleId="KommentarsmneChar">
    <w:name w:val="Kommentarsämne Char"/>
    <w:basedOn w:val="KommentarerChar"/>
    <w:link w:val="Kommentarsmne"/>
    <w:rsid w:val="006B2BF8"/>
    <w:rPr>
      <w:rFonts w:ascii="OrigGarmnd BT" w:hAnsi="OrigGarmnd BT"/>
      <w:b/>
      <w:bCs/>
      <w:lang w:eastAsia="en-US"/>
    </w:rPr>
  </w:style>
  <w:style w:type="paragraph" w:customStyle="1" w:styleId="Default">
    <w:name w:val="Default"/>
    <w:rsid w:val="00FC1A4A"/>
    <w:pPr>
      <w:autoSpaceDE w:val="0"/>
      <w:autoSpaceDN w:val="0"/>
      <w:adjustRightInd w:val="0"/>
    </w:pPr>
    <w:rPr>
      <w:color w:val="000000"/>
      <w:sz w:val="24"/>
      <w:szCs w:val="24"/>
    </w:rPr>
  </w:style>
  <w:style w:type="paragraph" w:styleId="Liststycke">
    <w:name w:val="List Paragraph"/>
    <w:basedOn w:val="Normal"/>
    <w:uiPriority w:val="34"/>
    <w:qFormat/>
    <w:rsid w:val="00DE7B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Text2">
    <w:name w:val="Text 2"/>
    <w:basedOn w:val="Normal"/>
    <w:rsid w:val="00A87189"/>
    <w:pPr>
      <w:overflowPunct/>
      <w:autoSpaceDE/>
      <w:autoSpaceDN/>
      <w:adjustRightInd/>
      <w:spacing w:line="240" w:lineRule="auto"/>
      <w:ind w:left="1134"/>
      <w:textAlignment w:val="auto"/>
      <w:outlineLvl w:val="1"/>
    </w:pPr>
    <w:rPr>
      <w:rFonts w:ascii="Times New Roman" w:hAnsi="Times New Roman"/>
      <w:szCs w:val="24"/>
      <w:lang w:val="en-GB"/>
    </w:rPr>
  </w:style>
  <w:style w:type="paragraph" w:customStyle="1" w:styleId="Text3">
    <w:name w:val="Text 3"/>
    <w:basedOn w:val="Normal"/>
    <w:rsid w:val="00A87189"/>
    <w:pPr>
      <w:overflowPunct/>
      <w:autoSpaceDE/>
      <w:autoSpaceDN/>
      <w:adjustRightInd/>
      <w:spacing w:line="240" w:lineRule="auto"/>
      <w:ind w:left="1701"/>
      <w:textAlignment w:val="auto"/>
      <w:outlineLvl w:val="2"/>
    </w:pPr>
    <w:rPr>
      <w:rFonts w:ascii="Times New Roman" w:hAnsi="Times New Roman"/>
      <w:szCs w:val="24"/>
      <w:lang w:val="en-GB"/>
    </w:rPr>
  </w:style>
  <w:style w:type="paragraph" w:customStyle="1" w:styleId="Text4">
    <w:name w:val="Text 4"/>
    <w:basedOn w:val="Normal"/>
    <w:rsid w:val="00A87189"/>
    <w:pPr>
      <w:overflowPunct/>
      <w:autoSpaceDE/>
      <w:autoSpaceDN/>
      <w:adjustRightInd/>
      <w:spacing w:line="240" w:lineRule="auto"/>
      <w:ind w:left="2268"/>
      <w:textAlignment w:val="auto"/>
      <w:outlineLvl w:val="3"/>
    </w:pPr>
    <w:rPr>
      <w:rFonts w:ascii="Times New Roman" w:hAnsi="Times New Roman"/>
      <w:szCs w:val="24"/>
      <w:lang w:val="en-GB"/>
    </w:rPr>
  </w:style>
  <w:style w:type="paragraph" w:customStyle="1" w:styleId="Text5">
    <w:name w:val="Text 5"/>
    <w:basedOn w:val="Normal"/>
    <w:rsid w:val="00A87189"/>
    <w:pPr>
      <w:overflowPunct/>
      <w:autoSpaceDE/>
      <w:autoSpaceDN/>
      <w:adjustRightInd/>
      <w:spacing w:line="240" w:lineRule="auto"/>
      <w:ind w:left="2835"/>
      <w:textAlignment w:val="auto"/>
      <w:outlineLvl w:val="4"/>
    </w:pPr>
    <w:rPr>
      <w:rFonts w:ascii="Times New Roman" w:hAnsi="Times New Roman"/>
      <w:szCs w:val="24"/>
      <w:lang w:val="en-GB"/>
    </w:rPr>
  </w:style>
  <w:style w:type="paragraph" w:customStyle="1" w:styleId="PointManual">
    <w:name w:val="Point Manual"/>
    <w:basedOn w:val="Normal"/>
    <w:rsid w:val="00A87189"/>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PointManual1">
    <w:name w:val="Point Manual (1)"/>
    <w:basedOn w:val="Normal"/>
    <w:rsid w:val="00A87189"/>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PointDoubleManual1">
    <w:name w:val="Point Double Manual (1)"/>
    <w:basedOn w:val="Normal"/>
    <w:rsid w:val="00A87189"/>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val="en-GB"/>
    </w:rPr>
  </w:style>
  <w:style w:type="paragraph" w:customStyle="1" w:styleId="DashEqual1">
    <w:name w:val="Dash Equal 1"/>
    <w:basedOn w:val="Normal"/>
    <w:rsid w:val="00A87189"/>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Equal2">
    <w:name w:val="Dash Equal 2"/>
    <w:basedOn w:val="Normal"/>
    <w:rsid w:val="00A87189"/>
    <w:pPr>
      <w:numPr>
        <w:numId w:val="2"/>
      </w:numPr>
      <w:overflowPunct/>
      <w:autoSpaceDE/>
      <w:autoSpaceDN/>
      <w:adjustRightInd/>
      <w:spacing w:line="240" w:lineRule="auto"/>
      <w:textAlignment w:val="auto"/>
      <w:outlineLvl w:val="1"/>
    </w:pPr>
    <w:rPr>
      <w:rFonts w:ascii="Times New Roman" w:hAnsi="Times New Roman"/>
      <w:szCs w:val="24"/>
      <w:lang w:val="en-GB"/>
    </w:rPr>
  </w:style>
  <w:style w:type="paragraph" w:styleId="Ballongtext">
    <w:name w:val="Balloon Text"/>
    <w:basedOn w:val="Normal"/>
    <w:link w:val="BallongtextChar"/>
    <w:rsid w:val="00194E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4E6F"/>
    <w:rPr>
      <w:rFonts w:ascii="Tahoma" w:hAnsi="Tahoma" w:cs="Tahoma"/>
      <w:sz w:val="16"/>
      <w:szCs w:val="16"/>
      <w:lang w:eastAsia="en-US"/>
    </w:rPr>
  </w:style>
  <w:style w:type="character" w:customStyle="1" w:styleId="RKnormalChar">
    <w:name w:val="RKnormal Char"/>
    <w:link w:val="RKnormal"/>
    <w:locked/>
    <w:rsid w:val="00194E6F"/>
    <w:rPr>
      <w:rFonts w:ascii="OrigGarmnd BT" w:hAnsi="OrigGarmnd BT"/>
      <w:sz w:val="24"/>
      <w:lang w:eastAsia="en-US"/>
    </w:rPr>
  </w:style>
  <w:style w:type="paragraph" w:customStyle="1" w:styleId="rknormal0">
    <w:name w:val="rknormal"/>
    <w:basedOn w:val="Normal"/>
    <w:rsid w:val="00814646"/>
    <w:pPr>
      <w:overflowPunct/>
      <w:adjustRightInd/>
      <w:spacing w:line="240" w:lineRule="atLeast"/>
      <w:textAlignment w:val="auto"/>
    </w:pPr>
    <w:rPr>
      <w:rFonts w:eastAsiaTheme="minorHAnsi"/>
      <w:szCs w:val="24"/>
      <w:lang w:eastAsia="sv-SE"/>
    </w:rPr>
  </w:style>
  <w:style w:type="character" w:styleId="Kommentarsreferens">
    <w:name w:val="annotation reference"/>
    <w:basedOn w:val="Standardstycketeckensnitt"/>
    <w:rsid w:val="006B2BF8"/>
    <w:rPr>
      <w:sz w:val="16"/>
      <w:szCs w:val="16"/>
    </w:rPr>
  </w:style>
  <w:style w:type="paragraph" w:styleId="Kommentarer">
    <w:name w:val="annotation text"/>
    <w:basedOn w:val="Normal"/>
    <w:link w:val="KommentarerChar"/>
    <w:rsid w:val="006B2BF8"/>
    <w:pPr>
      <w:spacing w:line="240" w:lineRule="auto"/>
    </w:pPr>
    <w:rPr>
      <w:sz w:val="20"/>
    </w:rPr>
  </w:style>
  <w:style w:type="character" w:customStyle="1" w:styleId="KommentarerChar">
    <w:name w:val="Kommentarer Char"/>
    <w:basedOn w:val="Standardstycketeckensnitt"/>
    <w:link w:val="Kommentarer"/>
    <w:rsid w:val="006B2BF8"/>
    <w:rPr>
      <w:rFonts w:ascii="OrigGarmnd BT" w:hAnsi="OrigGarmnd BT"/>
      <w:lang w:eastAsia="en-US"/>
    </w:rPr>
  </w:style>
  <w:style w:type="paragraph" w:styleId="Kommentarsmne">
    <w:name w:val="annotation subject"/>
    <w:basedOn w:val="Kommentarer"/>
    <w:next w:val="Kommentarer"/>
    <w:link w:val="KommentarsmneChar"/>
    <w:rsid w:val="006B2BF8"/>
    <w:rPr>
      <w:b/>
      <w:bCs/>
    </w:rPr>
  </w:style>
  <w:style w:type="character" w:customStyle="1" w:styleId="KommentarsmneChar">
    <w:name w:val="Kommentarsämne Char"/>
    <w:basedOn w:val="KommentarerChar"/>
    <w:link w:val="Kommentarsmne"/>
    <w:rsid w:val="006B2BF8"/>
    <w:rPr>
      <w:rFonts w:ascii="OrigGarmnd BT" w:hAnsi="OrigGarmnd BT"/>
      <w:b/>
      <w:bCs/>
      <w:lang w:eastAsia="en-US"/>
    </w:rPr>
  </w:style>
  <w:style w:type="paragraph" w:customStyle="1" w:styleId="Default">
    <w:name w:val="Default"/>
    <w:rsid w:val="00FC1A4A"/>
    <w:pPr>
      <w:autoSpaceDE w:val="0"/>
      <w:autoSpaceDN w:val="0"/>
      <w:adjustRightInd w:val="0"/>
    </w:pPr>
    <w:rPr>
      <w:color w:val="000000"/>
      <w:sz w:val="24"/>
      <w:szCs w:val="24"/>
    </w:rPr>
  </w:style>
  <w:style w:type="paragraph" w:styleId="Liststycke">
    <w:name w:val="List Paragraph"/>
    <w:basedOn w:val="Normal"/>
    <w:uiPriority w:val="34"/>
    <w:qFormat/>
    <w:rsid w:val="00DE7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4097">
      <w:bodyDiv w:val="1"/>
      <w:marLeft w:val="0"/>
      <w:marRight w:val="0"/>
      <w:marTop w:val="0"/>
      <w:marBottom w:val="0"/>
      <w:divBdr>
        <w:top w:val="none" w:sz="0" w:space="0" w:color="auto"/>
        <w:left w:val="none" w:sz="0" w:space="0" w:color="auto"/>
        <w:bottom w:val="none" w:sz="0" w:space="0" w:color="auto"/>
        <w:right w:val="none" w:sz="0" w:space="0" w:color="auto"/>
      </w:divBdr>
    </w:div>
    <w:div w:id="411315084">
      <w:bodyDiv w:val="1"/>
      <w:marLeft w:val="0"/>
      <w:marRight w:val="0"/>
      <w:marTop w:val="0"/>
      <w:marBottom w:val="0"/>
      <w:divBdr>
        <w:top w:val="none" w:sz="0" w:space="0" w:color="auto"/>
        <w:left w:val="none" w:sz="0" w:space="0" w:color="auto"/>
        <w:bottom w:val="none" w:sz="0" w:space="0" w:color="auto"/>
        <w:right w:val="none" w:sz="0" w:space="0" w:color="auto"/>
      </w:divBdr>
    </w:div>
    <w:div w:id="1203443930">
      <w:bodyDiv w:val="1"/>
      <w:marLeft w:val="0"/>
      <w:marRight w:val="0"/>
      <w:marTop w:val="0"/>
      <w:marBottom w:val="0"/>
      <w:divBdr>
        <w:top w:val="none" w:sz="0" w:space="0" w:color="auto"/>
        <w:left w:val="none" w:sz="0" w:space="0" w:color="auto"/>
        <w:bottom w:val="none" w:sz="0" w:space="0" w:color="auto"/>
        <w:right w:val="none" w:sz="0" w:space="0" w:color="auto"/>
      </w:divBdr>
    </w:div>
    <w:div w:id="1219240875">
      <w:bodyDiv w:val="1"/>
      <w:marLeft w:val="0"/>
      <w:marRight w:val="0"/>
      <w:marTop w:val="0"/>
      <w:marBottom w:val="0"/>
      <w:divBdr>
        <w:top w:val="none" w:sz="0" w:space="0" w:color="auto"/>
        <w:left w:val="none" w:sz="0" w:space="0" w:color="auto"/>
        <w:bottom w:val="none" w:sz="0" w:space="0" w:color="auto"/>
        <w:right w:val="none" w:sz="0" w:space="0" w:color="auto"/>
      </w:divBdr>
    </w:div>
    <w:div w:id="1277559508">
      <w:bodyDiv w:val="1"/>
      <w:marLeft w:val="0"/>
      <w:marRight w:val="0"/>
      <w:marTop w:val="0"/>
      <w:marBottom w:val="0"/>
      <w:divBdr>
        <w:top w:val="none" w:sz="0" w:space="0" w:color="auto"/>
        <w:left w:val="none" w:sz="0" w:space="0" w:color="auto"/>
        <w:bottom w:val="none" w:sz="0" w:space="0" w:color="auto"/>
        <w:right w:val="none" w:sz="0" w:space="0" w:color="auto"/>
      </w:divBdr>
    </w:div>
    <w:div w:id="1301613894">
      <w:bodyDiv w:val="1"/>
      <w:marLeft w:val="0"/>
      <w:marRight w:val="0"/>
      <w:marTop w:val="0"/>
      <w:marBottom w:val="0"/>
      <w:divBdr>
        <w:top w:val="none" w:sz="0" w:space="0" w:color="auto"/>
        <w:left w:val="none" w:sz="0" w:space="0" w:color="auto"/>
        <w:bottom w:val="none" w:sz="0" w:space="0" w:color="auto"/>
        <w:right w:val="none" w:sz="0" w:space="0" w:color="auto"/>
      </w:divBdr>
    </w:div>
    <w:div w:id="1327048212">
      <w:bodyDiv w:val="1"/>
      <w:marLeft w:val="0"/>
      <w:marRight w:val="0"/>
      <w:marTop w:val="0"/>
      <w:marBottom w:val="0"/>
      <w:divBdr>
        <w:top w:val="none" w:sz="0" w:space="0" w:color="auto"/>
        <w:left w:val="none" w:sz="0" w:space="0" w:color="auto"/>
        <w:bottom w:val="none" w:sz="0" w:space="0" w:color="auto"/>
        <w:right w:val="none" w:sz="0" w:space="0" w:color="auto"/>
      </w:divBdr>
    </w:div>
    <w:div w:id="17034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9cd366cc722410295b9eacffbd73909 xmlns="61547c7e-078e-4fc4-be4f-ccdc5cdcf930">
      <Terms xmlns="http://schemas.microsoft.com/office/infopath/2007/PartnerControls"/>
    </c9cd366cc722410295b9eacffbd73909>
    <TaxCatchAll xmlns="61547c7e-078e-4fc4-be4f-ccdc5cdcf930"/>
    <k46d94c0acf84ab9a79866a9d8b1905f xmlns="61547c7e-078e-4fc4-be4f-ccdc5cdcf930">
      <Terms xmlns="http://schemas.microsoft.com/office/infopath/2007/PartnerControls"/>
    </k46d94c0acf84ab9a79866a9d8b1905f>
    <Nyckelord xmlns="61547c7e-078e-4fc4-be4f-ccdc5cdcf930" xsi:nil="true"/>
    <Sekretess xmlns="61547c7e-078e-4fc4-be4f-ccdc5cdcf930" xsi:nil="true"/>
    <Diarienummer xmlns="61547c7e-078e-4fc4-be4f-ccdc5cdcf930" xsi:nil="true"/>
    <_dlc_DocId xmlns="61547c7e-078e-4fc4-be4f-ccdc5cdcf930">FXA5WMJF6ZR7-1201136908-18</_dlc_DocId>
    <_dlc_DocIdUrl xmlns="61547c7e-078e-4fc4-be4f-ccdc5cdcf930">
      <Url>http://rkdhs-tillf/yta/Miljorad17oktober2017/_layouts/DocIdRedir.aspx?ID=FXA5WMJF6ZR7-1201136908-18</Url>
      <Description>FXA5WMJF6ZR7-1201136908-18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2562146543A1242884879036C8117F7" ma:contentTypeVersion="7" ma:contentTypeDescription="Skapa ett nytt dokument." ma:contentTypeScope="" ma:versionID="af2496a2b744747fdfb1150d50ef1756">
  <xsd:schema xmlns:xsd="http://www.w3.org/2001/XMLSchema" xmlns:xs="http://www.w3.org/2001/XMLSchema" xmlns:p="http://schemas.microsoft.com/office/2006/metadata/properties" xmlns:ns2="61547c7e-078e-4fc4-be4f-ccdc5cdcf930" targetNamespace="http://schemas.microsoft.com/office/2006/metadata/properties" ma:root="true" ma:fieldsID="63fe416b16695a121f3517561b87367b" ns2:_="">
    <xsd:import namespace="61547c7e-078e-4fc4-be4f-ccdc5cdcf930"/>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47c7e-078e-4fc4-be4f-ccdc5cdcf93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bd63acc5-fce0-4477-8a23-7b2fdebcbdaa}" ma:internalName="TaxCatchAll" ma:showField="CatchAllData" ma:web="61547c7e-078e-4fc4-be4f-ccdc5cdcf93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bd63acc5-fce0-4477-8a23-7b2fdebcbdaa}" ma:internalName="TaxCatchAllLabel" ma:readOnly="true" ma:showField="CatchAllDataLabel" ma:web="61547c7e-078e-4fc4-be4f-ccdc5cdcf93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D572C-538C-4F84-A882-8D87CFB60AEE}">
  <ds:schemaRefs>
    <ds:schemaRef ds:uri="http://schemas.microsoft.com/office/2006/metadata/customXsn"/>
  </ds:schemaRefs>
</ds:datastoreItem>
</file>

<file path=customXml/itemProps2.xml><?xml version="1.0" encoding="utf-8"?>
<ds:datastoreItem xmlns:ds="http://schemas.openxmlformats.org/officeDocument/2006/customXml" ds:itemID="{7A93C591-A715-4BF1-9585-81B83CF15880}">
  <ds:schemaRefs>
    <ds:schemaRef ds:uri="http://schemas.microsoft.com/sharepoint/events"/>
  </ds:schemaRefs>
</ds:datastoreItem>
</file>

<file path=customXml/itemProps3.xml><?xml version="1.0" encoding="utf-8"?>
<ds:datastoreItem xmlns:ds="http://schemas.openxmlformats.org/officeDocument/2006/customXml" ds:itemID="{1F69703C-428B-4DE8-8B3E-5FCC25B23C38}">
  <ds:schemaRef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61547c7e-078e-4fc4-be4f-ccdc5cdcf930"/>
  </ds:schemaRefs>
</ds:datastoreItem>
</file>

<file path=customXml/itemProps4.xml><?xml version="1.0" encoding="utf-8"?>
<ds:datastoreItem xmlns:ds="http://schemas.openxmlformats.org/officeDocument/2006/customXml" ds:itemID="{165C04AB-28E9-4A3C-9E2D-72991B70F75E}">
  <ds:schemaRefs>
    <ds:schemaRef ds:uri="http://schemas.microsoft.com/sharepoint/v3/contenttype/forms/url"/>
  </ds:schemaRefs>
</ds:datastoreItem>
</file>

<file path=customXml/itemProps5.xml><?xml version="1.0" encoding="utf-8"?>
<ds:datastoreItem xmlns:ds="http://schemas.openxmlformats.org/officeDocument/2006/customXml" ds:itemID="{A34B81C6-E11D-4473-8DF7-6FE570EDA1F0}">
  <ds:schemaRefs>
    <ds:schemaRef ds:uri="http://schemas.microsoft.com/sharepoint/v3/contenttype/forms"/>
  </ds:schemaRefs>
</ds:datastoreItem>
</file>

<file path=customXml/itemProps6.xml><?xml version="1.0" encoding="utf-8"?>
<ds:datastoreItem xmlns:ds="http://schemas.openxmlformats.org/officeDocument/2006/customXml" ds:itemID="{9D7A257A-4BC8-44B2-9437-6BA00FE0D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47c7e-078e-4fc4-be4f-ccdc5cdcf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2920</Words>
  <Characters>15476</Characters>
  <Application>Microsoft Office Word</Application>
  <DocSecurity>0</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Herder</dc:creator>
  <cp:lastModifiedBy>Kristoffer Strömgren</cp:lastModifiedBy>
  <cp:revision>39</cp:revision>
  <cp:lastPrinted>2016-10-05T12:10:00Z</cp:lastPrinted>
  <dcterms:created xsi:type="dcterms:W3CDTF">2016-10-04T09:01:00Z</dcterms:created>
  <dcterms:modified xsi:type="dcterms:W3CDTF">2016-10-10T08:10:00Z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0x01010053E1D612BA3F4E21AA250ECD751942B30002562146543A1242884879036C8117F7</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0818aa1d-f733-4c40-b590-23061d1f6f23</vt:lpwstr>
  </property>
</Properties>
</file>