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4F75" w:rsidRPr="00F34F75" w:rsidRDefault="00F34F75">
      <w:pPr>
        <w:pStyle w:val="Frslagsrubrik"/>
      </w:pPr>
      <w:r w:rsidRPr="00F34F75">
        <w:t>Förslag till riksdagsbeslut</w:t>
      </w:r>
    </w:p>
    <w:p w:rsidR="00F34F75" w:rsidRPr="00F34F75" w:rsidRDefault="00F34F75">
      <w:pPr>
        <w:pStyle w:val="Hemstlatt"/>
        <w:ind w:left="0"/>
      </w:pPr>
      <w:r w:rsidRPr="00F34F75">
        <w:t>Riksdagen tillkännager för regeringen som sin mening vad som anförs i motionen om att den nuvarande lagen om vilotid ska kvarstå, vilket innebär att vilotiden får delas upp i högst två perioder, varav en period om minst sex timmar.</w:t>
      </w:r>
    </w:p>
    <w:p w:rsidR="00F34F75" w:rsidRPr="00F34F75" w:rsidRDefault="00F34F75">
      <w:pPr>
        <w:pStyle w:val="Rubrik1"/>
      </w:pPr>
      <w:r w:rsidRPr="00F34F75">
        <w:t>Bakgrund</w:t>
      </w:r>
    </w:p>
    <w:p w:rsidR="00F34F75" w:rsidRPr="00F34F75" w:rsidRDefault="00F34F75">
      <w:r w:rsidRPr="00F34F75">
        <w:t>Regeringen föreslår att riksdagen godkänner 2010 års ändringar i den intern</w:t>
      </w:r>
      <w:r w:rsidRPr="00F34F75">
        <w:t>a</w:t>
      </w:r>
      <w:r w:rsidRPr="00F34F75">
        <w:t>tionella konventionen om normer för sjöfolks utbildning, certifiering och vakthållning, dvs. det som finns i den s.k. STCW-konventionen. Flertalet ändringar i propositionen är bra, men regeringen anser även att reglerna ska ändras när det kommer till minsta vilotid för sjömän.</w:t>
      </w:r>
    </w:p>
    <w:p w:rsidR="00F34F75" w:rsidRPr="00F34F75" w:rsidRDefault="00F34F75">
      <w:pPr>
        <w:pStyle w:val="Rubrik1"/>
      </w:pPr>
      <w:r w:rsidRPr="00F34F75">
        <w:t>Försämrade vilotider för sjömän</w:t>
      </w:r>
    </w:p>
    <w:p w:rsidR="00F34F75" w:rsidRPr="00F34F75" w:rsidRDefault="00F34F75">
      <w:r w:rsidRPr="00F34F75">
        <w:t>Regeringen vill försämra reglerna för vilotider för sjömän, så att ”vilotiden enligt andra stycket 1 får delas upp i högst tre perioder varav en period om minst 6 timmar och de övriga minst en timme”. Vi anser att ändringen är fel väg att gå om man vill stärka svensk sjöfart, vilket är det skäl regeringen anför.</w:t>
      </w:r>
    </w:p>
    <w:p w:rsidR="00F34F75" w:rsidRPr="00F34F75" w:rsidRDefault="00F34F75">
      <w:pPr>
        <w:pStyle w:val="Normaltindrag"/>
      </w:pPr>
      <w:r w:rsidRPr="00F34F75">
        <w:t>I stället borde regeringen omgående genomföra andra åtgärder för att svensk sjöfart ska stärka sin konkurrenskraft mot omvärlden. Det handlar om att</w:t>
      </w:r>
    </w:p>
    <w:p w:rsidR="00F34F75" w:rsidRPr="00F34F75" w:rsidRDefault="00F34F75">
      <w:pPr>
        <w:pStyle w:val="PunktlistaBomb"/>
      </w:pPr>
      <w:r w:rsidRPr="00F34F75">
        <w:t>införa en tonnageskatt</w:t>
      </w:r>
    </w:p>
    <w:p w:rsidR="00F34F75" w:rsidRPr="00F34F75" w:rsidRDefault="00F34F75">
      <w:pPr>
        <w:pStyle w:val="PunktlistaBomb"/>
        <w:spacing w:before="0"/>
      </w:pPr>
      <w:r w:rsidRPr="00F34F75">
        <w:lastRenderedPageBreak/>
        <w:t>peka ut strategiska hamnar och kombiterminaler</w:t>
      </w:r>
    </w:p>
    <w:p w:rsidR="00F34F75" w:rsidRPr="00F34F75" w:rsidRDefault="00F34F75">
      <w:pPr>
        <w:pStyle w:val="PunktlistaBomb"/>
        <w:spacing w:before="0"/>
      </w:pPr>
      <w:r w:rsidRPr="00F34F75">
        <w:t>se till att det råder likvärdiga konkurrensvillkor mellan olika länder när det sätts rättmätiga miljökrav på sjöfarten</w:t>
      </w:r>
    </w:p>
    <w:p w:rsidR="00F34F75" w:rsidRPr="00F34F75" w:rsidRDefault="00F34F75">
      <w:pPr>
        <w:pStyle w:val="PunktlistaBomb"/>
        <w:spacing w:before="0"/>
      </w:pPr>
      <w:r w:rsidRPr="00F34F75">
        <w:t>förändra sjöfartsstödet så att det blir mer optimalt för den svenska handel</w:t>
      </w:r>
      <w:r w:rsidRPr="00F34F75">
        <w:t>s</w:t>
      </w:r>
      <w:r w:rsidRPr="00F34F75">
        <w:t>flottan.</w:t>
      </w:r>
    </w:p>
    <w:p w:rsidR="00F34F75" w:rsidRPr="00F34F75" w:rsidRDefault="00F34F75">
      <w:r w:rsidRPr="00F34F75">
        <w:t>Det är av stor betydelse att det inom Sveriges gränser finns den kompetens och det kunnande som behövs för att bedriva en kvalitativ god och miljöinri</w:t>
      </w:r>
      <w:r w:rsidRPr="00F34F75">
        <w:t>k</w:t>
      </w:r>
      <w:r w:rsidRPr="00F34F75">
        <w:t>tad sjöfartsnäring. Det är också viktigt att ha kunskap och kompetens för att kunna påverka arbetet inom internationella organisationer i miljö- och säke</w:t>
      </w:r>
      <w:r w:rsidRPr="00F34F75">
        <w:t>r</w:t>
      </w:r>
      <w:r w:rsidRPr="00F34F75">
        <w:t>hetsfrågor. Men det ska även råda goda arbetsvillkor för sjömän.</w:t>
      </w:r>
    </w:p>
    <w:p w:rsidR="00F34F75" w:rsidRPr="00F34F75" w:rsidRDefault="00F34F75">
      <w:pPr>
        <w:pStyle w:val="Normaltindrag"/>
      </w:pPr>
      <w:r w:rsidRPr="00F34F75">
        <w:t>STCW-konventionen baseras på en miniminivå när det gäller vilotider, och vi anser att Sverige bör ha en starkare lagstiftning inom detta område. Risken är annars att säkerheten på fartygen kan komma att försämras. Vän</w:t>
      </w:r>
      <w:r w:rsidRPr="00F34F75">
        <w:t>s</w:t>
      </w:r>
      <w:r w:rsidRPr="00F34F75">
        <w:t>terpartiet anser därför att nuvarande lag om vilotid ska kvarstå, vilket innebär att vilot</w:t>
      </w:r>
      <w:r w:rsidRPr="00F34F75">
        <w:t>i</w:t>
      </w:r>
      <w:r w:rsidRPr="00F34F75">
        <w:t>den får delas upp i högst två perioder, varav en period om minst sex timmar.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4F75">
        <w:trPr>
          <w:cantSplit/>
        </w:trPr>
        <w:tc>
          <w:tcPr>
            <w:tcW w:w="3046" w:type="dxa"/>
          </w:tcPr>
          <w:p w:rsidR="00F34F75" w:rsidRPr="00F34F75" w:rsidRDefault="00F34F75">
            <w:pPr>
              <w:pStyle w:val="UnderskriftDatum"/>
              <w:spacing w:before="240"/>
            </w:pPr>
            <w:r w:rsidRPr="00F34F75">
              <w:t>Stockholm den 20 april 2011</w:t>
            </w:r>
          </w:p>
        </w:tc>
        <w:tc>
          <w:tcPr>
            <w:tcW w:w="3047" w:type="dxa"/>
          </w:tcPr>
          <w:p w:rsidR="00F34F75" w:rsidRPr="00F34F75" w:rsidRDefault="00F34F75">
            <w:pPr>
              <w:pStyle w:val="Underskrifter"/>
              <w:spacing w:before="240"/>
            </w:pPr>
          </w:p>
        </w:tc>
      </w:tr>
      <w:tr w:rsidR="00000000" w:rsidRPr="00F34F75">
        <w:trPr>
          <w:cantSplit/>
        </w:trPr>
        <w:tc>
          <w:tcPr>
            <w:tcW w:w="3046" w:type="dxa"/>
          </w:tcPr>
          <w:p w:rsidR="00F34F75" w:rsidRPr="00F34F75" w:rsidRDefault="00F34F75">
            <w:pPr>
              <w:pStyle w:val="Underskrifter"/>
            </w:pPr>
            <w:r w:rsidRPr="00F34F75">
              <w:t>Siv Holma (V)</w:t>
            </w:r>
          </w:p>
        </w:tc>
        <w:tc>
          <w:tcPr>
            <w:tcW w:w="3046" w:type="dxa"/>
          </w:tcPr>
          <w:p w:rsidR="00F34F75" w:rsidRPr="00F34F75" w:rsidRDefault="00F34F75">
            <w:pPr>
              <w:pStyle w:val="Underskrifter"/>
            </w:pPr>
          </w:p>
        </w:tc>
      </w:tr>
      <w:tr w:rsidR="00000000" w:rsidRPr="00F34F75">
        <w:trPr>
          <w:cantSplit/>
        </w:trPr>
        <w:tc>
          <w:tcPr>
            <w:tcW w:w="3046" w:type="dxa"/>
          </w:tcPr>
          <w:p w:rsidR="00F34F75" w:rsidRPr="00F34F75" w:rsidRDefault="00F34F75">
            <w:pPr>
              <w:pStyle w:val="Underskrifter"/>
            </w:pPr>
            <w:r w:rsidRPr="00F34F75">
              <w:t>Jens Holm (V)</w:t>
            </w:r>
          </w:p>
        </w:tc>
        <w:tc>
          <w:tcPr>
            <w:tcW w:w="3046" w:type="dxa"/>
          </w:tcPr>
          <w:p w:rsidR="00F34F75" w:rsidRPr="00F34F75" w:rsidRDefault="00F34F75">
            <w:pPr>
              <w:pStyle w:val="Underskrifter"/>
            </w:pPr>
            <w:r w:rsidRPr="00F34F75">
              <w:t>Kent Persson (V)</w:t>
            </w:r>
          </w:p>
        </w:tc>
      </w:tr>
      <w:tr w:rsidR="00000000" w:rsidRPr="00F34F75">
        <w:trPr>
          <w:cantSplit/>
        </w:trPr>
        <w:tc>
          <w:tcPr>
            <w:tcW w:w="3046" w:type="dxa"/>
          </w:tcPr>
          <w:p w:rsidR="00F34F75" w:rsidRPr="00F34F75" w:rsidRDefault="00F34F75">
            <w:pPr>
              <w:pStyle w:val="Underskrifter"/>
            </w:pPr>
            <w:r w:rsidRPr="00F34F75">
              <w:t>Jonas Sjöstedt (V)</w:t>
            </w:r>
          </w:p>
        </w:tc>
        <w:tc>
          <w:tcPr>
            <w:tcW w:w="3046" w:type="dxa"/>
          </w:tcPr>
          <w:p w:rsidR="00F34F75" w:rsidRPr="00F34F75" w:rsidRDefault="00F34F75">
            <w:pPr>
              <w:pStyle w:val="Underskrifter"/>
            </w:pPr>
          </w:p>
        </w:tc>
      </w:tr>
    </w:tbl>
    <w:p w:rsidR="00F34F75" w:rsidRPr="00F34F75" w:rsidRDefault="00F34F75">
      <w:pPr>
        <w:pStyle w:val="Normaltindrag"/>
      </w:pPr>
    </w:p>
    <w:sectPr w:rsidR="00000000" w:rsidRPr="00F34F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4F75" w:rsidRPr="00F34F75" w:rsidRDefault="00F34F75">
      <w:r w:rsidRPr="00F34F75">
        <w:separator/>
      </w:r>
    </w:p>
  </w:endnote>
  <w:endnote w:type="continuationSeparator" w:id="0">
    <w:p w:rsidR="00F34F75" w:rsidRPr="00F34F75" w:rsidRDefault="00F34F75">
      <w:r w:rsidRPr="00F34F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F75" w:rsidRPr="00F34F75" w:rsidRDefault="00F34F75">
    <w:pPr>
      <w:pStyle w:val="Sidfot"/>
    </w:pPr>
    <w:r w:rsidRPr="00F34F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18393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F75" w:rsidRDefault="00F34F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4F75" w:rsidRDefault="00F34F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F75" w:rsidRPr="00F34F75" w:rsidRDefault="00F34F75">
    <w:pPr>
      <w:pStyle w:val="Sidfot"/>
    </w:pPr>
    <w:r w:rsidRPr="00F34F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46795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F75" w:rsidRDefault="00F34F7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4F75" w:rsidRDefault="00F34F7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F75" w:rsidRPr="00F34F75" w:rsidRDefault="00F34F75">
    <w:pPr>
      <w:pStyle w:val="Sidfot"/>
    </w:pPr>
    <w:r w:rsidRPr="00F34F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88586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F75" w:rsidRDefault="00F34F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4F75" w:rsidRDefault="00F34F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4F75" w:rsidRPr="00F34F75" w:rsidRDefault="00F34F75">
      <w:r w:rsidRPr="00F34F75">
        <w:separator/>
      </w:r>
    </w:p>
  </w:footnote>
  <w:footnote w:type="continuationSeparator" w:id="0">
    <w:p w:rsidR="00F34F75" w:rsidRPr="00F34F75" w:rsidRDefault="00F34F75">
      <w:r w:rsidRPr="00F34F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F75" w:rsidRPr="00F34F75" w:rsidRDefault="00F34F75">
    <w:pPr>
      <w:pStyle w:val="Sidhuvud"/>
    </w:pPr>
    <w:r w:rsidRPr="00F34F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26262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F75" w:rsidRDefault="00F34F7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4F75" w:rsidRDefault="00F34F7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F75" w:rsidRPr="00F34F75" w:rsidRDefault="00F34F75">
    <w:pPr>
      <w:pStyle w:val="Sidhuvud"/>
    </w:pPr>
    <w:r w:rsidRPr="00F34F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96315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F75" w:rsidRDefault="00F34F7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4F75" w:rsidRDefault="00F34F7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F75" w:rsidRPr="00F34F75" w:rsidRDefault="00F34F75">
    <w:pPr>
      <w:pStyle w:val="FSHNormal"/>
      <w:tabs>
        <w:tab w:val="right" w:pos="5840"/>
      </w:tabs>
    </w:pPr>
    <w:r w:rsidRPr="00F34F75">
      <w:br/>
    </w:r>
    <w:r w:rsidRPr="00F34F75">
      <w:fldChar w:fldCharType="begin" w:fldLock="1"/>
    </w:r>
    <w:r w:rsidRPr="00F34F75">
      <w:instrText xml:space="preserve"> DOCPROPERTY</w:instrText>
    </w:r>
    <w:r w:rsidRPr="00F34F75">
      <w:rPr>
        <w:sz w:val="18"/>
      </w:rPr>
      <w:instrText xml:space="preserve"> "YearUser" *\charformat </w:instrText>
    </w:r>
    <w:r w:rsidRPr="00F34F75">
      <w:fldChar w:fldCharType="separate"/>
    </w:r>
    <w:r w:rsidRPr="00F34F75">
      <w:t>2010/11</w:t>
    </w:r>
    <w:r w:rsidRPr="00F34F75">
      <w:fldChar w:fldCharType="end"/>
    </w:r>
    <w:r w:rsidRPr="00F34F75">
      <w:t xml:space="preserve"> </w:t>
    </w:r>
    <w:r w:rsidRPr="00F34F75">
      <w:tab/>
      <w:t xml:space="preserve">mnr: </w:t>
    </w:r>
    <w:r w:rsidRPr="00F34F75">
      <w:fldChar w:fldCharType="begin" w:fldLock="1"/>
    </w:r>
    <w:r w:rsidRPr="00F34F75">
      <w:instrText xml:space="preserve"> DOCPROPERTY</w:instrText>
    </w:r>
    <w:r w:rsidRPr="00F34F75">
      <w:rPr>
        <w:sz w:val="18"/>
      </w:rPr>
      <w:instrText xml:space="preserve"> "Motionsnummer" *\charformat </w:instrText>
    </w:r>
    <w:r w:rsidRPr="00F34F75">
      <w:fldChar w:fldCharType="separate"/>
    </w:r>
    <w:r w:rsidRPr="00F34F75">
      <w:t>T17</w:t>
    </w:r>
    <w:r w:rsidRPr="00F34F75">
      <w:fldChar w:fldCharType="end"/>
    </w:r>
    <w:r w:rsidRPr="00F34F75">
      <w:br/>
    </w:r>
    <w:r w:rsidRPr="00F34F75">
      <w:fldChar w:fldCharType="begin" w:fldLock="1"/>
    </w:r>
    <w:r w:rsidRPr="00F34F75">
      <w:instrText xml:space="preserve"> DOCPROPERTY</w:instrText>
    </w:r>
    <w:r w:rsidRPr="00F34F75">
      <w:rPr>
        <w:sz w:val="18"/>
      </w:rPr>
      <w:instrText xml:space="preserve"> "Samling" *\charformat </w:instrText>
    </w:r>
    <w:r w:rsidRPr="00F34F75">
      <w:fldChar w:fldCharType="end"/>
    </w:r>
    <w:r w:rsidRPr="00F34F75">
      <w:tab/>
      <w:t xml:space="preserve">pnr: </w:t>
    </w:r>
    <w:r w:rsidRPr="00F34F75">
      <w:fldChar w:fldCharType="begin" w:fldLock="1"/>
    </w:r>
    <w:r w:rsidRPr="00F34F75">
      <w:instrText xml:space="preserve"> DOCPROPERTY</w:instrText>
    </w:r>
    <w:r w:rsidRPr="00F34F75">
      <w:rPr>
        <w:sz w:val="18"/>
      </w:rPr>
      <w:instrText xml:space="preserve"> "Partinummer" *\charformat </w:instrText>
    </w:r>
    <w:r w:rsidRPr="00F34F75">
      <w:fldChar w:fldCharType="separate"/>
    </w:r>
    <w:r w:rsidRPr="00F34F75">
      <w:t>V26</w:t>
    </w:r>
    <w:r w:rsidRPr="00F34F75">
      <w:fldChar w:fldCharType="end"/>
    </w:r>
  </w:p>
  <w:p w:rsidR="00F34F75" w:rsidRPr="00F34F75" w:rsidRDefault="00F34F75">
    <w:pPr>
      <w:pStyle w:val="FSHRub1"/>
    </w:pPr>
    <w:r w:rsidRPr="00F34F75">
      <w:t>Motion till riksdagen</w:t>
    </w:r>
    <w:r w:rsidRPr="00F34F75">
      <w:br/>
    </w:r>
    <w:r w:rsidRPr="00F34F75">
      <w:fldChar w:fldCharType="begin" w:fldLock="1"/>
    </w:r>
    <w:r w:rsidRPr="00F34F75">
      <w:instrText xml:space="preserve"> DOCPROPERTY "YearUser" *\charformat </w:instrText>
    </w:r>
    <w:r w:rsidRPr="00F34F75">
      <w:fldChar w:fldCharType="separate"/>
    </w:r>
    <w:r w:rsidRPr="00F34F75">
      <w:t>2010/11</w:t>
    </w:r>
    <w:r w:rsidRPr="00F34F75">
      <w:fldChar w:fldCharType="end"/>
    </w:r>
    <w:r w:rsidRPr="00F34F75">
      <w:t>:</w:t>
    </w:r>
    <w:r w:rsidRPr="00F34F75">
      <w:fldChar w:fldCharType="begin" w:fldLock="1"/>
    </w:r>
    <w:r w:rsidRPr="00F34F75">
      <w:instrText xml:space="preserve"> DOCPROPERTY "Motionsnummer" *\charformat </w:instrText>
    </w:r>
    <w:r w:rsidRPr="00F34F75">
      <w:fldChar w:fldCharType="separate"/>
    </w:r>
    <w:r w:rsidRPr="00F34F75">
      <w:t>T17</w:t>
    </w:r>
    <w:r w:rsidRPr="00F34F75">
      <w:fldChar w:fldCharType="end"/>
    </w:r>
  </w:p>
  <w:p w:rsidR="00F34F75" w:rsidRPr="00F34F75" w:rsidRDefault="00F34F75">
    <w:pPr>
      <w:pStyle w:val="FSHNormalS5"/>
    </w:pPr>
    <w:r w:rsidRPr="00F34F75">
      <w:fldChar w:fldCharType="begin" w:fldLock="1"/>
    </w:r>
    <w:r w:rsidRPr="00F34F75">
      <w:instrText xml:space="preserve"> DOCPROPERTY "MotionarText" *\charformat </w:instrText>
    </w:r>
    <w:r w:rsidRPr="00F34F75">
      <w:fldChar w:fldCharType="separate"/>
    </w:r>
    <w:r w:rsidRPr="00F34F75">
      <w:t>av Siv Holma m.fl. (V)</w:t>
    </w:r>
    <w:r w:rsidRPr="00F34F75">
      <w:fldChar w:fldCharType="end"/>
    </w:r>
    <w:r w:rsidRPr="00F34F75">
      <w:br/>
    </w:r>
    <w:r w:rsidRPr="00F34F75">
      <w:fldChar w:fldCharType="begin" w:fldLock="1"/>
    </w:r>
    <w:r w:rsidRPr="00F34F75">
      <w:instrText xml:space="preserve"> DOCPROPERTY "SvarFrasKort" *\charformat </w:instrText>
    </w:r>
    <w:r w:rsidRPr="00F34F75">
      <w:fldChar w:fldCharType="separate"/>
    </w:r>
    <w:r w:rsidRPr="00F34F75">
      <w:t>med anledning av prop. 2010/11:117</w:t>
    </w:r>
    <w:r w:rsidRPr="00F34F75">
      <w:fldChar w:fldCharType="end"/>
    </w:r>
  </w:p>
  <w:p w:rsidR="00F34F75" w:rsidRPr="00F34F75" w:rsidRDefault="00F34F75">
    <w:pPr>
      <w:pStyle w:val="FSHTitel"/>
    </w:pPr>
    <w:r w:rsidRPr="00F34F75">
      <w:fldChar w:fldCharType="begin" w:fldLock="1"/>
    </w:r>
    <w:r w:rsidRPr="00F34F75">
      <w:instrText xml:space="preserve"> DOCPROPERTY</w:instrText>
    </w:r>
    <w:r w:rsidRPr="00F34F75">
      <w:rPr>
        <w:sz w:val="18"/>
      </w:rPr>
      <w:instrText xml:space="preserve"> "RubrikSvar" *\charformat </w:instrText>
    </w:r>
    <w:r w:rsidRPr="00F34F75">
      <w:fldChar w:fldCharType="separate"/>
    </w:r>
    <w:r w:rsidRPr="00F34F75">
      <w:t>Godkännande av den reviderade STCW-konventionen</w:t>
    </w:r>
    <w:r w:rsidRPr="00F34F75">
      <w:fldChar w:fldCharType="end"/>
    </w:r>
  </w:p>
  <w:p w:rsidR="00F34F75" w:rsidRPr="00F34F75" w:rsidRDefault="00F34F75">
    <w:pPr>
      <w:pStyle w:val="Normal00"/>
    </w:pPr>
  </w:p>
  <w:p w:rsidR="00F34F75" w:rsidRPr="00F34F75" w:rsidRDefault="00F34F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2ABE440A">
      <w:start w:val="1"/>
      <w:numFmt w:val="bullet"/>
      <w:lvlText w:val="?"/>
      <w:lvlJc w:val="left"/>
      <w:pPr>
        <w:tabs>
          <w:tab w:val="num" w:pos="720"/>
        </w:tabs>
        <w:ind w:left="720" w:hanging="360"/>
      </w:pPr>
      <w:rPr>
        <w:rFonts w:ascii="Wingdings" w:hAnsi="Wingdings" w:hint="default"/>
      </w:rPr>
    </w:lvl>
    <w:lvl w:ilvl="1" w:tplc="94D4F15E" w:tentative="1">
      <w:start w:val="1"/>
      <w:numFmt w:val="bullet"/>
      <w:lvlText w:val="o"/>
      <w:lvlJc w:val="left"/>
      <w:pPr>
        <w:tabs>
          <w:tab w:val="num" w:pos="1440"/>
        </w:tabs>
        <w:ind w:left="1440" w:hanging="360"/>
      </w:pPr>
      <w:rPr>
        <w:rFonts w:ascii="Courier New" w:hAnsi="Courier New" w:cs="Courier New" w:hint="default"/>
      </w:rPr>
    </w:lvl>
    <w:lvl w:ilvl="2" w:tplc="4DA41A58" w:tentative="1">
      <w:start w:val="1"/>
      <w:numFmt w:val="bullet"/>
      <w:lvlText w:val="?"/>
      <w:lvlJc w:val="left"/>
      <w:pPr>
        <w:tabs>
          <w:tab w:val="num" w:pos="2160"/>
        </w:tabs>
        <w:ind w:left="2160" w:hanging="360"/>
      </w:pPr>
      <w:rPr>
        <w:rFonts w:ascii="Wingdings" w:hAnsi="Wingdings" w:hint="default"/>
      </w:rPr>
    </w:lvl>
    <w:lvl w:ilvl="3" w:tplc="E29E6F32" w:tentative="1">
      <w:start w:val="1"/>
      <w:numFmt w:val="bullet"/>
      <w:lvlText w:val="?"/>
      <w:lvlJc w:val="left"/>
      <w:pPr>
        <w:tabs>
          <w:tab w:val="num" w:pos="2880"/>
        </w:tabs>
        <w:ind w:left="2880" w:hanging="360"/>
      </w:pPr>
      <w:rPr>
        <w:rFonts w:ascii="Symbol" w:hAnsi="Symbol" w:hint="default"/>
      </w:rPr>
    </w:lvl>
    <w:lvl w:ilvl="4" w:tplc="5A9EC1DA" w:tentative="1">
      <w:start w:val="1"/>
      <w:numFmt w:val="bullet"/>
      <w:lvlText w:val="o"/>
      <w:lvlJc w:val="left"/>
      <w:pPr>
        <w:tabs>
          <w:tab w:val="num" w:pos="3600"/>
        </w:tabs>
        <w:ind w:left="3600" w:hanging="360"/>
      </w:pPr>
      <w:rPr>
        <w:rFonts w:ascii="Courier New" w:hAnsi="Courier New" w:cs="Courier New" w:hint="default"/>
      </w:rPr>
    </w:lvl>
    <w:lvl w:ilvl="5" w:tplc="82543038" w:tentative="1">
      <w:start w:val="1"/>
      <w:numFmt w:val="bullet"/>
      <w:lvlText w:val="?"/>
      <w:lvlJc w:val="left"/>
      <w:pPr>
        <w:tabs>
          <w:tab w:val="num" w:pos="4320"/>
        </w:tabs>
        <w:ind w:left="4320" w:hanging="360"/>
      </w:pPr>
      <w:rPr>
        <w:rFonts w:ascii="Wingdings" w:hAnsi="Wingdings" w:hint="default"/>
      </w:rPr>
    </w:lvl>
    <w:lvl w:ilvl="6" w:tplc="4C20B772" w:tentative="1">
      <w:start w:val="1"/>
      <w:numFmt w:val="bullet"/>
      <w:lvlText w:val="?"/>
      <w:lvlJc w:val="left"/>
      <w:pPr>
        <w:tabs>
          <w:tab w:val="num" w:pos="5040"/>
        </w:tabs>
        <w:ind w:left="5040" w:hanging="360"/>
      </w:pPr>
      <w:rPr>
        <w:rFonts w:ascii="Symbol" w:hAnsi="Symbol" w:hint="default"/>
      </w:rPr>
    </w:lvl>
    <w:lvl w:ilvl="7" w:tplc="0716119A" w:tentative="1">
      <w:start w:val="1"/>
      <w:numFmt w:val="bullet"/>
      <w:lvlText w:val="o"/>
      <w:lvlJc w:val="left"/>
      <w:pPr>
        <w:tabs>
          <w:tab w:val="num" w:pos="5760"/>
        </w:tabs>
        <w:ind w:left="5760" w:hanging="360"/>
      </w:pPr>
      <w:rPr>
        <w:rFonts w:ascii="Courier New" w:hAnsi="Courier New" w:cs="Courier New" w:hint="default"/>
      </w:rPr>
    </w:lvl>
    <w:lvl w:ilvl="8" w:tplc="8354B51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FFE8112C">
      <w:start w:val="1"/>
      <w:numFmt w:val="decimal"/>
      <w:lvlText w:val="%1."/>
      <w:lvlJc w:val="left"/>
      <w:pPr>
        <w:tabs>
          <w:tab w:val="num" w:pos="340"/>
        </w:tabs>
        <w:ind w:left="340" w:hanging="340"/>
      </w:pPr>
      <w:rPr>
        <w:rFonts w:cs="Times New Roman"/>
      </w:rPr>
    </w:lvl>
    <w:lvl w:ilvl="1" w:tplc="4BA8C49A" w:tentative="1">
      <w:start w:val="1"/>
      <w:numFmt w:val="lowerLetter"/>
      <w:lvlText w:val="%2."/>
      <w:lvlJc w:val="left"/>
      <w:pPr>
        <w:tabs>
          <w:tab w:val="num" w:pos="1440"/>
        </w:tabs>
        <w:ind w:left="1440" w:hanging="360"/>
      </w:pPr>
      <w:rPr>
        <w:rFonts w:cs="Times New Roman"/>
      </w:rPr>
    </w:lvl>
    <w:lvl w:ilvl="2" w:tplc="D616BFE4" w:tentative="1">
      <w:start w:val="1"/>
      <w:numFmt w:val="lowerRoman"/>
      <w:lvlText w:val="%3."/>
      <w:lvlJc w:val="right"/>
      <w:pPr>
        <w:tabs>
          <w:tab w:val="num" w:pos="2160"/>
        </w:tabs>
        <w:ind w:left="2160" w:hanging="180"/>
      </w:pPr>
      <w:rPr>
        <w:rFonts w:cs="Times New Roman"/>
      </w:rPr>
    </w:lvl>
    <w:lvl w:ilvl="3" w:tplc="49EE96D0" w:tentative="1">
      <w:start w:val="1"/>
      <w:numFmt w:val="decimal"/>
      <w:lvlText w:val="%4."/>
      <w:lvlJc w:val="left"/>
      <w:pPr>
        <w:tabs>
          <w:tab w:val="num" w:pos="2880"/>
        </w:tabs>
        <w:ind w:left="2880" w:hanging="360"/>
      </w:pPr>
      <w:rPr>
        <w:rFonts w:cs="Times New Roman"/>
      </w:rPr>
    </w:lvl>
    <w:lvl w:ilvl="4" w:tplc="3E465AE8" w:tentative="1">
      <w:start w:val="1"/>
      <w:numFmt w:val="lowerLetter"/>
      <w:lvlText w:val="%5."/>
      <w:lvlJc w:val="left"/>
      <w:pPr>
        <w:tabs>
          <w:tab w:val="num" w:pos="3600"/>
        </w:tabs>
        <w:ind w:left="3600" w:hanging="360"/>
      </w:pPr>
      <w:rPr>
        <w:rFonts w:cs="Times New Roman"/>
      </w:rPr>
    </w:lvl>
    <w:lvl w:ilvl="5" w:tplc="EA6CBECE" w:tentative="1">
      <w:start w:val="1"/>
      <w:numFmt w:val="lowerRoman"/>
      <w:lvlText w:val="%6."/>
      <w:lvlJc w:val="right"/>
      <w:pPr>
        <w:tabs>
          <w:tab w:val="num" w:pos="4320"/>
        </w:tabs>
        <w:ind w:left="4320" w:hanging="180"/>
      </w:pPr>
      <w:rPr>
        <w:rFonts w:cs="Times New Roman"/>
      </w:rPr>
    </w:lvl>
    <w:lvl w:ilvl="6" w:tplc="68E8FB36" w:tentative="1">
      <w:start w:val="1"/>
      <w:numFmt w:val="decimal"/>
      <w:lvlText w:val="%7."/>
      <w:lvlJc w:val="left"/>
      <w:pPr>
        <w:tabs>
          <w:tab w:val="num" w:pos="5040"/>
        </w:tabs>
        <w:ind w:left="5040" w:hanging="360"/>
      </w:pPr>
      <w:rPr>
        <w:rFonts w:cs="Times New Roman"/>
      </w:rPr>
    </w:lvl>
    <w:lvl w:ilvl="7" w:tplc="0E923246" w:tentative="1">
      <w:start w:val="1"/>
      <w:numFmt w:val="lowerLetter"/>
      <w:lvlText w:val="%8."/>
      <w:lvlJc w:val="left"/>
      <w:pPr>
        <w:tabs>
          <w:tab w:val="num" w:pos="5760"/>
        </w:tabs>
        <w:ind w:left="5760" w:hanging="360"/>
      </w:pPr>
      <w:rPr>
        <w:rFonts w:cs="Times New Roman"/>
      </w:rPr>
    </w:lvl>
    <w:lvl w:ilvl="8" w:tplc="0EB6CDDE"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8330564">
    <w:abstractNumId w:val="3"/>
  </w:num>
  <w:num w:numId="2" w16cid:durableId="1902210414">
    <w:abstractNumId w:val="2"/>
  </w:num>
  <w:num w:numId="3" w16cid:durableId="1791167587">
    <w:abstractNumId w:val="1"/>
  </w:num>
  <w:num w:numId="4" w16cid:durableId="1415474106">
    <w:abstractNumId w:val="0"/>
  </w:num>
  <w:num w:numId="5" w16cid:durableId="537861383">
    <w:abstractNumId w:val="7"/>
  </w:num>
  <w:num w:numId="6" w16cid:durableId="1241401641">
    <w:abstractNumId w:val="6"/>
  </w:num>
  <w:num w:numId="7" w16cid:durableId="1767338941">
    <w:abstractNumId w:val="5"/>
  </w:num>
  <w:num w:numId="8" w16cid:durableId="1686246175">
    <w:abstractNumId w:val="4"/>
  </w:num>
  <w:num w:numId="9" w16cid:durableId="1220432679">
    <w:abstractNumId w:val="8"/>
  </w:num>
  <w:num w:numId="10" w16cid:durableId="1489857733">
    <w:abstractNumId w:val="9"/>
  </w:num>
  <w:num w:numId="11" w16cid:durableId="578290879">
    <w:abstractNumId w:val="10"/>
  </w:num>
  <w:num w:numId="12" w16cid:durableId="834301364">
    <w:abstractNumId w:val="13"/>
  </w:num>
  <w:num w:numId="13" w16cid:durableId="1879776435">
    <w:abstractNumId w:val="15"/>
  </w:num>
  <w:num w:numId="14" w16cid:durableId="632952188">
    <w:abstractNumId w:val="16"/>
  </w:num>
  <w:num w:numId="15" w16cid:durableId="1560903390">
    <w:abstractNumId w:val="11"/>
  </w:num>
  <w:num w:numId="16" w16cid:durableId="1451123885">
    <w:abstractNumId w:val="18"/>
  </w:num>
  <w:num w:numId="17" w16cid:durableId="245500854">
    <w:abstractNumId w:val="17"/>
  </w:num>
  <w:num w:numId="18" w16cid:durableId="2012023533">
    <w:abstractNumId w:val="14"/>
  </w:num>
  <w:num w:numId="19" w16cid:durableId="16012517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4-27"/>
    <w:docVar w:name="PersonGUIDs" w:val="{067EC5B1-F12A-4854-8B10-117296BF7C72},{4C5A52D9-57D3-4837-8681-D18310330361},{3EA40B84-2474-4E42-A764-D13EB4E0906F},{DA248C4D-AFF6-4AC5-94CA-AED252C8C8C8}"/>
  </w:docVars>
  <w:rsids>
    <w:rsidRoot w:val="00190D85"/>
    <w:rsid w:val="00190D85"/>
    <w:rsid w:val="00F34F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10C5960-F7C9-4334-A95E-A0F2F340A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1927</Characters>
  <Application>Microsoft Office Word</Application>
  <DocSecurity>4</DocSecurity>
  <Lines>45</Lines>
  <Paragraphs>21</Paragraphs>
  <ScaleCrop>false</ScaleCrop>
  <HeadingPairs>
    <vt:vector size="2" baseType="variant">
      <vt:variant>
        <vt:lpstr>Rubrik</vt:lpstr>
      </vt:variant>
      <vt:variant>
        <vt:i4>1</vt:i4>
      </vt:variant>
    </vt:vector>
  </HeadingPairs>
  <TitlesOfParts>
    <vt:vector size="1" baseType="lpstr">
      <vt:lpstr>V026</vt:lpstr>
    </vt:vector>
  </TitlesOfParts>
  <Company>Riksdagen</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V026</dc:title>
  <dc:subject>V026</dc:subject>
  <dc:creator>Riksdagen</dc:creator>
  <cp:keywords>Riksdagen</cp:keywords>
  <dc:description>Versal/gemen i partibeteckning. Gemen i tryck för 0910, versal för 1011 och nyare</dc:description>
  <cp:lastModifiedBy>Lars Brink</cp:lastModifiedBy>
  <cp:revision>2</cp:revision>
  <cp:lastPrinted>2011-04-27T10:43:00Z</cp:lastPrinted>
  <dcterms:created xsi:type="dcterms:W3CDTF">2025-12-18T02:52:00Z</dcterms:created>
  <dcterms:modified xsi:type="dcterms:W3CDTF">2025-12-18T02:52:00Z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mot2000_532_2011-04-27</vt:lpwstr>
  </property>
  <property fmtid="{D5CDD505-2E9C-101B-9397-08002B2CF9AE}" pid="3" name="version">
    <vt:lpwstr>mot2000_524_2011-04-19</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2010/11:117 Godkännande av den reviderade STCW-konventionen</vt:lpwstr>
  </property>
  <property fmtid="{D5CDD505-2E9C-101B-9397-08002B2CF9AE}" pid="11" name="SvarFrasKort">
    <vt:lpwstr>med anledning av prop. 2010/11:117</vt:lpwstr>
  </property>
  <property fmtid="{D5CDD505-2E9C-101B-9397-08002B2CF9AE}" pid="12" name="Svar">
    <vt:lpwstr>Proposition</vt:lpwstr>
  </property>
  <property fmtid="{D5CDD505-2E9C-101B-9397-08002B2CF9AE}" pid="13" name="SvarNr">
    <vt:lpwstr>2010/11:117</vt:lpwstr>
  </property>
  <property fmtid="{D5CDD505-2E9C-101B-9397-08002B2CF9AE}" pid="14" name="RubrikSvar">
    <vt:lpwstr>Godkännande av den reviderade STCW-konventionen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Siv Holma m.fl. (V)</vt:lpwstr>
  </property>
  <property fmtid="{D5CDD505-2E9C-101B-9397-08002B2CF9AE}" pid="26" name="MotionarLista">
    <vt:lpwstr>Holma, Siv (V)\Holm, Jens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Jens Holm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vt:lpwstr>
  </property>
  <property fmtid="{D5CDD505-2E9C-101B-9397-08002B2CF9AE}" pid="35" name="Samling">
    <vt:lpwstr/>
  </property>
  <property fmtid="{D5CDD505-2E9C-101B-9397-08002B2CF9AE}" pid="36" name="SamlingPrint">
    <vt:lpwstr/>
  </property>
  <property fmtid="{D5CDD505-2E9C-101B-9397-08002B2CF9AE}" pid="37" name="Motionsnummer">
    <vt:lpwstr>T17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april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20102011000000000086000000260075</vt:lpwstr>
  </property>
  <property fmtid="{D5CDD505-2E9C-101B-9397-08002B2CF9AE}" pid="47" name="datum">
    <vt:lpwstr>110420</vt:lpwstr>
  </property>
  <property fmtid="{D5CDD505-2E9C-101B-9397-08002B2CF9AE}" pid="48" name="avsändar-e-post">
    <vt:lpwstr>maya.ek@riksdagen.se</vt:lpwstr>
  </property>
  <property fmtid="{D5CDD505-2E9C-101B-9397-08002B2CF9AE}" pid="49" name="id">
    <vt:lpwstr>20102011000000000086000000260075</vt:lpwstr>
  </property>
  <property fmtid="{D5CDD505-2E9C-101B-9397-08002B2CF9AE}" pid="50" name="nummer">
    <vt:lpwstr>17</vt:lpwstr>
  </property>
  <property fmtid="{D5CDD505-2E9C-101B-9397-08002B2CF9AE}" pid="51" name="utskottsbeteckning">
    <vt:lpwstr>T</vt:lpwstr>
  </property>
  <property fmtid="{D5CDD505-2E9C-101B-9397-08002B2CF9AE}" pid="52" name="GlobalUID">
    <vt:lpwstr>{F7C04CF3-42B6-46CF-BABD-25DC46E602D9}</vt:lpwstr>
  </property>
  <property fmtid="{D5CDD505-2E9C-101B-9397-08002B2CF9AE}" pid="53" name="Överföringar">
    <vt:i4>0</vt:i4>
  </property>
  <property fmtid="{D5CDD505-2E9C-101B-9397-08002B2CF9AE}" pid="54" name="Checksum">
    <vt:lpwstr>*1004110647024*</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110427 13:31:20.222</vt:lpwstr>
  </property>
  <property fmtid="{D5CDD505-2E9C-101B-9397-08002B2CF9AE}" pid="58" name="urixGuid">
    <vt:lpwstr>{1C8DAE6B-B4FA-45AF-8D6A-DE68FFA73BB6}</vt:lpwstr>
  </property>
</Properties>
</file>