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56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22"/>
        <w:gridCol w:w="5541"/>
        <w:gridCol w:w="1121"/>
      </w:tblGrid>
      <w:tr w:rsidR="0096348C" w:rsidRPr="005E4E92" w14:paraId="65AFC171" w14:textId="77777777" w:rsidTr="001B18A8">
        <w:trPr>
          <w:gridAfter w:val="1"/>
          <w:wAfter w:w="1121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5E4E92" w:rsidRDefault="0096348C" w:rsidP="0096348C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3756CDF1" w:rsidR="0096348C" w:rsidRPr="005E4E92" w:rsidRDefault="00723D66" w:rsidP="003C7C91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UTSKOTTSSAMMANTRÄDE </w:t>
            </w:r>
            <w:r w:rsidR="00F36BE0" w:rsidRPr="005E4E92">
              <w:rPr>
                <w:b/>
                <w:szCs w:val="24"/>
              </w:rPr>
              <w:t>202</w:t>
            </w:r>
            <w:r w:rsidR="00DB4342">
              <w:rPr>
                <w:b/>
                <w:szCs w:val="24"/>
              </w:rPr>
              <w:t>4</w:t>
            </w:r>
            <w:r w:rsidR="00F36BE0" w:rsidRPr="005E4E92">
              <w:rPr>
                <w:b/>
                <w:szCs w:val="24"/>
              </w:rPr>
              <w:t>/2</w:t>
            </w:r>
            <w:r w:rsidR="00DB4342">
              <w:rPr>
                <w:b/>
                <w:szCs w:val="24"/>
              </w:rPr>
              <w:t>5</w:t>
            </w:r>
            <w:r w:rsidR="00F36BE0" w:rsidRPr="005E4E92">
              <w:rPr>
                <w:b/>
                <w:szCs w:val="24"/>
              </w:rPr>
              <w:t>:</w:t>
            </w:r>
            <w:r w:rsidR="00102298">
              <w:rPr>
                <w:b/>
                <w:szCs w:val="24"/>
              </w:rPr>
              <w:t>2</w:t>
            </w:r>
            <w:r w:rsidR="00221ABC">
              <w:rPr>
                <w:b/>
                <w:szCs w:val="24"/>
              </w:rPr>
              <w:t>7</w:t>
            </w:r>
          </w:p>
        </w:tc>
      </w:tr>
      <w:tr w:rsidR="0096348C" w:rsidRPr="005E4E92" w14:paraId="1A69632E" w14:textId="77777777" w:rsidTr="001B18A8">
        <w:trPr>
          <w:gridAfter w:val="1"/>
          <w:wAfter w:w="1121" w:type="dxa"/>
        </w:trPr>
        <w:tc>
          <w:tcPr>
            <w:tcW w:w="1985" w:type="dxa"/>
          </w:tcPr>
          <w:p w14:paraId="229CF208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44F1A521" w:rsidR="00941E34" w:rsidRPr="005E4E92" w:rsidRDefault="004B43E3" w:rsidP="006F787D">
            <w:pPr>
              <w:rPr>
                <w:szCs w:val="24"/>
              </w:rPr>
            </w:pPr>
            <w:r>
              <w:rPr>
                <w:szCs w:val="24"/>
              </w:rPr>
              <w:t>2025-</w:t>
            </w:r>
            <w:r w:rsidR="00C04CAF">
              <w:rPr>
                <w:szCs w:val="24"/>
              </w:rPr>
              <w:t>04-</w:t>
            </w:r>
            <w:r w:rsidR="00221ABC">
              <w:rPr>
                <w:szCs w:val="24"/>
              </w:rPr>
              <w:t>29</w:t>
            </w:r>
          </w:p>
        </w:tc>
      </w:tr>
      <w:tr w:rsidR="0096348C" w:rsidRPr="005E4E92" w14:paraId="0564F9D2" w14:textId="77777777" w:rsidTr="001B18A8">
        <w:trPr>
          <w:gridAfter w:val="1"/>
          <w:wAfter w:w="1121" w:type="dxa"/>
        </w:trPr>
        <w:tc>
          <w:tcPr>
            <w:tcW w:w="1985" w:type="dxa"/>
          </w:tcPr>
          <w:p w14:paraId="580E99FA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411FEDE6" w:rsidR="003D6E9A" w:rsidRPr="005E4E92" w:rsidRDefault="00C04CAF" w:rsidP="00EA087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21ABC">
              <w:rPr>
                <w:szCs w:val="24"/>
              </w:rPr>
              <w:t>1</w:t>
            </w:r>
            <w:r w:rsidR="002127D9">
              <w:rPr>
                <w:szCs w:val="24"/>
              </w:rPr>
              <w:t>.00</w:t>
            </w:r>
            <w:r w:rsidR="00941E34" w:rsidRPr="00FB35A7">
              <w:rPr>
                <w:szCs w:val="24"/>
              </w:rPr>
              <w:t>–</w:t>
            </w:r>
            <w:r w:rsidR="00F60556">
              <w:rPr>
                <w:szCs w:val="24"/>
              </w:rPr>
              <w:t>12.0</w:t>
            </w:r>
            <w:r w:rsidR="00DB2274">
              <w:rPr>
                <w:szCs w:val="24"/>
              </w:rPr>
              <w:t>0</w:t>
            </w:r>
          </w:p>
        </w:tc>
      </w:tr>
      <w:tr w:rsidR="0096348C" w:rsidRPr="005E4E92" w14:paraId="502366F8" w14:textId="77777777" w:rsidTr="001B18A8">
        <w:trPr>
          <w:gridAfter w:val="1"/>
          <w:wAfter w:w="1121" w:type="dxa"/>
          <w:trHeight w:val="299"/>
        </w:trPr>
        <w:tc>
          <w:tcPr>
            <w:tcW w:w="1985" w:type="dxa"/>
          </w:tcPr>
          <w:p w14:paraId="37C1FE62" w14:textId="77777777" w:rsidR="0096348C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NÄRVARANDE</w:t>
            </w:r>
          </w:p>
          <w:p w14:paraId="0DD0A4BD" w14:textId="5A84E7EB" w:rsidR="00381233" w:rsidRPr="005E4E92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7939ACA2" w:rsidR="0057505C" w:rsidRPr="005E4E92" w:rsidRDefault="0096348C" w:rsidP="0057505C">
            <w:pPr>
              <w:spacing w:after="240"/>
              <w:rPr>
                <w:szCs w:val="24"/>
              </w:rPr>
            </w:pPr>
            <w:r w:rsidRPr="005E4E92">
              <w:rPr>
                <w:szCs w:val="24"/>
              </w:rPr>
              <w:t>Se bilaga</w:t>
            </w:r>
            <w:r w:rsidR="006F786C">
              <w:rPr>
                <w:szCs w:val="24"/>
              </w:rPr>
              <w:t xml:space="preserve"> 1</w:t>
            </w:r>
          </w:p>
        </w:tc>
      </w:tr>
      <w:tr w:rsidR="00BC218C" w:rsidRPr="00B179A2" w14:paraId="330347CA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431C4167" w14:textId="0DD198F1" w:rsidR="00BC218C" w:rsidRPr="00B179A2" w:rsidRDefault="00BC218C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179A2">
              <w:rPr>
                <w:b/>
                <w:snapToGrid w:val="0"/>
                <w:szCs w:val="24"/>
              </w:rPr>
              <w:t xml:space="preserve">§ </w:t>
            </w:r>
            <w:r w:rsidR="00D2420D" w:rsidRPr="00B179A2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662" w:type="dxa"/>
            <w:gridSpan w:val="2"/>
          </w:tcPr>
          <w:p w14:paraId="6E884534" w14:textId="5C52ACA0" w:rsidR="00BC218C" w:rsidRPr="00B179A2" w:rsidRDefault="00C04CAF" w:rsidP="0061000C">
            <w:pPr>
              <w:tabs>
                <w:tab w:val="left" w:pos="1701"/>
              </w:tabs>
              <w:rPr>
                <w:b/>
                <w:szCs w:val="24"/>
              </w:rPr>
            </w:pPr>
            <w:r w:rsidRPr="00B179A2">
              <w:rPr>
                <w:b/>
                <w:szCs w:val="24"/>
              </w:rPr>
              <w:t>Justering av protokoll</w:t>
            </w:r>
            <w:r w:rsidR="00D223DA" w:rsidRPr="00B179A2">
              <w:rPr>
                <w:b/>
                <w:szCs w:val="24"/>
              </w:rPr>
              <w:t xml:space="preserve"> </w:t>
            </w:r>
          </w:p>
          <w:p w14:paraId="4F4FFCD4" w14:textId="18A3D944" w:rsidR="006E4489" w:rsidRPr="00B179A2" w:rsidRDefault="006E4489" w:rsidP="0061000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60D2B1D6" w14:textId="01006B84" w:rsidR="00C04CAF" w:rsidRPr="00B179A2" w:rsidRDefault="00C04CAF" w:rsidP="0061000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B179A2">
              <w:rPr>
                <w:bCs/>
                <w:szCs w:val="24"/>
              </w:rPr>
              <w:t>Utskottet justerade protokoll 2024/25:2</w:t>
            </w:r>
            <w:r w:rsidR="00221ABC">
              <w:rPr>
                <w:bCs/>
                <w:szCs w:val="24"/>
              </w:rPr>
              <w:t>6</w:t>
            </w:r>
            <w:r w:rsidRPr="00B179A2">
              <w:rPr>
                <w:bCs/>
                <w:szCs w:val="24"/>
              </w:rPr>
              <w:t>.</w:t>
            </w:r>
          </w:p>
          <w:p w14:paraId="2E05E3DC" w14:textId="0D64C939" w:rsidR="00BC218C" w:rsidRPr="00B179A2" w:rsidRDefault="00BC218C" w:rsidP="0061000C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CA5A00" w:rsidRPr="00B179A2" w14:paraId="0F024F96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48BA7682" w14:textId="5BB502F3" w:rsidR="00CA5A00" w:rsidRPr="00B179A2" w:rsidRDefault="00CA5A00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179A2"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662" w:type="dxa"/>
            <w:gridSpan w:val="2"/>
          </w:tcPr>
          <w:p w14:paraId="05337281" w14:textId="34B2BD1E" w:rsidR="009926C1" w:rsidRPr="00B179A2" w:rsidRDefault="00221ABC" w:rsidP="009926C1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Förbättrat informationsutbyte mellan Arbetsförmedlingen och kommuner (AU11)</w:t>
            </w:r>
          </w:p>
          <w:p w14:paraId="10446183" w14:textId="21BC67DA" w:rsidR="00CA5A00" w:rsidRPr="00B179A2" w:rsidRDefault="00CA5A00" w:rsidP="00CA5A00">
            <w:pPr>
              <w:pStyle w:val="Liststycke"/>
              <w:spacing w:after="0" w:line="240" w:lineRule="auto"/>
              <w:ind w:left="-3"/>
              <w:textAlignment w:val="center"/>
              <w:rPr>
                <w:sz w:val="24"/>
                <w:szCs w:val="24"/>
              </w:rPr>
            </w:pPr>
          </w:p>
          <w:p w14:paraId="392F1935" w14:textId="0AC529F5" w:rsidR="00CA5A00" w:rsidRDefault="009926C1" w:rsidP="00CA5A00">
            <w:pPr>
              <w:pStyle w:val="Liststycke"/>
              <w:spacing w:after="0" w:line="240" w:lineRule="auto"/>
              <w:ind w:left="-3"/>
              <w:textAlignment w:val="center"/>
              <w:rPr>
                <w:sz w:val="24"/>
                <w:szCs w:val="24"/>
              </w:rPr>
            </w:pPr>
            <w:r w:rsidRPr="00B179A2">
              <w:rPr>
                <w:sz w:val="24"/>
                <w:szCs w:val="24"/>
              </w:rPr>
              <w:t xml:space="preserve">Utskottet </w:t>
            </w:r>
            <w:r w:rsidR="00221ABC">
              <w:rPr>
                <w:sz w:val="24"/>
                <w:szCs w:val="24"/>
              </w:rPr>
              <w:t>inledde</w:t>
            </w:r>
            <w:r w:rsidRPr="00B179A2">
              <w:rPr>
                <w:sz w:val="24"/>
                <w:szCs w:val="24"/>
              </w:rPr>
              <w:t xml:space="preserve"> beredningen av </w:t>
            </w:r>
            <w:r w:rsidR="00221ABC">
              <w:rPr>
                <w:sz w:val="24"/>
                <w:szCs w:val="24"/>
              </w:rPr>
              <w:t>proposition 2024/25:145.</w:t>
            </w:r>
          </w:p>
          <w:p w14:paraId="0C4B2E81" w14:textId="3B43BCD7" w:rsidR="005942C9" w:rsidRDefault="005942C9" w:rsidP="00CA5A00">
            <w:pPr>
              <w:pStyle w:val="Liststycke"/>
              <w:spacing w:after="0" w:line="240" w:lineRule="auto"/>
              <w:ind w:left="-3"/>
              <w:textAlignment w:val="center"/>
              <w:rPr>
                <w:sz w:val="24"/>
                <w:szCs w:val="24"/>
              </w:rPr>
            </w:pPr>
          </w:p>
          <w:p w14:paraId="6718DFD2" w14:textId="7B6263A7" w:rsidR="005942C9" w:rsidRPr="00B179A2" w:rsidRDefault="00221ABC" w:rsidP="00CA5A00">
            <w:pPr>
              <w:pStyle w:val="Liststycke"/>
              <w:spacing w:after="0" w:line="240" w:lineRule="auto"/>
              <w:ind w:left="-3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Ärendet bordlades.</w:t>
            </w:r>
          </w:p>
          <w:p w14:paraId="34612CD9" w14:textId="49BB22B9" w:rsidR="009926C1" w:rsidRPr="00B179A2" w:rsidRDefault="009926C1" w:rsidP="00CA5A00">
            <w:pPr>
              <w:pStyle w:val="Liststycke"/>
              <w:spacing w:after="0" w:line="240" w:lineRule="auto"/>
              <w:ind w:left="-3"/>
              <w:textAlignment w:val="center"/>
              <w:rPr>
                <w:b/>
                <w:sz w:val="24"/>
                <w:szCs w:val="24"/>
              </w:rPr>
            </w:pPr>
          </w:p>
        </w:tc>
      </w:tr>
      <w:tr w:rsidR="00221ABC" w:rsidRPr="00B179A2" w14:paraId="244A2DBC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6A5910F9" w14:textId="42DE03D7" w:rsidR="00221ABC" w:rsidRPr="00B179A2" w:rsidRDefault="00221ABC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662" w:type="dxa"/>
            <w:gridSpan w:val="2"/>
          </w:tcPr>
          <w:p w14:paraId="450866B5" w14:textId="77777777" w:rsidR="00221ABC" w:rsidRDefault="00221ABC" w:rsidP="009926C1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Förslag till Europaparlamentets och rådets förordning om ändring av förordning (EU) 2021/691 vad gäller stöd till arbetstagare som inom kort förväntas bli uppsagda i företag som genomgår omstrukturering</w:t>
            </w:r>
          </w:p>
          <w:p w14:paraId="6A14B1E9" w14:textId="77777777" w:rsidR="00221ABC" w:rsidRDefault="00221ABC" w:rsidP="009926C1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/>
                <w:sz w:val="24"/>
                <w:szCs w:val="24"/>
              </w:rPr>
            </w:pPr>
          </w:p>
          <w:p w14:paraId="27FB4203" w14:textId="2715A9D3" w:rsidR="00221ABC" w:rsidRDefault="00221ABC" w:rsidP="009926C1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Cs/>
                <w:sz w:val="24"/>
                <w:szCs w:val="24"/>
              </w:rPr>
            </w:pPr>
            <w:r w:rsidRPr="00221ABC">
              <w:rPr>
                <w:bCs/>
                <w:sz w:val="24"/>
                <w:szCs w:val="24"/>
              </w:rPr>
              <w:t>Utskottet inledde subsidiaritetsprövnin</w:t>
            </w:r>
            <w:r w:rsidR="00807445">
              <w:rPr>
                <w:bCs/>
                <w:sz w:val="24"/>
                <w:szCs w:val="24"/>
              </w:rPr>
              <w:t>g</w:t>
            </w:r>
            <w:r w:rsidR="00D80DD2">
              <w:rPr>
                <w:bCs/>
                <w:sz w:val="24"/>
                <w:szCs w:val="24"/>
              </w:rPr>
              <w:t>en</w:t>
            </w:r>
            <w:r w:rsidR="00807445">
              <w:rPr>
                <w:bCs/>
                <w:sz w:val="24"/>
                <w:szCs w:val="24"/>
              </w:rPr>
              <w:t xml:space="preserve"> av COM(2025) 140.</w:t>
            </w:r>
          </w:p>
          <w:p w14:paraId="6EDF9054" w14:textId="11B0EA51" w:rsidR="00807445" w:rsidRDefault="00807445" w:rsidP="009926C1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Cs/>
                <w:sz w:val="24"/>
                <w:szCs w:val="24"/>
              </w:rPr>
            </w:pPr>
          </w:p>
          <w:p w14:paraId="4B19EC62" w14:textId="692C2FCB" w:rsidR="00807445" w:rsidRPr="00221ABC" w:rsidRDefault="00807445" w:rsidP="009926C1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Ärendet bordlades.</w:t>
            </w:r>
          </w:p>
          <w:p w14:paraId="75ED1BA3" w14:textId="234EFAE1" w:rsidR="00221ABC" w:rsidRPr="00FE433D" w:rsidRDefault="00221ABC" w:rsidP="009926C1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/>
                <w:sz w:val="24"/>
                <w:szCs w:val="24"/>
              </w:rPr>
            </w:pPr>
          </w:p>
        </w:tc>
      </w:tr>
      <w:tr w:rsidR="00CA5A00" w:rsidRPr="00B179A2" w14:paraId="746F9D90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3A8B51D9" w14:textId="4E8415C5" w:rsidR="00CA5A00" w:rsidRPr="00B179A2" w:rsidRDefault="009926C1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179A2">
              <w:rPr>
                <w:b/>
                <w:snapToGrid w:val="0"/>
                <w:szCs w:val="24"/>
              </w:rPr>
              <w:t xml:space="preserve">§ </w:t>
            </w:r>
            <w:r w:rsidR="00221ABC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662" w:type="dxa"/>
            <w:gridSpan w:val="2"/>
          </w:tcPr>
          <w:p w14:paraId="6BC1CC78" w14:textId="07321824" w:rsidR="009926C1" w:rsidRPr="00FE433D" w:rsidRDefault="009926C1" w:rsidP="009926C1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/>
                <w:bCs/>
                <w:sz w:val="24"/>
                <w:szCs w:val="24"/>
              </w:rPr>
            </w:pPr>
            <w:r w:rsidRPr="00FE433D">
              <w:rPr>
                <w:b/>
                <w:sz w:val="24"/>
                <w:szCs w:val="24"/>
              </w:rPr>
              <w:t xml:space="preserve">Information av </w:t>
            </w:r>
            <w:r w:rsidR="00221ABC">
              <w:rPr>
                <w:b/>
                <w:bCs/>
                <w:sz w:val="24"/>
                <w:szCs w:val="24"/>
              </w:rPr>
              <w:t>Jämställdhetsmyndigheten</w:t>
            </w:r>
          </w:p>
          <w:p w14:paraId="04CE0598" w14:textId="77777777" w:rsidR="009926C1" w:rsidRPr="00FE433D" w:rsidRDefault="009926C1" w:rsidP="009926C1">
            <w:pPr>
              <w:pStyle w:val="Liststycke"/>
              <w:spacing w:after="0" w:line="240" w:lineRule="auto"/>
              <w:ind w:left="-3"/>
              <w:textAlignment w:val="center"/>
              <w:rPr>
                <w:sz w:val="24"/>
                <w:szCs w:val="24"/>
              </w:rPr>
            </w:pPr>
          </w:p>
          <w:p w14:paraId="58E22CEE" w14:textId="6964E8E2" w:rsidR="00CA5A00" w:rsidRDefault="00221ABC" w:rsidP="00E67AAC">
            <w:r>
              <w:t xml:space="preserve">Generaldirektör Lise </w:t>
            </w:r>
            <w:proofErr w:type="spellStart"/>
            <w:r>
              <w:t>Tamm</w:t>
            </w:r>
            <w:proofErr w:type="spellEnd"/>
            <w:r w:rsidR="00E67AAC" w:rsidRPr="00E67AAC">
              <w:t xml:space="preserve"> </w:t>
            </w:r>
            <w:r w:rsidR="009926C1" w:rsidRPr="00E67AAC">
              <w:t xml:space="preserve">lämnade information om </w:t>
            </w:r>
            <w:r>
              <w:t>aktuella frågor inom myndigheten.</w:t>
            </w:r>
          </w:p>
          <w:p w14:paraId="0DCFB56C" w14:textId="532F4E78" w:rsidR="00E67AAC" w:rsidRPr="00E67AAC" w:rsidRDefault="00E67AAC" w:rsidP="00E67AAC"/>
        </w:tc>
      </w:tr>
      <w:tr w:rsidR="00807445" w:rsidRPr="00B179A2" w14:paraId="1B2EEB7B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16486D9C" w14:textId="376831DA" w:rsidR="00807445" w:rsidRDefault="00807445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63B198C8" w14:textId="5C2A8505" w:rsidR="00807445" w:rsidRDefault="006F786C" w:rsidP="00E67AAC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Kommande jämlikhetsstrategi för hbtqi-jämlikhet</w:t>
            </w:r>
          </w:p>
          <w:p w14:paraId="663E0B2C" w14:textId="77777777" w:rsidR="006F786C" w:rsidRDefault="006F786C" w:rsidP="00E67AAC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</w:p>
          <w:p w14:paraId="151A8D1D" w14:textId="77777777" w:rsidR="00807445" w:rsidRDefault="00807445" w:rsidP="00E67AAC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  <w:r w:rsidRPr="00807445">
              <w:rPr>
                <w:bCs/>
                <w:sz w:val="24"/>
                <w:szCs w:val="24"/>
              </w:rPr>
              <w:t>Utskottet överlade me</w:t>
            </w:r>
            <w:r>
              <w:rPr>
                <w:bCs/>
                <w:sz w:val="24"/>
                <w:szCs w:val="24"/>
              </w:rPr>
              <w:t>d statssekreterare Katarina Lundahl, biträdd av medarbetare från Arbetsmarknadsdepartementet.</w:t>
            </w:r>
          </w:p>
          <w:p w14:paraId="5676FB95" w14:textId="77777777" w:rsidR="00807445" w:rsidRDefault="00807445" w:rsidP="00E67AAC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</w:p>
          <w:p w14:paraId="313E164E" w14:textId="0BE6504D" w:rsidR="00807445" w:rsidRDefault="00807445" w:rsidP="00E67AAC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Underlaget utgjordes av </w:t>
            </w:r>
            <w:r w:rsidR="006F786C">
              <w:rPr>
                <w:bCs/>
                <w:sz w:val="24"/>
                <w:szCs w:val="24"/>
              </w:rPr>
              <w:t>Regeringskansliets överläggningspromemoria (dnr 1614–2024/25)</w:t>
            </w:r>
            <w:r w:rsidR="003342AE">
              <w:rPr>
                <w:bCs/>
                <w:sz w:val="24"/>
                <w:szCs w:val="24"/>
              </w:rPr>
              <w:t>.</w:t>
            </w:r>
          </w:p>
          <w:p w14:paraId="00FB5D96" w14:textId="77777777" w:rsidR="00807445" w:rsidRDefault="00807445" w:rsidP="00E67AAC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</w:p>
          <w:p w14:paraId="6AB0BE1F" w14:textId="601E12A7" w:rsidR="00807445" w:rsidRDefault="00807445" w:rsidP="00E67AAC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Statssekreterare</w:t>
            </w:r>
            <w:r w:rsidR="006F786C">
              <w:rPr>
                <w:bCs/>
                <w:sz w:val="24"/>
                <w:szCs w:val="24"/>
              </w:rPr>
              <w:t>n</w:t>
            </w:r>
            <w:r>
              <w:rPr>
                <w:bCs/>
                <w:sz w:val="24"/>
                <w:szCs w:val="24"/>
              </w:rPr>
              <w:t xml:space="preserve"> redogjorde för regeringens ståndpunkt i enlighet med överläggningspromemorian:</w:t>
            </w:r>
          </w:p>
          <w:p w14:paraId="11251083" w14:textId="77777777" w:rsidR="00807445" w:rsidRDefault="00807445" w:rsidP="00E67AAC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</w:p>
          <w:p w14:paraId="131FADBA" w14:textId="1C1FFBF5" w:rsidR="006F786C" w:rsidRPr="006F786C" w:rsidRDefault="006F786C" w:rsidP="006F786C">
            <w:pPr>
              <w:pStyle w:val="Liststycke"/>
              <w:spacing w:after="200" w:line="280" w:lineRule="exact"/>
              <w:ind w:left="360"/>
              <w:rPr>
                <w:bCs/>
              </w:rPr>
            </w:pPr>
            <w:r w:rsidRPr="006F786C">
              <w:rPr>
                <w:bCs/>
              </w:rPr>
              <w:t>Regeringen välkomnar att kommissionen aviserat en förnyad strategi för</w:t>
            </w:r>
            <w:r w:rsidR="00F60556">
              <w:rPr>
                <w:bCs/>
              </w:rPr>
              <w:t xml:space="preserve"> </w:t>
            </w:r>
            <w:r w:rsidRPr="006F786C">
              <w:rPr>
                <w:bCs/>
              </w:rPr>
              <w:t>hbtqi-jämlikhet för åren efter 2025. Lika rättigheter och möjligheter för</w:t>
            </w:r>
            <w:r>
              <w:rPr>
                <w:bCs/>
              </w:rPr>
              <w:t xml:space="preserve"> </w:t>
            </w:r>
            <w:r w:rsidRPr="006F786C">
              <w:rPr>
                <w:bCs/>
              </w:rPr>
              <w:t>hbtqi-personer är en integrerad del av unionens värden, men är samtidigt i</w:t>
            </w:r>
            <w:r>
              <w:rPr>
                <w:bCs/>
              </w:rPr>
              <w:t xml:space="preserve"> </w:t>
            </w:r>
            <w:r w:rsidRPr="006F786C">
              <w:rPr>
                <w:bCs/>
              </w:rPr>
              <w:t>ett alltmer komplext omvärldsläge satt under stark press såväl globalt som</w:t>
            </w:r>
            <w:r>
              <w:rPr>
                <w:bCs/>
              </w:rPr>
              <w:t xml:space="preserve"> </w:t>
            </w:r>
            <w:r w:rsidRPr="006F786C">
              <w:rPr>
                <w:bCs/>
              </w:rPr>
              <w:t>inom unionen. Det är således av stor betydelse att unionens institutioner och</w:t>
            </w:r>
            <w:r>
              <w:rPr>
                <w:bCs/>
              </w:rPr>
              <w:t xml:space="preserve"> </w:t>
            </w:r>
            <w:r w:rsidRPr="006F786C">
              <w:rPr>
                <w:bCs/>
              </w:rPr>
              <w:t>medlemsstaterna arbetar aktivt med att säkerställa att hbtqi-personers</w:t>
            </w:r>
            <w:r>
              <w:rPr>
                <w:bCs/>
              </w:rPr>
              <w:t xml:space="preserve"> </w:t>
            </w:r>
            <w:r w:rsidRPr="006F786C">
              <w:rPr>
                <w:bCs/>
              </w:rPr>
              <w:t>grundläggande rättigheter fullt ut respekteras, som ett led i upprätthållandet</w:t>
            </w:r>
          </w:p>
          <w:p w14:paraId="41587410" w14:textId="77777777" w:rsidR="006F786C" w:rsidRPr="006F786C" w:rsidRDefault="006F786C" w:rsidP="006F786C">
            <w:pPr>
              <w:pStyle w:val="Liststycke"/>
              <w:spacing w:after="200" w:line="280" w:lineRule="exact"/>
              <w:ind w:left="360"/>
              <w:rPr>
                <w:bCs/>
              </w:rPr>
            </w:pPr>
            <w:r w:rsidRPr="006F786C">
              <w:rPr>
                <w:bCs/>
              </w:rPr>
              <w:lastRenderedPageBreak/>
              <w:t>av respekten för demokrati, rättsstatens principer och stadgan om de</w:t>
            </w:r>
          </w:p>
          <w:p w14:paraId="79696C31" w14:textId="77777777" w:rsidR="006F786C" w:rsidRPr="006F786C" w:rsidRDefault="006F786C" w:rsidP="006F786C">
            <w:pPr>
              <w:pStyle w:val="Liststycke"/>
              <w:spacing w:after="200" w:line="280" w:lineRule="exact"/>
              <w:ind w:left="360"/>
              <w:rPr>
                <w:bCs/>
              </w:rPr>
            </w:pPr>
            <w:r w:rsidRPr="006F786C">
              <w:rPr>
                <w:bCs/>
              </w:rPr>
              <w:t>grundläggande rättigheterna i alla medlemsstater.</w:t>
            </w:r>
          </w:p>
          <w:p w14:paraId="5C688098" w14:textId="77777777" w:rsidR="006F786C" w:rsidRPr="006F786C" w:rsidRDefault="006F786C" w:rsidP="006F786C">
            <w:pPr>
              <w:pStyle w:val="Liststycke"/>
              <w:spacing w:after="200" w:line="280" w:lineRule="exact"/>
              <w:ind w:left="360"/>
              <w:rPr>
                <w:bCs/>
              </w:rPr>
            </w:pPr>
          </w:p>
          <w:p w14:paraId="43174E3B" w14:textId="2E5FCE96" w:rsidR="006F786C" w:rsidRPr="006F786C" w:rsidRDefault="006F786C" w:rsidP="006F786C">
            <w:pPr>
              <w:pStyle w:val="Liststycke"/>
              <w:spacing w:after="200" w:line="280" w:lineRule="exact"/>
              <w:ind w:left="360"/>
              <w:rPr>
                <w:bCs/>
              </w:rPr>
            </w:pPr>
            <w:r w:rsidRPr="006F786C">
              <w:rPr>
                <w:bCs/>
              </w:rPr>
              <w:t>Den nya strategin bör utarbetas på basis av lärdomar från nuvarande strategi,</w:t>
            </w:r>
            <w:r>
              <w:rPr>
                <w:bCs/>
              </w:rPr>
              <w:t xml:space="preserve"> </w:t>
            </w:r>
            <w:r w:rsidRPr="006F786C">
              <w:rPr>
                <w:bCs/>
              </w:rPr>
              <w:t>särskilt om vad som på ett effektivt sätt har bidragit till resultat och</w:t>
            </w:r>
            <w:r>
              <w:rPr>
                <w:bCs/>
              </w:rPr>
              <w:t xml:space="preserve"> </w:t>
            </w:r>
            <w:r w:rsidRPr="006F786C">
              <w:rPr>
                <w:bCs/>
              </w:rPr>
              <w:t>måluppfyllelse. Kommissionen bör nära involvera medlemsstaterna i</w:t>
            </w:r>
            <w:r>
              <w:rPr>
                <w:bCs/>
              </w:rPr>
              <w:t xml:space="preserve"> </w:t>
            </w:r>
            <w:r w:rsidRPr="006F786C">
              <w:rPr>
                <w:bCs/>
              </w:rPr>
              <w:t>processen med att utarbeta och genomföra den nya strategin. Därtill bör</w:t>
            </w:r>
            <w:r>
              <w:rPr>
                <w:bCs/>
              </w:rPr>
              <w:t xml:space="preserve"> </w:t>
            </w:r>
            <w:r w:rsidRPr="006F786C">
              <w:rPr>
                <w:bCs/>
              </w:rPr>
              <w:t>andra relevanta aktörer, inklusive organisationer inom det civila samhället</w:t>
            </w:r>
            <w:r>
              <w:rPr>
                <w:bCs/>
              </w:rPr>
              <w:t xml:space="preserve"> </w:t>
            </w:r>
            <w:r w:rsidRPr="006F786C">
              <w:rPr>
                <w:bCs/>
              </w:rPr>
              <w:t>och målgruppen, ges möjlighet till inspel och delaktighet.</w:t>
            </w:r>
          </w:p>
          <w:p w14:paraId="7020FD9B" w14:textId="77777777" w:rsidR="006F786C" w:rsidRPr="006F786C" w:rsidRDefault="006F786C" w:rsidP="006F786C">
            <w:pPr>
              <w:pStyle w:val="Liststycke"/>
              <w:spacing w:after="200" w:line="280" w:lineRule="exact"/>
              <w:ind w:left="360"/>
              <w:rPr>
                <w:bCs/>
              </w:rPr>
            </w:pPr>
          </w:p>
          <w:p w14:paraId="09DAABE4" w14:textId="479DD5B1" w:rsidR="006F786C" w:rsidRPr="006F786C" w:rsidRDefault="006F786C" w:rsidP="006F786C">
            <w:pPr>
              <w:pStyle w:val="Liststycke"/>
              <w:spacing w:after="200" w:line="280" w:lineRule="exact"/>
              <w:ind w:left="360"/>
              <w:rPr>
                <w:bCs/>
              </w:rPr>
            </w:pPr>
            <w:r w:rsidRPr="006F786C">
              <w:rPr>
                <w:bCs/>
              </w:rPr>
              <w:t xml:space="preserve">Strategin bör ha ett tydligt resultatfokus med konkreta åtgärder av </w:t>
            </w:r>
            <w:proofErr w:type="spellStart"/>
            <w:r w:rsidRPr="006F786C">
              <w:rPr>
                <w:bCs/>
              </w:rPr>
              <w:t>ickelagstiftande</w:t>
            </w:r>
            <w:proofErr w:type="spellEnd"/>
            <w:r>
              <w:rPr>
                <w:bCs/>
              </w:rPr>
              <w:t xml:space="preserve"> </w:t>
            </w:r>
            <w:r w:rsidRPr="006F786C">
              <w:rPr>
                <w:bCs/>
              </w:rPr>
              <w:t>karaktär, och sätta tydliga mål för arbetet på EU-nivå.</w:t>
            </w:r>
            <w:r>
              <w:rPr>
                <w:bCs/>
              </w:rPr>
              <w:t xml:space="preserve"> </w:t>
            </w:r>
            <w:r w:rsidRPr="006F786C">
              <w:rPr>
                <w:bCs/>
              </w:rPr>
              <w:t>Kopplingarna mellan strategin och andra politikområden, bl.a. jämställdhet,</w:t>
            </w:r>
            <w:r>
              <w:rPr>
                <w:bCs/>
              </w:rPr>
              <w:t xml:space="preserve"> </w:t>
            </w:r>
            <w:r w:rsidRPr="006F786C">
              <w:rPr>
                <w:bCs/>
              </w:rPr>
              <w:t>bör göras tydliga. Befogenhetsfördelningen mellan EU och medlemsstaterna</w:t>
            </w:r>
            <w:r>
              <w:rPr>
                <w:bCs/>
              </w:rPr>
              <w:t xml:space="preserve"> </w:t>
            </w:r>
            <w:r w:rsidRPr="006F786C">
              <w:rPr>
                <w:bCs/>
              </w:rPr>
              <w:t>ska värnas, och i ljuset av detta bör tyngdpunkten i förhållande till</w:t>
            </w:r>
            <w:r>
              <w:rPr>
                <w:bCs/>
              </w:rPr>
              <w:t xml:space="preserve"> </w:t>
            </w:r>
            <w:r w:rsidRPr="006F786C">
              <w:rPr>
                <w:bCs/>
              </w:rPr>
              <w:t>medlemsstaterna ligga på stöd och verktyg samt utbyte av erfarenheter och</w:t>
            </w:r>
            <w:r>
              <w:rPr>
                <w:bCs/>
              </w:rPr>
              <w:t xml:space="preserve"> </w:t>
            </w:r>
            <w:r w:rsidRPr="006F786C">
              <w:rPr>
                <w:bCs/>
              </w:rPr>
              <w:t>idéer. Detta bör även vara fokus för arbetet i den arbetsgrupp som inrättats</w:t>
            </w:r>
            <w:r>
              <w:rPr>
                <w:bCs/>
              </w:rPr>
              <w:t xml:space="preserve"> </w:t>
            </w:r>
            <w:r w:rsidRPr="006F786C">
              <w:rPr>
                <w:bCs/>
              </w:rPr>
              <w:t>för ändamålet.</w:t>
            </w:r>
          </w:p>
          <w:p w14:paraId="2500ECD2" w14:textId="77777777" w:rsidR="006F786C" w:rsidRPr="006F786C" w:rsidRDefault="006F786C" w:rsidP="006F786C">
            <w:pPr>
              <w:pStyle w:val="Liststycke"/>
              <w:spacing w:after="200" w:line="280" w:lineRule="exact"/>
              <w:ind w:left="360"/>
              <w:rPr>
                <w:bCs/>
              </w:rPr>
            </w:pPr>
          </w:p>
          <w:p w14:paraId="2F8A0776" w14:textId="77777777" w:rsidR="006F786C" w:rsidRPr="006F786C" w:rsidRDefault="006F786C" w:rsidP="006F786C">
            <w:pPr>
              <w:pStyle w:val="Liststycke"/>
              <w:spacing w:after="200" w:line="280" w:lineRule="exact"/>
              <w:ind w:left="360"/>
              <w:rPr>
                <w:bCs/>
              </w:rPr>
            </w:pPr>
            <w:r w:rsidRPr="006F786C">
              <w:rPr>
                <w:bCs/>
              </w:rPr>
              <w:t>I strategin bör det finnas en plan för dess genomförande, inklusive för</w:t>
            </w:r>
          </w:p>
          <w:p w14:paraId="2A946833" w14:textId="0CFFF70D" w:rsidR="006F786C" w:rsidRPr="006F786C" w:rsidRDefault="006F786C" w:rsidP="006F786C">
            <w:pPr>
              <w:pStyle w:val="Liststycke"/>
              <w:spacing w:after="200" w:line="280" w:lineRule="exact"/>
              <w:ind w:left="360"/>
              <w:rPr>
                <w:bCs/>
              </w:rPr>
            </w:pPr>
            <w:r w:rsidRPr="006F786C">
              <w:rPr>
                <w:bCs/>
              </w:rPr>
              <w:t xml:space="preserve">löpande utvärdering och uppföljning. Uppföljning av </w:t>
            </w:r>
            <w:r>
              <w:rPr>
                <w:bCs/>
              </w:rPr>
              <w:t>m</w:t>
            </w:r>
            <w:r w:rsidRPr="006F786C">
              <w:rPr>
                <w:bCs/>
              </w:rPr>
              <w:t>edlemsstaternas</w:t>
            </w:r>
            <w:r>
              <w:rPr>
                <w:bCs/>
              </w:rPr>
              <w:t xml:space="preserve"> </w:t>
            </w:r>
            <w:r w:rsidRPr="006F786C">
              <w:rPr>
                <w:bCs/>
              </w:rPr>
              <w:t>nationella handlingsplaner bör ingå i detta, men utformas på ett sätt som i</w:t>
            </w:r>
            <w:r>
              <w:rPr>
                <w:bCs/>
              </w:rPr>
              <w:t xml:space="preserve"> </w:t>
            </w:r>
            <w:r w:rsidRPr="006F786C">
              <w:rPr>
                <w:bCs/>
              </w:rPr>
              <w:t>största möjliga mån håller nere medlemsstaternas arbetsbelastning.</w:t>
            </w:r>
          </w:p>
          <w:p w14:paraId="1A6E3EE0" w14:textId="77777777" w:rsidR="006F786C" w:rsidRPr="006F786C" w:rsidRDefault="006F786C" w:rsidP="006F786C">
            <w:pPr>
              <w:pStyle w:val="Liststycke"/>
              <w:spacing w:after="200" w:line="280" w:lineRule="exact"/>
              <w:ind w:left="360"/>
              <w:rPr>
                <w:bCs/>
              </w:rPr>
            </w:pPr>
          </w:p>
          <w:p w14:paraId="779368CE" w14:textId="7B95809D" w:rsidR="006F786C" w:rsidRPr="006F786C" w:rsidRDefault="006F786C" w:rsidP="006F786C">
            <w:pPr>
              <w:pStyle w:val="Liststycke"/>
              <w:spacing w:after="200" w:line="280" w:lineRule="exact"/>
              <w:ind w:left="360"/>
              <w:rPr>
                <w:bCs/>
              </w:rPr>
            </w:pPr>
            <w:r w:rsidRPr="006F786C">
              <w:rPr>
                <w:bCs/>
              </w:rPr>
              <w:t>Som ett led i uppföljningen behövs tillförlitliga uppgifter om hbtqi-personers</w:t>
            </w:r>
            <w:r>
              <w:rPr>
                <w:bCs/>
              </w:rPr>
              <w:t xml:space="preserve"> </w:t>
            </w:r>
            <w:r w:rsidRPr="006F786C">
              <w:rPr>
                <w:bCs/>
              </w:rPr>
              <w:t>livsvillkor inom EU. Samtidigt är arbetet med sådan data komplext, och det</w:t>
            </w:r>
            <w:r>
              <w:rPr>
                <w:bCs/>
              </w:rPr>
              <w:t xml:space="preserve"> </w:t>
            </w:r>
            <w:r w:rsidRPr="006F786C">
              <w:rPr>
                <w:bCs/>
              </w:rPr>
              <w:t>är av stor vikt att upprätthålla medlemsstaternas utrymme att agera utifrån</w:t>
            </w:r>
            <w:r>
              <w:rPr>
                <w:bCs/>
              </w:rPr>
              <w:t xml:space="preserve"> </w:t>
            </w:r>
            <w:r w:rsidRPr="006F786C">
              <w:rPr>
                <w:bCs/>
              </w:rPr>
              <w:t>den nationella situationen samt de förutsättningar och behov som råder i</w:t>
            </w:r>
            <w:r>
              <w:rPr>
                <w:bCs/>
              </w:rPr>
              <w:t xml:space="preserve"> </w:t>
            </w:r>
            <w:r w:rsidRPr="006F786C">
              <w:rPr>
                <w:bCs/>
              </w:rPr>
              <w:t xml:space="preserve">staten. I första hand bör därför EU-byråerna FRA:s och </w:t>
            </w:r>
            <w:proofErr w:type="spellStart"/>
            <w:r w:rsidRPr="006F786C">
              <w:rPr>
                <w:bCs/>
              </w:rPr>
              <w:t>EIGE:s</w:t>
            </w:r>
            <w:proofErr w:type="spellEnd"/>
            <w:r w:rsidRPr="006F786C">
              <w:rPr>
                <w:bCs/>
              </w:rPr>
              <w:t xml:space="preserve"> uppgifter</w:t>
            </w:r>
            <w:r>
              <w:rPr>
                <w:bCs/>
              </w:rPr>
              <w:t xml:space="preserve"> </w:t>
            </w:r>
            <w:r w:rsidRPr="006F786C">
              <w:rPr>
                <w:bCs/>
              </w:rPr>
              <w:t>att skapa en god kunskapsbas med jämförbara data bibehållas och utvecklas.</w:t>
            </w:r>
            <w:r>
              <w:rPr>
                <w:bCs/>
              </w:rPr>
              <w:t xml:space="preserve"> </w:t>
            </w:r>
            <w:r w:rsidRPr="006F786C">
              <w:rPr>
                <w:bCs/>
              </w:rPr>
              <w:t>Nya bindande förslag om datainsamling i medlemsstaterna ska undvikas.</w:t>
            </w:r>
          </w:p>
          <w:p w14:paraId="6D2891C2" w14:textId="77777777" w:rsidR="006F786C" w:rsidRPr="006F786C" w:rsidRDefault="006F786C" w:rsidP="006F786C">
            <w:pPr>
              <w:pStyle w:val="Liststycke"/>
              <w:spacing w:after="200" w:line="280" w:lineRule="exact"/>
              <w:ind w:left="360"/>
              <w:rPr>
                <w:bCs/>
              </w:rPr>
            </w:pPr>
          </w:p>
          <w:p w14:paraId="60B766A1" w14:textId="409F313A" w:rsidR="006F786C" w:rsidRPr="006F786C" w:rsidRDefault="006F786C" w:rsidP="006F786C">
            <w:pPr>
              <w:pStyle w:val="Liststycke"/>
              <w:spacing w:after="200" w:line="280" w:lineRule="exact"/>
              <w:ind w:left="360"/>
              <w:rPr>
                <w:bCs/>
              </w:rPr>
            </w:pPr>
            <w:r w:rsidRPr="006F786C">
              <w:rPr>
                <w:bCs/>
              </w:rPr>
              <w:t>Hbtqi-personer ska kunna leva trygga och stolta i hela EU. Hatbrott, våld,</w:t>
            </w:r>
            <w:r>
              <w:rPr>
                <w:bCs/>
              </w:rPr>
              <w:t xml:space="preserve"> </w:t>
            </w:r>
            <w:r w:rsidRPr="006F786C">
              <w:rPr>
                <w:bCs/>
              </w:rPr>
              <w:t>och trakasserier kan aldrig accepteras, oavsett om det sker online eller</w:t>
            </w:r>
            <w:r>
              <w:rPr>
                <w:bCs/>
              </w:rPr>
              <w:t xml:space="preserve"> </w:t>
            </w:r>
            <w:proofErr w:type="spellStart"/>
            <w:r w:rsidRPr="006F786C">
              <w:rPr>
                <w:bCs/>
              </w:rPr>
              <w:t>offline</w:t>
            </w:r>
            <w:proofErr w:type="spellEnd"/>
            <w:r w:rsidRPr="006F786C">
              <w:rPr>
                <w:bCs/>
              </w:rPr>
              <w:t>. Dessutom behöver hbtqi-personers utsatthet för hedersrelaterat våld</w:t>
            </w:r>
            <w:r>
              <w:rPr>
                <w:bCs/>
              </w:rPr>
              <w:t xml:space="preserve"> </w:t>
            </w:r>
            <w:r w:rsidRPr="006F786C">
              <w:rPr>
                <w:bCs/>
              </w:rPr>
              <w:t>och förtryck adresseras och åtgärdas mer kraftfullt, inklusive s.k.</w:t>
            </w:r>
            <w:r>
              <w:rPr>
                <w:bCs/>
              </w:rPr>
              <w:t xml:space="preserve"> </w:t>
            </w:r>
            <w:r w:rsidRPr="006F786C">
              <w:rPr>
                <w:bCs/>
              </w:rPr>
              <w:t>omvändelseförsök. EU bör därför fortsatt agera på lämpligt sätt på området</w:t>
            </w:r>
            <w:r>
              <w:rPr>
                <w:bCs/>
              </w:rPr>
              <w:t xml:space="preserve"> </w:t>
            </w:r>
            <w:r w:rsidRPr="006F786C">
              <w:rPr>
                <w:bCs/>
              </w:rPr>
              <w:t>och ta höjd för den digitala utvecklingen.</w:t>
            </w:r>
          </w:p>
          <w:p w14:paraId="76E9241F" w14:textId="77777777" w:rsidR="006F786C" w:rsidRPr="006F786C" w:rsidRDefault="006F786C" w:rsidP="006F786C">
            <w:pPr>
              <w:pStyle w:val="Liststycke"/>
              <w:spacing w:after="200" w:line="280" w:lineRule="exact"/>
              <w:ind w:left="360"/>
              <w:rPr>
                <w:bCs/>
              </w:rPr>
            </w:pPr>
          </w:p>
          <w:p w14:paraId="48B0691F" w14:textId="4AA03E27" w:rsidR="006F786C" w:rsidRDefault="006F786C" w:rsidP="006F786C">
            <w:pPr>
              <w:pStyle w:val="Liststycke"/>
              <w:spacing w:after="200" w:line="280" w:lineRule="exact"/>
              <w:ind w:left="360"/>
              <w:rPr>
                <w:bCs/>
              </w:rPr>
            </w:pPr>
            <w:r w:rsidRPr="006F786C">
              <w:rPr>
                <w:bCs/>
              </w:rPr>
              <w:t>Diskriminering och trakasserier mot hbtqi-personer ska motverkas inom alla</w:t>
            </w:r>
            <w:r>
              <w:rPr>
                <w:bCs/>
              </w:rPr>
              <w:t xml:space="preserve"> </w:t>
            </w:r>
            <w:r w:rsidRPr="006F786C">
              <w:rPr>
                <w:bCs/>
              </w:rPr>
              <w:t>samhällsområden. Det är därför angeläget att det s.k. antidiskrimineringsdirektivet</w:t>
            </w:r>
            <w:r>
              <w:rPr>
                <w:bCs/>
              </w:rPr>
              <w:t xml:space="preserve"> </w:t>
            </w:r>
            <w:r w:rsidRPr="006F786C">
              <w:rPr>
                <w:bCs/>
              </w:rPr>
              <w:t>kan antas så snart som möjligt för att åstadkomma ett enhetligt</w:t>
            </w:r>
            <w:r>
              <w:rPr>
                <w:bCs/>
              </w:rPr>
              <w:t xml:space="preserve"> </w:t>
            </w:r>
            <w:r w:rsidRPr="006F786C">
              <w:rPr>
                <w:bCs/>
              </w:rPr>
              <w:t>skydd mot diskriminering, även på grund av sexuell läggning. Ytterligare</w:t>
            </w:r>
            <w:r>
              <w:rPr>
                <w:bCs/>
              </w:rPr>
              <w:t xml:space="preserve"> </w:t>
            </w:r>
            <w:r w:rsidRPr="006F786C">
              <w:rPr>
                <w:bCs/>
              </w:rPr>
              <w:t>åtgärder, som t.ex. adresserar hälsa och socioekonomiska faktorer, kan</w:t>
            </w:r>
            <w:r>
              <w:rPr>
                <w:bCs/>
              </w:rPr>
              <w:t xml:space="preserve"> </w:t>
            </w:r>
            <w:r w:rsidRPr="006F786C">
              <w:rPr>
                <w:bCs/>
              </w:rPr>
              <w:t>tillföra ett mervärde men bör vara icke-lagstiftande.</w:t>
            </w:r>
          </w:p>
          <w:p w14:paraId="007D30E5" w14:textId="77777777" w:rsidR="006F786C" w:rsidRPr="006F786C" w:rsidRDefault="006F786C" w:rsidP="006F786C">
            <w:pPr>
              <w:pStyle w:val="Liststycke"/>
              <w:spacing w:after="200" w:line="280" w:lineRule="exact"/>
              <w:ind w:left="360"/>
              <w:rPr>
                <w:bCs/>
              </w:rPr>
            </w:pPr>
          </w:p>
          <w:p w14:paraId="793750CC" w14:textId="556363B9" w:rsidR="006F786C" w:rsidRPr="006F786C" w:rsidRDefault="006F786C" w:rsidP="006F786C">
            <w:pPr>
              <w:pStyle w:val="Liststycke"/>
              <w:spacing w:after="200" w:line="280" w:lineRule="exact"/>
              <w:ind w:left="360"/>
              <w:rPr>
                <w:bCs/>
              </w:rPr>
            </w:pPr>
            <w:r w:rsidRPr="006F786C">
              <w:rPr>
                <w:bCs/>
              </w:rPr>
              <w:t>Regeringen anser att alla EU-länder fullt ut måste respektera unionens</w:t>
            </w:r>
            <w:r>
              <w:rPr>
                <w:bCs/>
              </w:rPr>
              <w:t xml:space="preserve"> </w:t>
            </w:r>
            <w:r w:rsidRPr="006F786C">
              <w:rPr>
                <w:bCs/>
              </w:rPr>
              <w:t xml:space="preserve">värden och att den fria rörligheten måste vara </w:t>
            </w:r>
            <w:r w:rsidRPr="006F786C">
              <w:rPr>
                <w:bCs/>
              </w:rPr>
              <w:lastRenderedPageBreak/>
              <w:t>välfungerande och värnas för</w:t>
            </w:r>
            <w:r>
              <w:rPr>
                <w:bCs/>
              </w:rPr>
              <w:t xml:space="preserve"> </w:t>
            </w:r>
            <w:r w:rsidRPr="006F786C">
              <w:rPr>
                <w:bCs/>
              </w:rPr>
              <w:t>alla EU-medborgare, inklusive hbtqi-personer. Kommissionens roll att</w:t>
            </w:r>
            <w:r>
              <w:rPr>
                <w:bCs/>
              </w:rPr>
              <w:t xml:space="preserve"> </w:t>
            </w:r>
            <w:r w:rsidRPr="006F786C">
              <w:rPr>
                <w:bCs/>
              </w:rPr>
              <w:t xml:space="preserve">säkerställa ett korrekt </w:t>
            </w:r>
            <w:r>
              <w:rPr>
                <w:bCs/>
              </w:rPr>
              <w:t>g</w:t>
            </w:r>
            <w:r w:rsidRPr="006F786C">
              <w:rPr>
                <w:bCs/>
              </w:rPr>
              <w:t>enomförande av EU-rätten har därför stor betydelse,</w:t>
            </w:r>
          </w:p>
          <w:p w14:paraId="5A2396EC" w14:textId="77777777" w:rsidR="006F786C" w:rsidRPr="006F786C" w:rsidRDefault="006F786C" w:rsidP="006F786C">
            <w:pPr>
              <w:pStyle w:val="Liststycke"/>
              <w:spacing w:after="200" w:line="280" w:lineRule="exact"/>
              <w:ind w:left="360"/>
              <w:rPr>
                <w:bCs/>
              </w:rPr>
            </w:pPr>
            <w:r w:rsidRPr="006F786C">
              <w:rPr>
                <w:bCs/>
              </w:rPr>
              <w:t>och bör vara ett fokusområde i strategin framåt.</w:t>
            </w:r>
          </w:p>
          <w:p w14:paraId="2261BC78" w14:textId="77777777" w:rsidR="006F786C" w:rsidRPr="006F786C" w:rsidRDefault="006F786C" w:rsidP="006F786C">
            <w:pPr>
              <w:pStyle w:val="Liststycke"/>
              <w:spacing w:after="200" w:line="280" w:lineRule="exact"/>
              <w:ind w:left="360"/>
              <w:rPr>
                <w:bCs/>
              </w:rPr>
            </w:pPr>
          </w:p>
          <w:p w14:paraId="3470E9D4" w14:textId="2B28692B" w:rsidR="00807445" w:rsidRDefault="006F786C" w:rsidP="006F786C">
            <w:pPr>
              <w:pStyle w:val="Liststycke"/>
              <w:spacing w:after="200" w:line="280" w:lineRule="exact"/>
              <w:ind w:left="360"/>
              <w:rPr>
                <w:bCs/>
              </w:rPr>
            </w:pPr>
            <w:r w:rsidRPr="006F786C">
              <w:rPr>
                <w:bCs/>
              </w:rPr>
              <w:t>Sett i ljuset av omvärldsläget där mänskliga rättigheter allt mer utmanas och</w:t>
            </w:r>
            <w:r>
              <w:rPr>
                <w:bCs/>
              </w:rPr>
              <w:t xml:space="preserve"> </w:t>
            </w:r>
            <w:r w:rsidRPr="006F786C">
              <w:rPr>
                <w:bCs/>
              </w:rPr>
              <w:t>ifrågasätts, särskilt i fråga för hbtqi-personer, är det av vikt att EU än mer</w:t>
            </w:r>
            <w:r>
              <w:rPr>
                <w:bCs/>
              </w:rPr>
              <w:t xml:space="preserve"> </w:t>
            </w:r>
            <w:r w:rsidRPr="006F786C">
              <w:rPr>
                <w:bCs/>
              </w:rPr>
              <w:t>införlivar hbtqi-frågor i unionens externa förbindelser och utrikespolitik. EU</w:t>
            </w:r>
            <w:r>
              <w:rPr>
                <w:bCs/>
              </w:rPr>
              <w:t xml:space="preserve"> </w:t>
            </w:r>
            <w:r w:rsidRPr="006F786C">
              <w:rPr>
                <w:bCs/>
              </w:rPr>
              <w:t>ska vara en tydlig röst för hbtqi-personers fulla åtnjutande av mänskliga</w:t>
            </w:r>
            <w:r>
              <w:rPr>
                <w:bCs/>
              </w:rPr>
              <w:t xml:space="preserve"> </w:t>
            </w:r>
            <w:r w:rsidRPr="006F786C">
              <w:rPr>
                <w:bCs/>
              </w:rPr>
              <w:t>rättigheter globalt.</w:t>
            </w:r>
          </w:p>
          <w:p w14:paraId="485766CB" w14:textId="77777777" w:rsidR="006F786C" w:rsidRDefault="006F786C" w:rsidP="006F786C">
            <w:pPr>
              <w:pStyle w:val="Liststycke"/>
              <w:spacing w:after="200" w:line="280" w:lineRule="exact"/>
              <w:ind w:left="360"/>
              <w:rPr>
                <w:bCs/>
                <w:sz w:val="24"/>
                <w:szCs w:val="24"/>
              </w:rPr>
            </w:pPr>
          </w:p>
          <w:p w14:paraId="73A1A474" w14:textId="447413C4" w:rsidR="00807445" w:rsidRPr="00807445" w:rsidRDefault="00807445" w:rsidP="00E67AAC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Ordföranden konstaterade att det fanns stöd för regeringens ståndpunkt.</w:t>
            </w:r>
          </w:p>
        </w:tc>
      </w:tr>
      <w:tr w:rsidR="006F786C" w:rsidRPr="00B179A2" w14:paraId="4ED569D2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148E08F6" w14:textId="7B44EF51" w:rsidR="006F786C" w:rsidRDefault="006F786C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1F63C15E" w14:textId="77777777" w:rsidR="006F786C" w:rsidRDefault="006F786C" w:rsidP="00E67AAC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Kommande jämlikhetsstrategi mot rasism</w:t>
            </w:r>
          </w:p>
          <w:p w14:paraId="37125EF9" w14:textId="77777777" w:rsidR="006F786C" w:rsidRDefault="006F786C" w:rsidP="00E67AAC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</w:p>
          <w:p w14:paraId="5943349D" w14:textId="08E222D6" w:rsidR="006F786C" w:rsidRPr="006F786C" w:rsidRDefault="006F786C" w:rsidP="00E67AAC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  <w:r w:rsidRPr="006F786C">
              <w:rPr>
                <w:bCs/>
                <w:sz w:val="24"/>
                <w:szCs w:val="24"/>
              </w:rPr>
              <w:t>Utskottet överlade med statssekreterare Katarina Lundahl, biträdd av medarbetare från Arbetsmarknadsdepartementet.</w:t>
            </w:r>
          </w:p>
          <w:p w14:paraId="665F1507" w14:textId="68B68A9A" w:rsidR="006F786C" w:rsidRPr="006F786C" w:rsidRDefault="006F786C" w:rsidP="00E67AAC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</w:p>
          <w:p w14:paraId="3DF026B6" w14:textId="47E958FA" w:rsidR="006F786C" w:rsidRPr="006F786C" w:rsidRDefault="006F786C" w:rsidP="00E67AAC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  <w:r w:rsidRPr="006F786C">
              <w:rPr>
                <w:bCs/>
                <w:sz w:val="24"/>
                <w:szCs w:val="24"/>
              </w:rPr>
              <w:t xml:space="preserve">Underlaget utgjordes av Regeringskansliets överläggningspromemoria (dnr </w:t>
            </w:r>
            <w:r w:rsidR="00F60556" w:rsidRPr="006F786C">
              <w:rPr>
                <w:bCs/>
                <w:sz w:val="24"/>
                <w:szCs w:val="24"/>
              </w:rPr>
              <w:t>1615–2024</w:t>
            </w:r>
            <w:r w:rsidRPr="006F786C">
              <w:rPr>
                <w:bCs/>
                <w:sz w:val="24"/>
                <w:szCs w:val="24"/>
              </w:rPr>
              <w:t>/25)</w:t>
            </w:r>
            <w:r w:rsidR="003342AE">
              <w:rPr>
                <w:bCs/>
                <w:sz w:val="24"/>
                <w:szCs w:val="24"/>
              </w:rPr>
              <w:t>.</w:t>
            </w:r>
          </w:p>
          <w:p w14:paraId="5E1DAFDC" w14:textId="77777777" w:rsidR="006F786C" w:rsidRDefault="006F786C" w:rsidP="00E67AAC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</w:p>
          <w:p w14:paraId="4E1135B4" w14:textId="77777777" w:rsidR="006F786C" w:rsidRPr="006F786C" w:rsidRDefault="006F786C" w:rsidP="00E67AAC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  <w:r w:rsidRPr="006F786C">
              <w:rPr>
                <w:bCs/>
                <w:sz w:val="24"/>
                <w:szCs w:val="24"/>
              </w:rPr>
              <w:t>Statssekreteraren redogjorde för regeringens ståndpunkt i enlighet med överläggningspromemorian:</w:t>
            </w:r>
          </w:p>
          <w:p w14:paraId="310788B1" w14:textId="0868E182" w:rsidR="006F786C" w:rsidRPr="00421D21" w:rsidRDefault="006F786C" w:rsidP="006F786C">
            <w:pPr>
              <w:autoSpaceDE w:val="0"/>
              <w:autoSpaceDN w:val="0"/>
              <w:adjustRightInd w:val="0"/>
              <w:ind w:left="360"/>
              <w:rPr>
                <w:rFonts w:eastAsiaTheme="minorHAnsi"/>
                <w:sz w:val="22"/>
                <w:szCs w:val="22"/>
                <w:lang w:eastAsia="en-US"/>
              </w:rPr>
            </w:pPr>
            <w:r w:rsidRPr="00421D21">
              <w:rPr>
                <w:rFonts w:eastAsiaTheme="minorHAnsi"/>
                <w:sz w:val="22"/>
                <w:szCs w:val="22"/>
                <w:lang w:eastAsia="en-US"/>
              </w:rPr>
              <w:t>Regeringen välkomnar att kommissionen aviserat en ny strategi mot rasism.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21D21">
              <w:rPr>
                <w:rFonts w:eastAsiaTheme="minorHAnsi"/>
                <w:sz w:val="22"/>
                <w:szCs w:val="22"/>
                <w:lang w:eastAsia="en-US"/>
              </w:rPr>
              <w:t>Att bekämpa rasism är en integrerad del av arbetet med att upprätthålla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21D21">
              <w:rPr>
                <w:rFonts w:eastAsiaTheme="minorHAnsi"/>
                <w:sz w:val="22"/>
                <w:szCs w:val="22"/>
                <w:lang w:eastAsia="en-US"/>
              </w:rPr>
              <w:t>respekten för unionens värden, inklusive stadgan om de grundläggande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21D21">
              <w:rPr>
                <w:rFonts w:eastAsiaTheme="minorHAnsi"/>
                <w:sz w:val="22"/>
                <w:szCs w:val="22"/>
                <w:lang w:eastAsia="en-US"/>
              </w:rPr>
              <w:t>rättigheterna. Detta arbete behöver fortsätta med samlad kraft och bör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21D21">
              <w:rPr>
                <w:rFonts w:eastAsiaTheme="minorHAnsi"/>
                <w:sz w:val="22"/>
                <w:szCs w:val="22"/>
                <w:lang w:eastAsia="en-US"/>
              </w:rPr>
              <w:t>utvecklas för att möta aktuella utmaningar. Arbetet bör ske samlat mot alla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21D21">
              <w:rPr>
                <w:rFonts w:eastAsiaTheme="minorHAnsi"/>
                <w:sz w:val="22"/>
                <w:szCs w:val="22"/>
                <w:lang w:eastAsia="en-US"/>
              </w:rPr>
              <w:t>former av rasism, och deras respektive särdrag, samtidigt som det är viktigt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21D21">
              <w:rPr>
                <w:rFonts w:eastAsiaTheme="minorHAnsi"/>
                <w:sz w:val="22"/>
                <w:szCs w:val="22"/>
                <w:lang w:eastAsia="en-US"/>
              </w:rPr>
              <w:t>att fokusera på olika former av rasism för att fånga upp olika gruppers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21D21">
              <w:rPr>
                <w:rFonts w:eastAsiaTheme="minorHAnsi"/>
                <w:sz w:val="22"/>
                <w:szCs w:val="22"/>
                <w:lang w:eastAsia="en-US"/>
              </w:rPr>
              <w:t>utsatthet och öka insatsernas träffsäkerhet. Detta innebär att EU:s arbete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21D21">
              <w:rPr>
                <w:rFonts w:eastAsiaTheme="minorHAnsi"/>
                <w:sz w:val="22"/>
                <w:szCs w:val="22"/>
                <w:lang w:eastAsia="en-US"/>
              </w:rPr>
              <w:t>mot anti-muslimsk rasism bör ingå i den nya strategin, och att strategin bör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21D21">
              <w:rPr>
                <w:rFonts w:eastAsiaTheme="minorHAnsi"/>
                <w:sz w:val="22"/>
                <w:szCs w:val="22"/>
                <w:lang w:eastAsia="en-US"/>
              </w:rPr>
              <w:t>vara samordnad med EU:s strategi mot antisemitism och för judiskt liv.</w:t>
            </w:r>
          </w:p>
          <w:p w14:paraId="0913B244" w14:textId="77777777" w:rsidR="006F786C" w:rsidRPr="00421D21" w:rsidRDefault="006F786C" w:rsidP="006F78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7AE7E618" w14:textId="392E6CE8" w:rsidR="006F786C" w:rsidRPr="00421D21" w:rsidRDefault="006F786C" w:rsidP="006F786C">
            <w:pPr>
              <w:autoSpaceDE w:val="0"/>
              <w:autoSpaceDN w:val="0"/>
              <w:adjustRightInd w:val="0"/>
              <w:ind w:left="360"/>
              <w:rPr>
                <w:rFonts w:eastAsiaTheme="minorHAnsi"/>
                <w:sz w:val="22"/>
                <w:szCs w:val="22"/>
                <w:lang w:eastAsia="en-US"/>
              </w:rPr>
            </w:pPr>
            <w:r w:rsidRPr="00421D21">
              <w:rPr>
                <w:rFonts w:eastAsiaTheme="minorHAnsi"/>
                <w:sz w:val="22"/>
                <w:szCs w:val="22"/>
                <w:lang w:eastAsia="en-US"/>
              </w:rPr>
              <w:t>Strategin bör utarbetas på basis av lärdomar från nuvarande handlingsplan,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21D21">
              <w:rPr>
                <w:rFonts w:eastAsiaTheme="minorHAnsi"/>
                <w:sz w:val="22"/>
                <w:szCs w:val="22"/>
                <w:lang w:eastAsia="en-US"/>
              </w:rPr>
              <w:t>särskilt om vad som har bidragit till resultat och måluppfyllelse.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21D21">
              <w:rPr>
                <w:rFonts w:eastAsiaTheme="minorHAnsi"/>
                <w:sz w:val="22"/>
                <w:szCs w:val="22"/>
                <w:lang w:eastAsia="en-US"/>
              </w:rPr>
              <w:t>Kommissionen bör nära involvera medlemsstaterna i processen med att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21D21">
              <w:rPr>
                <w:rFonts w:eastAsiaTheme="minorHAnsi"/>
                <w:sz w:val="22"/>
                <w:szCs w:val="22"/>
                <w:lang w:eastAsia="en-US"/>
              </w:rPr>
              <w:t>utarbeta och genomföra den nya strategin. Andra relevanta aktörer, inklusive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21D21">
              <w:rPr>
                <w:rFonts w:eastAsiaTheme="minorHAnsi"/>
                <w:sz w:val="22"/>
                <w:szCs w:val="22"/>
                <w:lang w:eastAsia="en-US"/>
              </w:rPr>
              <w:t>det civila samhällets organisationer, bör ges möjlighet till inspel och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21D21">
              <w:rPr>
                <w:rFonts w:eastAsiaTheme="minorHAnsi"/>
                <w:sz w:val="22"/>
                <w:szCs w:val="22"/>
                <w:lang w:eastAsia="en-US"/>
              </w:rPr>
              <w:t>delaktighet. Dialoger med grupper som riskerar att utsättas för rasism är ett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21D21">
              <w:rPr>
                <w:rFonts w:eastAsiaTheme="minorHAnsi"/>
                <w:sz w:val="22"/>
                <w:szCs w:val="22"/>
                <w:lang w:eastAsia="en-US"/>
              </w:rPr>
              <w:t>viktigt underlag, bl.a. för att öka förståelsen för hur rasism kan ta sig uttryck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21D21">
              <w:rPr>
                <w:rFonts w:eastAsiaTheme="minorHAnsi"/>
                <w:sz w:val="22"/>
                <w:szCs w:val="22"/>
                <w:lang w:eastAsia="en-US"/>
              </w:rPr>
              <w:t>och vilka konsekvenserna blir för de som utsätts.</w:t>
            </w:r>
          </w:p>
          <w:p w14:paraId="2D733383" w14:textId="77777777" w:rsidR="006F786C" w:rsidRPr="00421D21" w:rsidRDefault="006F786C" w:rsidP="006F78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1065998D" w14:textId="74FD0B2A" w:rsidR="006F786C" w:rsidRPr="00421D21" w:rsidRDefault="006F786C" w:rsidP="006F786C">
            <w:pPr>
              <w:autoSpaceDE w:val="0"/>
              <w:autoSpaceDN w:val="0"/>
              <w:adjustRightInd w:val="0"/>
              <w:ind w:left="360"/>
              <w:rPr>
                <w:rFonts w:eastAsiaTheme="minorHAnsi"/>
                <w:sz w:val="22"/>
                <w:szCs w:val="22"/>
                <w:lang w:eastAsia="en-US"/>
              </w:rPr>
            </w:pPr>
            <w:r w:rsidRPr="00421D21">
              <w:rPr>
                <w:rFonts w:eastAsiaTheme="minorHAnsi"/>
                <w:sz w:val="22"/>
                <w:szCs w:val="22"/>
                <w:lang w:eastAsia="en-US"/>
              </w:rPr>
              <w:t>Strategin bör ha ett tydligt resultatfokus med konkreta åtgärder av icke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Pr="00421D21">
              <w:rPr>
                <w:rFonts w:eastAsiaTheme="minorHAnsi"/>
                <w:sz w:val="22"/>
                <w:szCs w:val="22"/>
                <w:lang w:eastAsia="en-US"/>
              </w:rPr>
              <w:t>lagstiftande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21D21">
              <w:rPr>
                <w:rFonts w:eastAsiaTheme="minorHAnsi"/>
                <w:sz w:val="22"/>
                <w:szCs w:val="22"/>
                <w:lang w:eastAsia="en-US"/>
              </w:rPr>
              <w:t>karaktär, och lägga fram en inriktning samt sätta tydliga mål för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21D21">
              <w:rPr>
                <w:rFonts w:eastAsiaTheme="minorHAnsi"/>
                <w:sz w:val="22"/>
                <w:szCs w:val="22"/>
                <w:lang w:eastAsia="en-US"/>
              </w:rPr>
              <w:t>arbetet på EU-nivå. Befogenhetsfördelningen mellan EU och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21D21">
              <w:rPr>
                <w:rFonts w:eastAsiaTheme="minorHAnsi"/>
                <w:sz w:val="22"/>
                <w:szCs w:val="22"/>
                <w:lang w:eastAsia="en-US"/>
              </w:rPr>
              <w:t xml:space="preserve">medlemsstaterna ska värnas, och i enlighet med Sveriges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b</w:t>
            </w:r>
            <w:r w:rsidRPr="00421D21">
              <w:rPr>
                <w:rFonts w:eastAsiaTheme="minorHAnsi"/>
                <w:sz w:val="22"/>
                <w:szCs w:val="22"/>
                <w:lang w:eastAsia="en-US"/>
              </w:rPr>
              <w:t>udgetrestriktiva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21D21">
              <w:rPr>
                <w:rFonts w:eastAsiaTheme="minorHAnsi"/>
                <w:sz w:val="22"/>
                <w:szCs w:val="22"/>
                <w:lang w:eastAsia="en-US"/>
              </w:rPr>
              <w:t>hållning bör strategins ekonomiska konsekvenser begränsas. I ljuset av detta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21D21">
              <w:rPr>
                <w:rFonts w:eastAsiaTheme="minorHAnsi"/>
                <w:sz w:val="22"/>
                <w:szCs w:val="22"/>
                <w:lang w:eastAsia="en-US"/>
              </w:rPr>
              <w:t>bör bl.a. tyngdpunkten i förhållande till medlemsstaterna ligga på stöd och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21D21">
              <w:rPr>
                <w:rFonts w:eastAsiaTheme="minorHAnsi"/>
                <w:sz w:val="22"/>
                <w:szCs w:val="22"/>
                <w:lang w:eastAsia="en-US"/>
              </w:rPr>
              <w:t>verktyg samt utbyte av erfarenheter och idéer. Detta bör även vara fokus för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21D21">
              <w:rPr>
                <w:rFonts w:eastAsiaTheme="minorHAnsi"/>
                <w:sz w:val="22"/>
                <w:szCs w:val="22"/>
                <w:lang w:eastAsia="en-US"/>
              </w:rPr>
              <w:t>arbetet i den arbetsgrupp som inrättats för ändamålet.</w:t>
            </w:r>
          </w:p>
          <w:p w14:paraId="24C0765D" w14:textId="77777777" w:rsidR="006F786C" w:rsidRPr="00421D21" w:rsidRDefault="006F786C" w:rsidP="006F78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068993D9" w14:textId="77777777" w:rsidR="006F786C" w:rsidRPr="00421D21" w:rsidRDefault="006F786C" w:rsidP="006F786C">
            <w:pPr>
              <w:autoSpaceDE w:val="0"/>
              <w:autoSpaceDN w:val="0"/>
              <w:adjustRightInd w:val="0"/>
              <w:ind w:left="360"/>
              <w:rPr>
                <w:rFonts w:eastAsiaTheme="minorHAnsi"/>
                <w:sz w:val="22"/>
                <w:szCs w:val="22"/>
                <w:lang w:eastAsia="en-US"/>
              </w:rPr>
            </w:pPr>
            <w:r w:rsidRPr="00421D21">
              <w:rPr>
                <w:rFonts w:eastAsiaTheme="minorHAnsi"/>
                <w:sz w:val="22"/>
                <w:szCs w:val="22"/>
                <w:lang w:eastAsia="en-US"/>
              </w:rPr>
              <w:t>Ingen ska utsättas för rasism i samhället. Det är angeläget att stärka</w:t>
            </w:r>
          </w:p>
          <w:p w14:paraId="171911B8" w14:textId="3E6F58E6" w:rsidR="006F786C" w:rsidRPr="00421D21" w:rsidRDefault="006F786C" w:rsidP="006F786C">
            <w:pPr>
              <w:autoSpaceDE w:val="0"/>
              <w:autoSpaceDN w:val="0"/>
              <w:adjustRightInd w:val="0"/>
              <w:ind w:left="360"/>
              <w:rPr>
                <w:rFonts w:eastAsiaTheme="minorHAnsi"/>
                <w:sz w:val="22"/>
                <w:szCs w:val="22"/>
                <w:lang w:eastAsia="en-US"/>
              </w:rPr>
            </w:pPr>
            <w:r w:rsidRPr="00421D21">
              <w:rPr>
                <w:rFonts w:eastAsiaTheme="minorHAnsi"/>
                <w:sz w:val="22"/>
                <w:szCs w:val="22"/>
                <w:lang w:eastAsia="en-US"/>
              </w:rPr>
              <w:t>kunskapen om rasism, t.ex. i fråga om förekomsten av diskriminering och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21D21">
              <w:rPr>
                <w:rFonts w:eastAsiaTheme="minorHAnsi"/>
                <w:sz w:val="22"/>
                <w:szCs w:val="22"/>
                <w:lang w:eastAsia="en-US"/>
              </w:rPr>
              <w:t>hatbrott och situationen i digitala miljöer. Kunskap om förekomsten av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21D21">
              <w:rPr>
                <w:rFonts w:eastAsiaTheme="minorHAnsi"/>
                <w:sz w:val="22"/>
                <w:szCs w:val="22"/>
                <w:lang w:eastAsia="en-US"/>
              </w:rPr>
              <w:t>rasism är viktigt för att synliggöra individers utsatthet, men också för att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21D21">
              <w:rPr>
                <w:rFonts w:eastAsiaTheme="minorHAnsi"/>
                <w:sz w:val="22"/>
                <w:szCs w:val="22"/>
                <w:lang w:eastAsia="en-US"/>
              </w:rPr>
              <w:t>uppmärksamma när det är andra omständigheter som bidrar till upplevelser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21D21">
              <w:rPr>
                <w:rFonts w:eastAsiaTheme="minorHAnsi"/>
                <w:sz w:val="22"/>
                <w:szCs w:val="22"/>
                <w:lang w:eastAsia="en-US"/>
              </w:rPr>
              <w:t>av rasism eller när begreppet används för att tjäna andra syften. Arbetet på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21D21">
              <w:rPr>
                <w:rFonts w:eastAsiaTheme="minorHAnsi"/>
                <w:sz w:val="22"/>
                <w:szCs w:val="22"/>
                <w:lang w:eastAsia="en-US"/>
              </w:rPr>
              <w:t>området behöver vara baserat på evidens och utformas på ett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21D21">
              <w:rPr>
                <w:rFonts w:eastAsiaTheme="minorHAnsi"/>
                <w:sz w:val="22"/>
                <w:szCs w:val="22"/>
                <w:lang w:eastAsia="en-US"/>
              </w:rPr>
              <w:t>proportionerligt och ändamålsenligt sätt som inte går emot Kommissionens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21D21">
              <w:rPr>
                <w:rFonts w:eastAsiaTheme="minorHAnsi"/>
                <w:sz w:val="22"/>
                <w:szCs w:val="22"/>
                <w:lang w:eastAsia="en-US"/>
              </w:rPr>
              <w:t>agenda för regelförenkling. Med detta som utgångspunkt bör EU fortsatt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21D21">
              <w:rPr>
                <w:rFonts w:eastAsiaTheme="minorHAnsi"/>
                <w:sz w:val="22"/>
                <w:szCs w:val="22"/>
                <w:lang w:eastAsia="en-US"/>
              </w:rPr>
              <w:t>agera med lämpliga åtgärder – t.ex. i fråga om kunskapshöjande insatser,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21D21">
              <w:rPr>
                <w:rFonts w:eastAsiaTheme="minorHAnsi"/>
                <w:sz w:val="22"/>
                <w:szCs w:val="22"/>
                <w:lang w:eastAsia="en-US"/>
              </w:rPr>
              <w:t>rättsligt samarbete och åtgärder mot diskriminering – för att åstadkomma ett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21D21">
              <w:rPr>
                <w:rFonts w:eastAsiaTheme="minorHAnsi"/>
                <w:sz w:val="22"/>
                <w:szCs w:val="22"/>
                <w:lang w:eastAsia="en-US"/>
              </w:rPr>
              <w:t>EU fritt från rasism och hatbrott.</w:t>
            </w:r>
          </w:p>
          <w:p w14:paraId="37C986CD" w14:textId="77777777" w:rsidR="006F786C" w:rsidRPr="00421D21" w:rsidRDefault="006F786C" w:rsidP="006F78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37CC2E96" w14:textId="6B65E46C" w:rsidR="006F786C" w:rsidRDefault="006F786C" w:rsidP="006F786C">
            <w:pPr>
              <w:autoSpaceDE w:val="0"/>
              <w:autoSpaceDN w:val="0"/>
              <w:adjustRightInd w:val="0"/>
              <w:ind w:left="360"/>
              <w:rPr>
                <w:rFonts w:eastAsiaTheme="minorHAnsi"/>
                <w:sz w:val="22"/>
                <w:szCs w:val="22"/>
                <w:lang w:eastAsia="en-US"/>
              </w:rPr>
            </w:pPr>
            <w:r w:rsidRPr="00421D21">
              <w:rPr>
                <w:rFonts w:eastAsiaTheme="minorHAnsi"/>
                <w:sz w:val="22"/>
                <w:szCs w:val="22"/>
                <w:lang w:eastAsia="en-US"/>
              </w:rPr>
              <w:t>Det finns anledning att tidsätta strategin och det bör finnas en plan för dess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21D21">
              <w:rPr>
                <w:rFonts w:eastAsiaTheme="minorHAnsi"/>
                <w:sz w:val="22"/>
                <w:szCs w:val="22"/>
                <w:lang w:eastAsia="en-US"/>
              </w:rPr>
              <w:t>genomförande, inklusive för regelbunden utvärdering och uppföljning.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21D21">
              <w:rPr>
                <w:rFonts w:eastAsiaTheme="minorHAnsi"/>
                <w:sz w:val="22"/>
                <w:szCs w:val="22"/>
                <w:lang w:eastAsia="en-US"/>
              </w:rPr>
              <w:t>Uppföljning av medlemsstaternas nationella handlingsplaner bör ingå, men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21D21">
              <w:rPr>
                <w:rFonts w:eastAsiaTheme="minorHAnsi"/>
                <w:sz w:val="22"/>
                <w:szCs w:val="22"/>
                <w:lang w:eastAsia="en-US"/>
              </w:rPr>
              <w:t>utformas på ett sätt som i största möjliga mån håller nere arbetsbelastningen.</w:t>
            </w:r>
          </w:p>
          <w:p w14:paraId="3EF8F1FB" w14:textId="77777777" w:rsidR="006F786C" w:rsidRPr="00421D21" w:rsidRDefault="006F786C" w:rsidP="006F786C">
            <w:pPr>
              <w:autoSpaceDE w:val="0"/>
              <w:autoSpaceDN w:val="0"/>
              <w:adjustRightInd w:val="0"/>
              <w:ind w:left="360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2F23EF19" w14:textId="77777777" w:rsidR="006F786C" w:rsidRPr="00421D21" w:rsidRDefault="006F786C" w:rsidP="006F786C">
            <w:pPr>
              <w:autoSpaceDE w:val="0"/>
              <w:autoSpaceDN w:val="0"/>
              <w:adjustRightInd w:val="0"/>
              <w:ind w:left="360"/>
              <w:rPr>
                <w:rFonts w:eastAsiaTheme="minorHAnsi"/>
                <w:sz w:val="22"/>
                <w:szCs w:val="22"/>
                <w:lang w:eastAsia="en-US"/>
              </w:rPr>
            </w:pPr>
            <w:r w:rsidRPr="00421D21">
              <w:rPr>
                <w:rFonts w:eastAsiaTheme="minorHAnsi"/>
                <w:sz w:val="22"/>
                <w:szCs w:val="22"/>
                <w:lang w:eastAsia="en-US"/>
              </w:rPr>
              <w:t>Det behövs tillförlitligaövergripande uppgifter om befolkningens</w:t>
            </w:r>
          </w:p>
          <w:p w14:paraId="00798E79" w14:textId="1BDD8B6F" w:rsidR="006F786C" w:rsidRPr="00421D21" w:rsidRDefault="006F786C" w:rsidP="006F786C">
            <w:pPr>
              <w:autoSpaceDE w:val="0"/>
              <w:autoSpaceDN w:val="0"/>
              <w:adjustRightInd w:val="0"/>
              <w:ind w:left="360"/>
              <w:rPr>
                <w:rFonts w:eastAsiaTheme="minorHAnsi"/>
                <w:sz w:val="22"/>
                <w:szCs w:val="22"/>
                <w:lang w:eastAsia="en-US"/>
              </w:rPr>
            </w:pPr>
            <w:r w:rsidRPr="00421D21">
              <w:rPr>
                <w:rFonts w:eastAsiaTheme="minorHAnsi"/>
                <w:sz w:val="22"/>
                <w:szCs w:val="22"/>
                <w:lang w:eastAsia="en-US"/>
              </w:rPr>
              <w:t>sammansättning och levnadsvillkor för att det ska vara möjligt att följa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21D21">
              <w:rPr>
                <w:rFonts w:eastAsiaTheme="minorHAnsi"/>
                <w:sz w:val="22"/>
                <w:szCs w:val="22"/>
                <w:lang w:eastAsia="en-US"/>
              </w:rPr>
              <w:t>utvecklingen. Samtidigt är arbetet med sådan data komplext, särskilt inom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21D21">
              <w:rPr>
                <w:rFonts w:eastAsiaTheme="minorHAnsi"/>
                <w:sz w:val="22"/>
                <w:szCs w:val="22"/>
                <w:lang w:eastAsia="en-US"/>
              </w:rPr>
              <w:t>ramen för arbetet mot rasism, och det är av stor vikt att upprätthålla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21D21">
              <w:rPr>
                <w:rFonts w:eastAsiaTheme="minorHAnsi"/>
                <w:sz w:val="22"/>
                <w:szCs w:val="22"/>
                <w:lang w:eastAsia="en-US"/>
              </w:rPr>
              <w:t>medlemsstaternas utrymme att agera utifrån den nationella situationen samt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21D21">
              <w:rPr>
                <w:rFonts w:eastAsiaTheme="minorHAnsi"/>
                <w:sz w:val="22"/>
                <w:szCs w:val="22"/>
                <w:lang w:eastAsia="en-US"/>
              </w:rPr>
              <w:t>de förutsättningar och behov som råder i staten. I första hand bör därför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21D21">
              <w:rPr>
                <w:rFonts w:eastAsiaTheme="minorHAnsi"/>
                <w:sz w:val="22"/>
                <w:szCs w:val="22"/>
                <w:lang w:eastAsia="en-US"/>
              </w:rPr>
              <w:t>EU-byrån FRA på lämpligt sätt fortsätta samla in data kopplat till rasism,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21D21">
              <w:rPr>
                <w:rFonts w:eastAsiaTheme="minorHAnsi"/>
                <w:sz w:val="22"/>
                <w:szCs w:val="22"/>
                <w:lang w:eastAsia="en-US"/>
              </w:rPr>
              <w:t>däribland antisemitism och anti-muslimsk rasism för att möjliggöra ett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21D21">
              <w:rPr>
                <w:rFonts w:eastAsiaTheme="minorHAnsi"/>
                <w:sz w:val="22"/>
                <w:szCs w:val="22"/>
                <w:lang w:eastAsia="en-US"/>
              </w:rPr>
              <w:t>evidensbaserat beslutsfattande. Nya bindande förslag om datainsamling 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21D21">
              <w:rPr>
                <w:rFonts w:eastAsiaTheme="minorHAnsi"/>
                <w:sz w:val="22"/>
                <w:szCs w:val="22"/>
                <w:lang w:eastAsia="en-US"/>
              </w:rPr>
              <w:t>medlemsstaterna ska undvikas.</w:t>
            </w:r>
          </w:p>
          <w:p w14:paraId="525B6EBB" w14:textId="77777777" w:rsidR="006F786C" w:rsidRPr="00421D21" w:rsidRDefault="006F786C" w:rsidP="006F786C">
            <w:pPr>
              <w:autoSpaceDE w:val="0"/>
              <w:autoSpaceDN w:val="0"/>
              <w:adjustRightInd w:val="0"/>
              <w:ind w:left="360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3E4AFAD4" w14:textId="750B2DC1" w:rsidR="006F786C" w:rsidRPr="00421D21" w:rsidRDefault="006F786C" w:rsidP="006F786C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 w:rsidRPr="00421D21">
              <w:rPr>
                <w:rFonts w:eastAsiaTheme="minorHAnsi"/>
                <w:sz w:val="22"/>
                <w:szCs w:val="22"/>
                <w:lang w:eastAsia="en-US"/>
              </w:rPr>
              <w:t>Ett samlat agerande från EU gentemot tredje länder och internationella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21D21">
              <w:rPr>
                <w:rFonts w:eastAsiaTheme="minorHAnsi"/>
                <w:sz w:val="22"/>
                <w:szCs w:val="22"/>
                <w:lang w:eastAsia="en-US"/>
              </w:rPr>
              <w:t>organisationer samt i olika internationella fora är också angeläget, bl.a. för att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21D21">
              <w:rPr>
                <w:rFonts w:eastAsiaTheme="minorHAnsi"/>
                <w:sz w:val="22"/>
                <w:szCs w:val="22"/>
                <w:lang w:eastAsia="en-US"/>
              </w:rPr>
              <w:t>främja EU:s standarder globalt. EU bör därför fortsätta att införliva frågor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21D21">
              <w:rPr>
                <w:rFonts w:eastAsiaTheme="minorHAnsi"/>
                <w:sz w:val="22"/>
                <w:szCs w:val="22"/>
                <w:lang w:eastAsia="en-US"/>
              </w:rPr>
              <w:t>om rasism i unionens externa förbindelser och utrikespolitik.</w:t>
            </w:r>
          </w:p>
          <w:p w14:paraId="6CE6111C" w14:textId="77777777" w:rsidR="006F786C" w:rsidRDefault="006F786C" w:rsidP="00E67AAC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</w:p>
          <w:p w14:paraId="4EC1B1C0" w14:textId="77777777" w:rsidR="006F786C" w:rsidRDefault="006F786C" w:rsidP="00E67AAC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  <w:r w:rsidRPr="006F786C">
              <w:rPr>
                <w:bCs/>
                <w:sz w:val="24"/>
                <w:szCs w:val="24"/>
              </w:rPr>
              <w:t>Ordföranden konstaterade att det fanns stöd för regeringens ståndpunkt.</w:t>
            </w:r>
          </w:p>
          <w:p w14:paraId="27FA77DF" w14:textId="26B6D2CC" w:rsidR="00F60556" w:rsidRPr="006F786C" w:rsidRDefault="00F60556" w:rsidP="00F60556">
            <w:pPr>
              <w:pStyle w:val="Liststycke"/>
              <w:tabs>
                <w:tab w:val="clear" w:pos="284"/>
              </w:tabs>
              <w:spacing w:after="0" w:line="280" w:lineRule="exact"/>
              <w:ind w:left="0"/>
              <w:rPr>
                <w:bCs/>
                <w:sz w:val="24"/>
                <w:szCs w:val="24"/>
              </w:rPr>
            </w:pPr>
          </w:p>
        </w:tc>
      </w:tr>
      <w:tr w:rsidR="00181DCD" w:rsidRPr="00B179A2" w14:paraId="166E17BD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1EDD9AB3" w14:textId="2BE8FD60" w:rsidR="00181DCD" w:rsidRPr="00B179A2" w:rsidRDefault="00181DCD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6F786C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5C4E1EB7" w14:textId="77777777" w:rsidR="00181DCD" w:rsidRDefault="00181DCD" w:rsidP="00E67AAC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Inkommen skrivelse</w:t>
            </w:r>
          </w:p>
          <w:p w14:paraId="7B5D8EAA" w14:textId="77777777" w:rsidR="00033E4D" w:rsidRDefault="00033E4D" w:rsidP="00E67AAC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</w:p>
          <w:p w14:paraId="6964B5D5" w14:textId="60EAB1AB" w:rsidR="00033E4D" w:rsidRDefault="00BB63E3" w:rsidP="00E67AAC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En inkommen skrivelse</w:t>
            </w:r>
            <w:r w:rsidR="00221ABC">
              <w:rPr>
                <w:bCs/>
                <w:sz w:val="24"/>
                <w:szCs w:val="24"/>
              </w:rPr>
              <w:t xml:space="preserve"> anmäldes</w:t>
            </w:r>
            <w:r w:rsidR="00476120">
              <w:rPr>
                <w:bCs/>
                <w:sz w:val="24"/>
                <w:szCs w:val="24"/>
              </w:rPr>
              <w:t xml:space="preserve"> (dnr 1548-2024/25)</w:t>
            </w:r>
            <w:r w:rsidR="00221ABC">
              <w:rPr>
                <w:bCs/>
                <w:sz w:val="24"/>
                <w:szCs w:val="24"/>
              </w:rPr>
              <w:t>.</w:t>
            </w:r>
          </w:p>
          <w:p w14:paraId="36848EFC" w14:textId="6E3E5C38" w:rsidR="0025255F" w:rsidRPr="00033E4D" w:rsidRDefault="0025255F" w:rsidP="0025255F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Cs/>
                <w:sz w:val="24"/>
                <w:szCs w:val="24"/>
              </w:rPr>
            </w:pPr>
          </w:p>
        </w:tc>
      </w:tr>
      <w:tr w:rsidR="00C04CAF" w:rsidRPr="00B179A2" w14:paraId="2DF59852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1E1448CA" w14:textId="3A15040C" w:rsidR="00C04CAF" w:rsidRPr="00B179A2" w:rsidRDefault="00C04CAF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179A2">
              <w:rPr>
                <w:b/>
                <w:snapToGrid w:val="0"/>
                <w:szCs w:val="24"/>
              </w:rPr>
              <w:t xml:space="preserve">§ </w:t>
            </w:r>
            <w:r w:rsidR="006F786C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58878068" w14:textId="77777777" w:rsidR="00E67AAC" w:rsidRDefault="00C04CAF" w:rsidP="00E67AAC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  <w:r w:rsidRPr="00B179A2">
              <w:rPr>
                <w:b/>
                <w:sz w:val="24"/>
                <w:szCs w:val="24"/>
              </w:rPr>
              <w:t>Kanslimeddelanden</w:t>
            </w:r>
          </w:p>
          <w:p w14:paraId="632CF418" w14:textId="77777777" w:rsidR="005942C9" w:rsidRDefault="005942C9" w:rsidP="00E67AAC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</w:p>
          <w:p w14:paraId="6CA47B8A" w14:textId="77777777" w:rsidR="00B24049" w:rsidRDefault="00C04CAF" w:rsidP="009235C3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  <w:r w:rsidRPr="00B179A2">
              <w:rPr>
                <w:bCs/>
                <w:sz w:val="24"/>
                <w:szCs w:val="24"/>
              </w:rPr>
              <w:t>Kanslichefen anmälde planen för utskottets arbete.</w:t>
            </w:r>
          </w:p>
          <w:p w14:paraId="0B393D69" w14:textId="5FF59D68" w:rsidR="009235C3" w:rsidRPr="009235C3" w:rsidRDefault="009235C3" w:rsidP="009235C3">
            <w:pPr>
              <w:pStyle w:val="Liststycke"/>
              <w:tabs>
                <w:tab w:val="clear" w:pos="284"/>
              </w:tabs>
              <w:spacing w:after="0" w:line="280" w:lineRule="exact"/>
              <w:ind w:left="0"/>
              <w:rPr>
                <w:b/>
                <w:sz w:val="24"/>
                <w:szCs w:val="24"/>
              </w:rPr>
            </w:pPr>
          </w:p>
        </w:tc>
      </w:tr>
      <w:tr w:rsidR="006B5D3A" w:rsidRPr="00B179A2" w14:paraId="65750092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18204B0F" w14:textId="360ECD3E" w:rsidR="006B5D3A" w:rsidRPr="00B179A2" w:rsidRDefault="00337646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88359946"/>
            <w:r w:rsidRPr="00B179A2">
              <w:rPr>
                <w:b/>
                <w:snapToGrid w:val="0"/>
                <w:szCs w:val="24"/>
              </w:rPr>
              <w:t xml:space="preserve">§ </w:t>
            </w:r>
            <w:r w:rsidR="006F786C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7E2D0039" w14:textId="1D3B6512" w:rsidR="00B01383" w:rsidRPr="00B179A2" w:rsidRDefault="00B01383" w:rsidP="004F02B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B179A2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0AA134B1" w14:textId="77777777" w:rsidR="004F02B8" w:rsidRPr="00B179A2" w:rsidRDefault="004F02B8" w:rsidP="004F02B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29EC3333" w14:textId="238B83DC" w:rsidR="000F7C55" w:rsidRPr="00B179A2" w:rsidRDefault="001A0B65" w:rsidP="001A0B6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B179A2">
              <w:rPr>
                <w:szCs w:val="24"/>
              </w:rPr>
              <w:t>N</w:t>
            </w:r>
            <w:r w:rsidR="00782D65" w:rsidRPr="00B179A2">
              <w:rPr>
                <w:szCs w:val="24"/>
              </w:rPr>
              <w:t xml:space="preserve">ästa sammanträde </w:t>
            </w:r>
            <w:r w:rsidRPr="00B179A2">
              <w:rPr>
                <w:szCs w:val="24"/>
              </w:rPr>
              <w:t>äger</w:t>
            </w:r>
            <w:r w:rsidR="00782D65" w:rsidRPr="00B179A2">
              <w:rPr>
                <w:szCs w:val="24"/>
              </w:rPr>
              <w:t xml:space="preserve"> rum t</w:t>
            </w:r>
            <w:r w:rsidR="009926C1" w:rsidRPr="00B179A2">
              <w:rPr>
                <w:szCs w:val="24"/>
              </w:rPr>
              <w:t>i</w:t>
            </w:r>
            <w:r w:rsidR="00C04CAF" w:rsidRPr="00B179A2">
              <w:rPr>
                <w:szCs w:val="24"/>
              </w:rPr>
              <w:t>s</w:t>
            </w:r>
            <w:r w:rsidR="00782D65" w:rsidRPr="00B179A2">
              <w:rPr>
                <w:szCs w:val="24"/>
              </w:rPr>
              <w:t xml:space="preserve">dagen den </w:t>
            </w:r>
            <w:r w:rsidR="00221ABC">
              <w:rPr>
                <w:szCs w:val="24"/>
              </w:rPr>
              <w:t>6 maj</w:t>
            </w:r>
            <w:r w:rsidR="000F7C55" w:rsidRPr="00B179A2">
              <w:rPr>
                <w:szCs w:val="24"/>
              </w:rPr>
              <w:t xml:space="preserve"> 2025</w:t>
            </w:r>
            <w:r w:rsidR="00782D65" w:rsidRPr="00B179A2">
              <w:rPr>
                <w:szCs w:val="24"/>
              </w:rPr>
              <w:t xml:space="preserve"> kl. </w:t>
            </w:r>
            <w:r w:rsidR="00D223DA" w:rsidRPr="00B179A2">
              <w:rPr>
                <w:szCs w:val="24"/>
              </w:rPr>
              <w:t>1</w:t>
            </w:r>
            <w:r w:rsidR="009926C1" w:rsidRPr="00B179A2">
              <w:rPr>
                <w:szCs w:val="24"/>
              </w:rPr>
              <w:t>1</w:t>
            </w:r>
            <w:r w:rsidR="00C04CAF" w:rsidRPr="00B179A2">
              <w:rPr>
                <w:szCs w:val="24"/>
              </w:rPr>
              <w:t>.</w:t>
            </w:r>
            <w:r w:rsidR="003B3E39" w:rsidRPr="00B179A2">
              <w:rPr>
                <w:szCs w:val="24"/>
              </w:rPr>
              <w:t>0</w:t>
            </w:r>
            <w:r w:rsidR="00E079CD" w:rsidRPr="00B179A2">
              <w:rPr>
                <w:szCs w:val="24"/>
              </w:rPr>
              <w:t>0</w:t>
            </w:r>
            <w:r w:rsidR="00D223DA" w:rsidRPr="00B179A2">
              <w:rPr>
                <w:szCs w:val="24"/>
              </w:rPr>
              <w:t>.</w:t>
            </w:r>
          </w:p>
        </w:tc>
      </w:tr>
      <w:bookmarkEnd w:id="0"/>
      <w:tr w:rsidR="006E4489" w:rsidRPr="00B179A2" w14:paraId="08114AEC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584" w:type="dxa"/>
            <w:gridSpan w:val="3"/>
            <w:shd w:val="clear" w:color="auto" w:fill="auto"/>
          </w:tcPr>
          <w:p w14:paraId="7577980E" w14:textId="5062CBB7" w:rsidR="00EC4C78" w:rsidRPr="00B179A2" w:rsidRDefault="00EC4C78" w:rsidP="006E448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7E301058" w14:textId="34A0AA67" w:rsidR="00BE7919" w:rsidRDefault="00BE7919">
      <w:pPr>
        <w:rPr>
          <w:szCs w:val="24"/>
        </w:rPr>
      </w:pPr>
    </w:p>
    <w:p w14:paraId="12B60C75" w14:textId="77777777" w:rsidR="006F786C" w:rsidRDefault="006F786C">
      <w:pPr>
        <w:rPr>
          <w:szCs w:val="24"/>
        </w:rPr>
      </w:pPr>
    </w:p>
    <w:p w14:paraId="3F446F11" w14:textId="77777777" w:rsidR="00807445" w:rsidRPr="00B179A2" w:rsidRDefault="00807445">
      <w:pPr>
        <w:rPr>
          <w:szCs w:val="24"/>
        </w:rPr>
      </w:pPr>
    </w:p>
    <w:p w14:paraId="3B554BED" w14:textId="45483542" w:rsidR="00DC432F" w:rsidRPr="00B179A2" w:rsidRDefault="00B36699">
      <w:pPr>
        <w:rPr>
          <w:szCs w:val="24"/>
        </w:rPr>
      </w:pPr>
      <w:r w:rsidRPr="00B179A2">
        <w:rPr>
          <w:szCs w:val="24"/>
        </w:rPr>
        <w:lastRenderedPageBreak/>
        <w:t>Vid protokollet</w:t>
      </w:r>
    </w:p>
    <w:p w14:paraId="1923AC6F" w14:textId="3F65AF93" w:rsidR="008E0A60" w:rsidRDefault="008E0A60">
      <w:pPr>
        <w:rPr>
          <w:szCs w:val="24"/>
        </w:rPr>
      </w:pPr>
    </w:p>
    <w:p w14:paraId="3B0D706C" w14:textId="77777777" w:rsidR="00807445" w:rsidRDefault="00807445">
      <w:pPr>
        <w:rPr>
          <w:szCs w:val="24"/>
        </w:rPr>
      </w:pPr>
    </w:p>
    <w:p w14:paraId="2BE7A05F" w14:textId="3B6903A6" w:rsidR="00DC432F" w:rsidRDefault="00DC432F">
      <w:pPr>
        <w:rPr>
          <w:szCs w:val="24"/>
        </w:rPr>
      </w:pPr>
    </w:p>
    <w:p w14:paraId="46BDBC3D" w14:textId="77777777" w:rsidR="008E0A60" w:rsidRPr="00B179A2" w:rsidRDefault="008E0A60">
      <w:pPr>
        <w:rPr>
          <w:szCs w:val="24"/>
        </w:rPr>
      </w:pPr>
    </w:p>
    <w:p w14:paraId="3FF3B3B7" w14:textId="0C74B0D5" w:rsidR="00B36699" w:rsidRPr="00B179A2" w:rsidRDefault="00B36699">
      <w:pPr>
        <w:rPr>
          <w:szCs w:val="24"/>
        </w:rPr>
      </w:pPr>
      <w:r w:rsidRPr="00B179A2">
        <w:rPr>
          <w:szCs w:val="24"/>
        </w:rPr>
        <w:t xml:space="preserve">Justeras </w:t>
      </w:r>
      <w:r w:rsidR="00221ABC">
        <w:rPr>
          <w:szCs w:val="24"/>
        </w:rPr>
        <w:t>6 maj</w:t>
      </w:r>
      <w:r w:rsidR="004B43E3" w:rsidRPr="00B179A2">
        <w:rPr>
          <w:szCs w:val="24"/>
        </w:rPr>
        <w:t xml:space="preserve"> 2025</w:t>
      </w:r>
    </w:p>
    <w:p w14:paraId="73CD6AB4" w14:textId="77777777" w:rsidR="00BE7919" w:rsidRPr="00B179A2" w:rsidRDefault="00BE7919">
      <w:pPr>
        <w:rPr>
          <w:szCs w:val="24"/>
        </w:rPr>
      </w:pPr>
    </w:p>
    <w:p w14:paraId="11C76C52" w14:textId="77777777" w:rsidR="00BE7919" w:rsidRPr="00B179A2" w:rsidRDefault="00BE7919">
      <w:pPr>
        <w:rPr>
          <w:szCs w:val="24"/>
        </w:rPr>
      </w:pPr>
    </w:p>
    <w:p w14:paraId="7FD755E1" w14:textId="2A837FB7" w:rsidR="00D20F1F" w:rsidRPr="00B179A2" w:rsidRDefault="00D20F1F">
      <w:pPr>
        <w:rPr>
          <w:szCs w:val="24"/>
        </w:rPr>
      </w:pPr>
      <w:r w:rsidRPr="00B179A2">
        <w:rPr>
          <w:szCs w:val="24"/>
        </w:rPr>
        <w:t>Magnus Persson</w:t>
      </w:r>
    </w:p>
    <w:p w14:paraId="7D821AFC" w14:textId="52FD5945" w:rsidR="00B36699" w:rsidRPr="00C04CAF" w:rsidRDefault="00B36699">
      <w:pPr>
        <w:rPr>
          <w:szCs w:val="24"/>
        </w:rPr>
      </w:pP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5635E6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4A83729B" w:rsidR="00317389" w:rsidRPr="00F93879" w:rsidRDefault="00317389" w:rsidP="005635E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221ABC">
              <w:rPr>
                <w:b/>
                <w:sz w:val="22"/>
                <w:szCs w:val="22"/>
              </w:rPr>
              <w:t xml:space="preserve"> 1</w:t>
            </w:r>
          </w:p>
          <w:p w14:paraId="28B87FDD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344E4D58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B434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DB4342">
              <w:rPr>
                <w:sz w:val="22"/>
                <w:szCs w:val="22"/>
              </w:rPr>
              <w:t>5</w:t>
            </w:r>
            <w:r w:rsidR="009C02E5">
              <w:rPr>
                <w:sz w:val="22"/>
                <w:szCs w:val="22"/>
              </w:rPr>
              <w:t>:</w:t>
            </w:r>
            <w:r w:rsidR="00EF34D8">
              <w:rPr>
                <w:sz w:val="22"/>
                <w:szCs w:val="22"/>
              </w:rPr>
              <w:t>2</w:t>
            </w:r>
            <w:r w:rsidR="00221ABC">
              <w:rPr>
                <w:sz w:val="22"/>
                <w:szCs w:val="22"/>
              </w:rPr>
              <w:t>7</w:t>
            </w:r>
          </w:p>
        </w:tc>
      </w:tr>
      <w:tr w:rsidR="00317389" w:rsidRPr="00F93879" w14:paraId="4BC0B64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455AD04F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60556">
              <w:rPr>
                <w:sz w:val="22"/>
                <w:szCs w:val="22"/>
              </w:rPr>
              <w:t>§</w:t>
            </w:r>
            <w:r w:rsidR="00384389" w:rsidRPr="00F60556">
              <w:rPr>
                <w:sz w:val="22"/>
                <w:szCs w:val="22"/>
              </w:rPr>
              <w:t xml:space="preserve"> </w:t>
            </w:r>
            <w:r w:rsidR="00BE7919" w:rsidRPr="00F60556">
              <w:rPr>
                <w:sz w:val="22"/>
                <w:szCs w:val="22"/>
              </w:rPr>
              <w:t>1–</w:t>
            </w:r>
            <w:r w:rsidR="00F60556">
              <w:rPr>
                <w:sz w:val="22"/>
                <w:szCs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4A705E53" w:rsidR="00317389" w:rsidRPr="00F93879" w:rsidRDefault="00F60556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6–9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226BF668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7ABB3626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099A2CF4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21AD1F65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F60556" w:rsidRPr="00F93879" w14:paraId="47A39488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3B35F071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5F52521A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6EBA67F2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06A25052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09791EE1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1004212B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AF3BDA" w14:paraId="36AE563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F60556" w:rsidRPr="00074C9A" w:rsidRDefault="00F60556" w:rsidP="00F60556">
            <w:pPr>
              <w:ind w:right="51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Ardalan Shekarabi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  <w:r>
              <w:rPr>
                <w:sz w:val="22"/>
                <w:szCs w:val="22"/>
                <w:lang w:val="en-GB"/>
              </w:rPr>
              <w:t xml:space="preserve">, vice </w:t>
            </w:r>
            <w:proofErr w:type="spellStart"/>
            <w:r>
              <w:rPr>
                <w:sz w:val="22"/>
                <w:szCs w:val="22"/>
                <w:lang w:val="en-GB"/>
              </w:rPr>
              <w:t>ordförande</w:t>
            </w:r>
            <w:proofErr w:type="spellEnd"/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1F55F080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7424A30F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69C1190F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ADC660B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45BA52B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238D073E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60556" w:rsidRPr="00F93879" w14:paraId="3BF7165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3EF822FC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3C905AB4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79D4B323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5A620C2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37C9F8FE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2BFA2E2B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2975C91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5062F822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08F486BB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45BE6AF4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2428A55C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5B854EB0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F96E969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012E5CA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498B6605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 xml:space="preserve">Ann-Christine Frohm </w:t>
            </w:r>
            <w:r w:rsidRPr="00074C9A">
              <w:rPr>
                <w:sz w:val="22"/>
                <w:szCs w:val="22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7FD6215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27E17785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21A9FD6B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5F3DA7A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54CA0383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0FB2FD04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1F2A6B5F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709D0B6E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462ABCE2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1054454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4F160D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0C628983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64F58AA2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60A131CE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77EDF8F6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1AF65A2C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3F1B7222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09CAAB54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1A01931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3AD46515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2300A43F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63ED9F28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1337EF8D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463C528E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4459DB3B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381233" w14:paraId="733B100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12995CA2" w:rsidR="00F60556" w:rsidRPr="00074C9A" w:rsidRDefault="00F60556" w:rsidP="00F60556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 xml:space="preserve">Sara Gille </w:t>
            </w:r>
            <w:r w:rsidRPr="00074C9A">
              <w:rPr>
                <w:sz w:val="22"/>
                <w:szCs w:val="22"/>
                <w:lang w:val="en-GB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0136B69E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6AA9DAC1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4CA67416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781354C4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1962A2FC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426E37E2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60556" w:rsidRPr="00F93879" w14:paraId="126F2B8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F60556" w:rsidRPr="00074C9A" w:rsidRDefault="00F60556" w:rsidP="00F60556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Sofia Amloh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2B0872AA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1139FE19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04C017F6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60556" w:rsidRPr="00F93879" w14:paraId="5BC7C88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3C806A81" w:rsidR="00F60556" w:rsidRPr="00074C9A" w:rsidRDefault="00F60556" w:rsidP="00F60556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1B15E37E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064EE0E2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4317C4E4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72D130B2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6CDCEF32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AB42ADA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60556" w:rsidRPr="00F93879" w14:paraId="03E930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F60556" w:rsidRPr="00074C9A" w:rsidRDefault="00F60556" w:rsidP="00F60556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7E239E20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78D5D2B4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31C524C0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488C8564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67587BA6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649FF3CA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60556" w:rsidRPr="00F93879" w14:paraId="42437CF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2ACEC03C" w:rsidR="00F60556" w:rsidRPr="00074C9A" w:rsidRDefault="00F60556" w:rsidP="00F60556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Camilla Rinaldo Miller</w:t>
            </w:r>
            <w:r w:rsidRPr="00074C9A">
              <w:rPr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37762A13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3E014A7D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0FD2EB28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60556" w:rsidRPr="00F93879" w14:paraId="1771F56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F60556" w:rsidRPr="00074C9A" w:rsidRDefault="00F60556" w:rsidP="00F60556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6BEC5A22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3F25AE2C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6271B47B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8DF1D3E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365D6B03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19D909E6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60556" w:rsidRPr="00F93879" w14:paraId="04BAFF9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0066657B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Mats Arkhem </w:t>
            </w:r>
            <w:r w:rsidRPr="00074C9A">
              <w:rPr>
                <w:sz w:val="22"/>
                <w:szCs w:val="22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4B38E11C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52936411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36C6AD01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C12943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43B32EAE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0ACF09AF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520555C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6020D094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3DB57F8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3F1D7F89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0F66A008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0961FE54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3AE1F432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14B53D9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65EE9CB3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7CFD8A1C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2B1C8968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6E4FC4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F60556" w:rsidRPr="00074C9A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229693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49ED219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1E65FED0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3684C428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1F70694F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41742306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5035F7E6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2F5557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0DFE5E31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25A85C05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1A6B8510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74465B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92DFCC0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292E8841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35A21DC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04D9DC4B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</w:t>
            </w:r>
            <w:r w:rsidRPr="00074C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Frost Lindberg </w:t>
            </w:r>
            <w:r w:rsidRPr="00074C9A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72702523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46DEEB6E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60B96422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49C633F4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2FE04510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071AF2C6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566ECE2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534D976A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70FABCF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5F277F14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34B32A72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4B6D21B6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14884935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AF3BDA" w14:paraId="0786F29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F60556" w:rsidRPr="00074C9A" w:rsidRDefault="00F60556" w:rsidP="00F60556">
            <w:pPr>
              <w:ind w:right="513"/>
              <w:rPr>
                <w:sz w:val="22"/>
                <w:szCs w:val="22"/>
                <w:lang w:val="en-GB"/>
              </w:rPr>
            </w:pPr>
            <w:proofErr w:type="spellStart"/>
            <w:r w:rsidRPr="00074C9A">
              <w:rPr>
                <w:sz w:val="22"/>
                <w:szCs w:val="22"/>
                <w:lang w:val="en-GB"/>
              </w:rPr>
              <w:t>Nima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74C9A">
              <w:rPr>
                <w:sz w:val="22"/>
                <w:szCs w:val="22"/>
                <w:lang w:val="en-GB"/>
              </w:rPr>
              <w:t>Gholam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1E8163B6" w:rsidR="00F60556" w:rsidRPr="00841BDC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F60556" w:rsidRPr="00841BDC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F884FB4" w:rsidR="00F60556" w:rsidRPr="00841BDC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F60556" w:rsidRPr="00841BDC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F60556" w:rsidRPr="00841BDC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F60556" w:rsidRPr="00841BDC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F60556" w:rsidRPr="00841BDC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F60556" w:rsidRPr="00841BDC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F60556" w:rsidRPr="00841BDC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F60556" w:rsidRPr="00841BDC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F60556" w:rsidRPr="00841BDC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F60556" w:rsidRPr="00841BDC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F60556" w:rsidRPr="00841BDC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F60556" w:rsidRPr="00841BDC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60556" w:rsidRPr="00F93879" w14:paraId="518546E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Leif </w:t>
            </w:r>
            <w:proofErr w:type="spellStart"/>
            <w:r w:rsidRPr="00074C9A">
              <w:rPr>
                <w:sz w:val="22"/>
                <w:szCs w:val="22"/>
              </w:rPr>
              <w:t>Nysmed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30C3A6D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466B98C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2F418E2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79C4B56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1957F1C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Johan </w:t>
            </w:r>
            <w:proofErr w:type="spellStart"/>
            <w:r w:rsidRPr="00074C9A">
              <w:rPr>
                <w:sz w:val="22"/>
                <w:szCs w:val="22"/>
              </w:rPr>
              <w:t>Büser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466A9FB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3F6AB80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335D105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5F60087F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2ABAE7EC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53CD70B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769E747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62B6A655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5E30400C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64DAEF3E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357CB9E9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4CB475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0232E015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68AD9D7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1A7FCDAE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47DF3A58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49FEC6B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Rebecka Le </w:t>
            </w:r>
            <w:proofErr w:type="spellStart"/>
            <w:r w:rsidRPr="00074C9A">
              <w:rPr>
                <w:sz w:val="22"/>
                <w:szCs w:val="22"/>
              </w:rPr>
              <w:t>Moine</w:t>
            </w:r>
            <w:proofErr w:type="spellEnd"/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78FC8CE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7A216C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Isabell </w:t>
            </w:r>
            <w:proofErr w:type="spellStart"/>
            <w:r w:rsidRPr="00074C9A">
              <w:rPr>
                <w:sz w:val="22"/>
                <w:szCs w:val="22"/>
              </w:rPr>
              <w:t>Mixter</w:t>
            </w:r>
            <w:proofErr w:type="spellEnd"/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4A2F41F6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481AE0CF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16A80D82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23553391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56660831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340246E1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4369974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3D99959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503CB1AE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05767462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Lili André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5BD387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595B848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756344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3414EB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F60556" w:rsidRPr="00074C9A" w:rsidRDefault="00F60556" w:rsidP="00F60556">
            <w:pPr>
              <w:ind w:right="513"/>
              <w:rPr>
                <w:b/>
                <w:i/>
                <w:sz w:val="22"/>
                <w:szCs w:val="22"/>
              </w:rPr>
            </w:pPr>
            <w:proofErr w:type="spellStart"/>
            <w:r w:rsidRPr="00074C9A">
              <w:rPr>
                <w:sz w:val="22"/>
                <w:szCs w:val="22"/>
              </w:rPr>
              <w:t>Janine</w:t>
            </w:r>
            <w:proofErr w:type="spellEnd"/>
            <w:r w:rsidRPr="00074C9A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3D28967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45BCE55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184" w:type="dxa"/>
          </w:tcPr>
          <w:p w14:paraId="0BB664B2" w14:textId="77777777" w:rsidR="00F60556" w:rsidRPr="00F93879" w:rsidRDefault="00F60556" w:rsidP="00F60556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F60556" w:rsidRPr="00F93879" w:rsidRDefault="00F60556" w:rsidP="00F60556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F60556" w:rsidRPr="00F93879" w14:paraId="3B6DDFF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184" w:type="dxa"/>
          </w:tcPr>
          <w:p w14:paraId="7AB7A61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4BE8F894" w14:textId="4BA2C40F" w:rsidR="00610D7C" w:rsidRDefault="00610D7C" w:rsidP="00EF34D8">
      <w:pPr>
        <w:rPr>
          <w:sz w:val="22"/>
          <w:szCs w:val="22"/>
        </w:rPr>
      </w:pPr>
    </w:p>
    <w:p w14:paraId="586959FD" w14:textId="5CAE1381" w:rsidR="00557687" w:rsidRDefault="00557687" w:rsidP="00EF34D8">
      <w:pPr>
        <w:rPr>
          <w:sz w:val="22"/>
          <w:szCs w:val="22"/>
        </w:rPr>
      </w:pP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472"/>
        <w:gridCol w:w="1489"/>
      </w:tblGrid>
      <w:tr w:rsidR="00557687" w:rsidRPr="00F93879" w14:paraId="5FF88125" w14:textId="77777777" w:rsidTr="00717958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84BC929" w14:textId="77777777" w:rsidR="00557687" w:rsidRPr="00F93879" w:rsidRDefault="00557687" w:rsidP="0071795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14:paraId="4B3F934E" w14:textId="77777777" w:rsidR="00557687" w:rsidRPr="00F93879" w:rsidRDefault="00557687" w:rsidP="00717958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4DC37F53" w14:textId="12024F44" w:rsidR="00557687" w:rsidRPr="00F93879" w:rsidRDefault="00557687" w:rsidP="0071795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221ABC" w:rsidRPr="00F93879" w14:paraId="36BC3688" w14:textId="77777777" w:rsidTr="006265ED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6B70AF10" w14:textId="77777777" w:rsidR="00221ABC" w:rsidRPr="00F93879" w:rsidRDefault="00221ABC" w:rsidP="006265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14:paraId="55BB08AE" w14:textId="77777777" w:rsidR="00221ABC" w:rsidRPr="00F93879" w:rsidRDefault="00221ABC" w:rsidP="006265E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0E0A2864" w14:textId="1AB3DDDA" w:rsidR="00221ABC" w:rsidRPr="00F93879" w:rsidRDefault="00221ABC" w:rsidP="006265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FB8131A" w14:textId="26AECB24" w:rsidR="00557687" w:rsidRDefault="00557687" w:rsidP="00EF34D8">
      <w:pPr>
        <w:rPr>
          <w:sz w:val="22"/>
          <w:szCs w:val="22"/>
        </w:rPr>
      </w:pPr>
    </w:p>
    <w:sectPr w:rsidR="00557687" w:rsidSect="00D52F10">
      <w:pgSz w:w="11906" w:h="16838" w:code="9"/>
      <w:pgMar w:top="993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779E"/>
    <w:multiLevelType w:val="hybridMultilevel"/>
    <w:tmpl w:val="78444F32"/>
    <w:lvl w:ilvl="0" w:tplc="0C30E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C75A5"/>
    <w:multiLevelType w:val="hybridMultilevel"/>
    <w:tmpl w:val="093CB374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018B"/>
    <w:multiLevelType w:val="multilevel"/>
    <w:tmpl w:val="A5CC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3E7FE1"/>
    <w:multiLevelType w:val="hybridMultilevel"/>
    <w:tmpl w:val="5622EDF6"/>
    <w:lvl w:ilvl="0" w:tplc="94D8BC0C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" w15:restartNumberingAfterBreak="0">
    <w:nsid w:val="1D4814C4"/>
    <w:multiLevelType w:val="hybridMultilevel"/>
    <w:tmpl w:val="9942088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C1D65"/>
    <w:multiLevelType w:val="hybridMultilevel"/>
    <w:tmpl w:val="7FFC8712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202DB"/>
    <w:multiLevelType w:val="hybridMultilevel"/>
    <w:tmpl w:val="552A9144"/>
    <w:lvl w:ilvl="0" w:tplc="60284FA8">
      <w:start w:val="1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23510731"/>
    <w:multiLevelType w:val="hybridMultilevel"/>
    <w:tmpl w:val="B7C47A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66BA5"/>
    <w:multiLevelType w:val="hybridMultilevel"/>
    <w:tmpl w:val="D6BCA92E"/>
    <w:lvl w:ilvl="0" w:tplc="348AF50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5832FD"/>
    <w:multiLevelType w:val="hybridMultilevel"/>
    <w:tmpl w:val="A42CCCFC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13608"/>
    <w:multiLevelType w:val="multilevel"/>
    <w:tmpl w:val="2352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A02806"/>
    <w:multiLevelType w:val="hybridMultilevel"/>
    <w:tmpl w:val="67E8B950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3" w15:restartNumberingAfterBreak="0">
    <w:nsid w:val="33AC0DF6"/>
    <w:multiLevelType w:val="hybridMultilevel"/>
    <w:tmpl w:val="8DE03114"/>
    <w:lvl w:ilvl="0" w:tplc="9B1C0538">
      <w:numFmt w:val="bullet"/>
      <w:lvlText w:val="-"/>
      <w:lvlJc w:val="left"/>
      <w:pPr>
        <w:ind w:left="2466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14" w15:restartNumberingAfterBreak="0">
    <w:nsid w:val="35C6281B"/>
    <w:multiLevelType w:val="hybridMultilevel"/>
    <w:tmpl w:val="6B68FF00"/>
    <w:lvl w:ilvl="0" w:tplc="9E98DA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6752C"/>
    <w:multiLevelType w:val="hybridMultilevel"/>
    <w:tmpl w:val="EDCC50FC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82727"/>
    <w:multiLevelType w:val="multilevel"/>
    <w:tmpl w:val="7A08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CA1028"/>
    <w:multiLevelType w:val="hybridMultilevel"/>
    <w:tmpl w:val="39FE460C"/>
    <w:lvl w:ilvl="0" w:tplc="041D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A0D18"/>
    <w:multiLevelType w:val="hybridMultilevel"/>
    <w:tmpl w:val="19285F9C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B31BE"/>
    <w:multiLevelType w:val="hybridMultilevel"/>
    <w:tmpl w:val="1BAC11C4"/>
    <w:lvl w:ilvl="0" w:tplc="CF1C084A">
      <w:numFmt w:val="bullet"/>
      <w:lvlText w:val="–"/>
      <w:lvlJc w:val="left"/>
      <w:pPr>
        <w:ind w:left="720" w:hanging="360"/>
      </w:pPr>
      <w:rPr>
        <w:rFonts w:ascii="GillSans Pro for Riksdagen Md" w:eastAsia="Times New Roman" w:hAnsi="GillSans Pro for Riksdagen M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056D28"/>
    <w:multiLevelType w:val="hybridMultilevel"/>
    <w:tmpl w:val="D136B9E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A72028"/>
    <w:multiLevelType w:val="hybridMultilevel"/>
    <w:tmpl w:val="C0B0BD3A"/>
    <w:lvl w:ilvl="0" w:tplc="94D8BC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 w15:restartNumberingAfterBreak="0">
    <w:nsid w:val="44204F36"/>
    <w:multiLevelType w:val="hybridMultilevel"/>
    <w:tmpl w:val="DA1C1FEA"/>
    <w:lvl w:ilvl="0" w:tplc="A5183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95BA1"/>
    <w:multiLevelType w:val="hybridMultilevel"/>
    <w:tmpl w:val="F50EADA2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D7122"/>
    <w:multiLevelType w:val="multilevel"/>
    <w:tmpl w:val="0A1E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3E2094"/>
    <w:multiLevelType w:val="hybridMultilevel"/>
    <w:tmpl w:val="21204F82"/>
    <w:lvl w:ilvl="0" w:tplc="9D2E908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6" w15:restartNumberingAfterBreak="0">
    <w:nsid w:val="4AA42E57"/>
    <w:multiLevelType w:val="hybridMultilevel"/>
    <w:tmpl w:val="FE12A5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A13752"/>
    <w:multiLevelType w:val="hybridMultilevel"/>
    <w:tmpl w:val="7CD467D0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924E37"/>
    <w:multiLevelType w:val="hybridMultilevel"/>
    <w:tmpl w:val="BB5660AA"/>
    <w:lvl w:ilvl="0" w:tplc="211A66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shd w:val="clear" w:color="auto" w:fill="00FF00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5146D"/>
    <w:multiLevelType w:val="multilevel"/>
    <w:tmpl w:val="78CE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AA542DE"/>
    <w:multiLevelType w:val="hybridMultilevel"/>
    <w:tmpl w:val="27765884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1" w15:restartNumberingAfterBreak="0">
    <w:nsid w:val="5B616293"/>
    <w:multiLevelType w:val="hybridMultilevel"/>
    <w:tmpl w:val="E012A05A"/>
    <w:lvl w:ilvl="0" w:tplc="A3D0F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EA5CC0"/>
    <w:multiLevelType w:val="hybridMultilevel"/>
    <w:tmpl w:val="FDDA42C0"/>
    <w:lvl w:ilvl="0" w:tplc="9B1C0538">
      <w:numFmt w:val="bullet"/>
      <w:lvlText w:val="-"/>
      <w:lvlJc w:val="left"/>
      <w:pPr>
        <w:ind w:left="2466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33" w15:restartNumberingAfterBreak="0">
    <w:nsid w:val="641E1948"/>
    <w:multiLevelType w:val="hybridMultilevel"/>
    <w:tmpl w:val="391C50CC"/>
    <w:lvl w:ilvl="0" w:tplc="1ED4E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8D1358"/>
    <w:multiLevelType w:val="hybridMultilevel"/>
    <w:tmpl w:val="A3F683F6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D7585E"/>
    <w:multiLevelType w:val="hybridMultilevel"/>
    <w:tmpl w:val="9F32E3B4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E2BDB"/>
    <w:multiLevelType w:val="hybridMultilevel"/>
    <w:tmpl w:val="51EEAF5A"/>
    <w:lvl w:ilvl="0" w:tplc="7C8470C0">
      <w:start w:val="6"/>
      <w:numFmt w:val="bullet"/>
      <w:lvlText w:val="-"/>
      <w:lvlJc w:val="left"/>
      <w:pPr>
        <w:ind w:left="2421" w:hanging="360"/>
      </w:pPr>
      <w:rPr>
        <w:rFonts w:ascii="Calibri" w:eastAsia="Calibri" w:hAnsi="Calibri" w:cs="Calibri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7" w15:restartNumberingAfterBreak="0">
    <w:nsid w:val="6C5E1115"/>
    <w:multiLevelType w:val="hybridMultilevel"/>
    <w:tmpl w:val="AD2E5770"/>
    <w:lvl w:ilvl="0" w:tplc="348AF50C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8" w15:restartNumberingAfterBreak="0">
    <w:nsid w:val="6E57534D"/>
    <w:multiLevelType w:val="hybridMultilevel"/>
    <w:tmpl w:val="D40A22E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B1FE6"/>
    <w:multiLevelType w:val="hybridMultilevel"/>
    <w:tmpl w:val="4D1CAF78"/>
    <w:lvl w:ilvl="0" w:tplc="94D8BC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F76CD9"/>
    <w:multiLevelType w:val="hybridMultilevel"/>
    <w:tmpl w:val="020A9228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076143"/>
    <w:multiLevelType w:val="hybridMultilevel"/>
    <w:tmpl w:val="40E86518"/>
    <w:lvl w:ilvl="0" w:tplc="8AD6BBB2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2" w15:restartNumberingAfterBreak="0">
    <w:nsid w:val="76672932"/>
    <w:multiLevelType w:val="hybridMultilevel"/>
    <w:tmpl w:val="3418E244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B55D17"/>
    <w:multiLevelType w:val="hybridMultilevel"/>
    <w:tmpl w:val="1524809C"/>
    <w:lvl w:ilvl="0" w:tplc="94D8BC0C">
      <w:start w:val="1"/>
      <w:numFmt w:val="bullet"/>
      <w:lvlText w:val=""/>
      <w:lvlJc w:val="left"/>
      <w:pPr>
        <w:ind w:left="107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30"/>
  </w:num>
  <w:num w:numId="4">
    <w:abstractNumId w:val="20"/>
  </w:num>
  <w:num w:numId="5">
    <w:abstractNumId w:val="31"/>
  </w:num>
  <w:num w:numId="6">
    <w:abstractNumId w:val="25"/>
  </w:num>
  <w:num w:numId="7">
    <w:abstractNumId w:val="18"/>
  </w:num>
  <w:num w:numId="8">
    <w:abstractNumId w:val="0"/>
  </w:num>
  <w:num w:numId="9">
    <w:abstractNumId w:val="24"/>
  </w:num>
  <w:num w:numId="10">
    <w:abstractNumId w:val="16"/>
  </w:num>
  <w:num w:numId="11">
    <w:abstractNumId w:val="10"/>
  </w:num>
  <w:num w:numId="12">
    <w:abstractNumId w:val="38"/>
  </w:num>
  <w:num w:numId="13">
    <w:abstractNumId w:val="33"/>
  </w:num>
  <w:num w:numId="14">
    <w:abstractNumId w:val="4"/>
  </w:num>
  <w:num w:numId="15">
    <w:abstractNumId w:val="9"/>
  </w:num>
  <w:num w:numId="16">
    <w:abstractNumId w:val="21"/>
  </w:num>
  <w:num w:numId="17">
    <w:abstractNumId w:val="1"/>
  </w:num>
  <w:num w:numId="18">
    <w:abstractNumId w:val="39"/>
  </w:num>
  <w:num w:numId="19">
    <w:abstractNumId w:val="3"/>
  </w:num>
  <w:num w:numId="20">
    <w:abstractNumId w:val="37"/>
  </w:num>
  <w:num w:numId="21">
    <w:abstractNumId w:val="6"/>
  </w:num>
  <w:num w:numId="22">
    <w:abstractNumId w:val="8"/>
  </w:num>
  <w:num w:numId="23">
    <w:abstractNumId w:val="11"/>
  </w:num>
  <w:num w:numId="24">
    <w:abstractNumId w:val="17"/>
  </w:num>
  <w:num w:numId="25">
    <w:abstractNumId w:val="28"/>
  </w:num>
  <w:num w:numId="26">
    <w:abstractNumId w:val="26"/>
  </w:num>
  <w:num w:numId="27">
    <w:abstractNumId w:val="7"/>
  </w:num>
  <w:num w:numId="28">
    <w:abstractNumId w:val="15"/>
  </w:num>
  <w:num w:numId="29">
    <w:abstractNumId w:val="5"/>
  </w:num>
  <w:num w:numId="30">
    <w:abstractNumId w:val="42"/>
  </w:num>
  <w:num w:numId="31">
    <w:abstractNumId w:val="23"/>
  </w:num>
  <w:num w:numId="32">
    <w:abstractNumId w:val="14"/>
  </w:num>
  <w:num w:numId="33">
    <w:abstractNumId w:val="35"/>
  </w:num>
  <w:num w:numId="34">
    <w:abstractNumId w:val="27"/>
  </w:num>
  <w:num w:numId="35">
    <w:abstractNumId w:val="36"/>
  </w:num>
  <w:num w:numId="36">
    <w:abstractNumId w:val="41"/>
  </w:num>
  <w:num w:numId="37">
    <w:abstractNumId w:val="34"/>
  </w:num>
  <w:num w:numId="38">
    <w:abstractNumId w:val="40"/>
  </w:num>
  <w:num w:numId="39">
    <w:abstractNumId w:val="2"/>
  </w:num>
  <w:num w:numId="40">
    <w:abstractNumId w:val="29"/>
  </w:num>
  <w:num w:numId="41">
    <w:abstractNumId w:val="19"/>
  </w:num>
  <w:num w:numId="42">
    <w:abstractNumId w:val="32"/>
  </w:num>
  <w:num w:numId="43">
    <w:abstractNumId w:val="13"/>
  </w:num>
  <w:num w:numId="44">
    <w:abstractNumId w:val="4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4CBB"/>
    <w:rsid w:val="00015629"/>
    <w:rsid w:val="0001659F"/>
    <w:rsid w:val="00017DA9"/>
    <w:rsid w:val="000217E3"/>
    <w:rsid w:val="00021FCB"/>
    <w:rsid w:val="000324C9"/>
    <w:rsid w:val="00033E4D"/>
    <w:rsid w:val="0003458B"/>
    <w:rsid w:val="0003470E"/>
    <w:rsid w:val="00034FED"/>
    <w:rsid w:val="00041356"/>
    <w:rsid w:val="00041457"/>
    <w:rsid w:val="000414BD"/>
    <w:rsid w:val="000440DC"/>
    <w:rsid w:val="00050F10"/>
    <w:rsid w:val="0005406C"/>
    <w:rsid w:val="00054AD0"/>
    <w:rsid w:val="00061E2E"/>
    <w:rsid w:val="00074B61"/>
    <w:rsid w:val="00074C9A"/>
    <w:rsid w:val="000807AF"/>
    <w:rsid w:val="00080BC6"/>
    <w:rsid w:val="00083803"/>
    <w:rsid w:val="00084031"/>
    <w:rsid w:val="00084379"/>
    <w:rsid w:val="000856E0"/>
    <w:rsid w:val="000901F6"/>
    <w:rsid w:val="0009039C"/>
    <w:rsid w:val="00091C83"/>
    <w:rsid w:val="00094BAC"/>
    <w:rsid w:val="000A5A3F"/>
    <w:rsid w:val="000B2410"/>
    <w:rsid w:val="000B245D"/>
    <w:rsid w:val="000B315A"/>
    <w:rsid w:val="000B47D7"/>
    <w:rsid w:val="000B5BDE"/>
    <w:rsid w:val="000B7CD0"/>
    <w:rsid w:val="000C0DDC"/>
    <w:rsid w:val="000C32B7"/>
    <w:rsid w:val="000C350A"/>
    <w:rsid w:val="000C4D0C"/>
    <w:rsid w:val="000D2E64"/>
    <w:rsid w:val="000D3ED1"/>
    <w:rsid w:val="000D6B54"/>
    <w:rsid w:val="000E2ADE"/>
    <w:rsid w:val="000E5272"/>
    <w:rsid w:val="000E5BA0"/>
    <w:rsid w:val="000E7058"/>
    <w:rsid w:val="000F017C"/>
    <w:rsid w:val="000F3396"/>
    <w:rsid w:val="000F3F30"/>
    <w:rsid w:val="000F5BC6"/>
    <w:rsid w:val="000F6D1A"/>
    <w:rsid w:val="000F7C55"/>
    <w:rsid w:val="000F7DF7"/>
    <w:rsid w:val="00100AC1"/>
    <w:rsid w:val="00102298"/>
    <w:rsid w:val="00105B8C"/>
    <w:rsid w:val="00105F41"/>
    <w:rsid w:val="00114FCC"/>
    <w:rsid w:val="00135937"/>
    <w:rsid w:val="00140572"/>
    <w:rsid w:val="00141735"/>
    <w:rsid w:val="00142B52"/>
    <w:rsid w:val="00143F54"/>
    <w:rsid w:val="0014663D"/>
    <w:rsid w:val="0015043A"/>
    <w:rsid w:val="00154854"/>
    <w:rsid w:val="00154ADF"/>
    <w:rsid w:val="00155E40"/>
    <w:rsid w:val="001565FA"/>
    <w:rsid w:val="0015664B"/>
    <w:rsid w:val="00157202"/>
    <w:rsid w:val="0015753C"/>
    <w:rsid w:val="00161AA6"/>
    <w:rsid w:val="0016340B"/>
    <w:rsid w:val="00167ED0"/>
    <w:rsid w:val="001728C3"/>
    <w:rsid w:val="001735DC"/>
    <w:rsid w:val="00173989"/>
    <w:rsid w:val="00174B66"/>
    <w:rsid w:val="0018014C"/>
    <w:rsid w:val="00181DCD"/>
    <w:rsid w:val="001829A3"/>
    <w:rsid w:val="00184818"/>
    <w:rsid w:val="00195F3F"/>
    <w:rsid w:val="00196F07"/>
    <w:rsid w:val="00197891"/>
    <w:rsid w:val="00197B70"/>
    <w:rsid w:val="001A0922"/>
    <w:rsid w:val="001A0B65"/>
    <w:rsid w:val="001A1A1A"/>
    <w:rsid w:val="001A32B6"/>
    <w:rsid w:val="001A475F"/>
    <w:rsid w:val="001A555A"/>
    <w:rsid w:val="001A623C"/>
    <w:rsid w:val="001B1558"/>
    <w:rsid w:val="001B18A8"/>
    <w:rsid w:val="001B1A3F"/>
    <w:rsid w:val="001B421E"/>
    <w:rsid w:val="001C171E"/>
    <w:rsid w:val="001C2973"/>
    <w:rsid w:val="001C5113"/>
    <w:rsid w:val="001D0378"/>
    <w:rsid w:val="001D0510"/>
    <w:rsid w:val="001D5B72"/>
    <w:rsid w:val="001E3709"/>
    <w:rsid w:val="001E3A6A"/>
    <w:rsid w:val="001E6DE9"/>
    <w:rsid w:val="001E6F87"/>
    <w:rsid w:val="001E7F77"/>
    <w:rsid w:val="001F0534"/>
    <w:rsid w:val="001F1BF9"/>
    <w:rsid w:val="001F3F40"/>
    <w:rsid w:val="001F6890"/>
    <w:rsid w:val="00204B42"/>
    <w:rsid w:val="00210F24"/>
    <w:rsid w:val="00211370"/>
    <w:rsid w:val="002127D9"/>
    <w:rsid w:val="00216AF9"/>
    <w:rsid w:val="002174A8"/>
    <w:rsid w:val="002176B0"/>
    <w:rsid w:val="00221ABC"/>
    <w:rsid w:val="00221F23"/>
    <w:rsid w:val="00224E89"/>
    <w:rsid w:val="002272D5"/>
    <w:rsid w:val="0023119D"/>
    <w:rsid w:val="00231236"/>
    <w:rsid w:val="0023329D"/>
    <w:rsid w:val="002340E9"/>
    <w:rsid w:val="0023457E"/>
    <w:rsid w:val="00236169"/>
    <w:rsid w:val="0023760B"/>
    <w:rsid w:val="00241678"/>
    <w:rsid w:val="002451CF"/>
    <w:rsid w:val="002458A1"/>
    <w:rsid w:val="002510FA"/>
    <w:rsid w:val="00252225"/>
    <w:rsid w:val="0025255F"/>
    <w:rsid w:val="002544E0"/>
    <w:rsid w:val="0025593C"/>
    <w:rsid w:val="00255F00"/>
    <w:rsid w:val="00257D01"/>
    <w:rsid w:val="0026045F"/>
    <w:rsid w:val="002614E2"/>
    <w:rsid w:val="002624FF"/>
    <w:rsid w:val="00264A44"/>
    <w:rsid w:val="00265040"/>
    <w:rsid w:val="00265841"/>
    <w:rsid w:val="00271E45"/>
    <w:rsid w:val="00285ED7"/>
    <w:rsid w:val="0029139B"/>
    <w:rsid w:val="00292BE1"/>
    <w:rsid w:val="00293194"/>
    <w:rsid w:val="002939F2"/>
    <w:rsid w:val="00296D10"/>
    <w:rsid w:val="002A43CC"/>
    <w:rsid w:val="002A7365"/>
    <w:rsid w:val="002B5F73"/>
    <w:rsid w:val="002B603D"/>
    <w:rsid w:val="002B7E67"/>
    <w:rsid w:val="002C0D3E"/>
    <w:rsid w:val="002C1524"/>
    <w:rsid w:val="002C1D5A"/>
    <w:rsid w:val="002C28A6"/>
    <w:rsid w:val="002C3E01"/>
    <w:rsid w:val="002C4874"/>
    <w:rsid w:val="002C4BF3"/>
    <w:rsid w:val="002C6CC1"/>
    <w:rsid w:val="002D204F"/>
    <w:rsid w:val="002D2AB5"/>
    <w:rsid w:val="002D7CDB"/>
    <w:rsid w:val="002E09EA"/>
    <w:rsid w:val="002E0DC5"/>
    <w:rsid w:val="002E6594"/>
    <w:rsid w:val="002F284C"/>
    <w:rsid w:val="002F77A6"/>
    <w:rsid w:val="00301201"/>
    <w:rsid w:val="00301F52"/>
    <w:rsid w:val="003052A5"/>
    <w:rsid w:val="00305405"/>
    <w:rsid w:val="00306E31"/>
    <w:rsid w:val="00310EFE"/>
    <w:rsid w:val="00314FD3"/>
    <w:rsid w:val="003168AE"/>
    <w:rsid w:val="00317389"/>
    <w:rsid w:val="003179B0"/>
    <w:rsid w:val="00317D74"/>
    <w:rsid w:val="00322559"/>
    <w:rsid w:val="00327501"/>
    <w:rsid w:val="003342AE"/>
    <w:rsid w:val="003346E6"/>
    <w:rsid w:val="00334944"/>
    <w:rsid w:val="00337646"/>
    <w:rsid w:val="0034112A"/>
    <w:rsid w:val="00345B1B"/>
    <w:rsid w:val="0034747D"/>
    <w:rsid w:val="00352054"/>
    <w:rsid w:val="003535BE"/>
    <w:rsid w:val="003541B7"/>
    <w:rsid w:val="00360479"/>
    <w:rsid w:val="00360858"/>
    <w:rsid w:val="00360F59"/>
    <w:rsid w:val="00364354"/>
    <w:rsid w:val="00365526"/>
    <w:rsid w:val="0037331A"/>
    <w:rsid w:val="00373A25"/>
    <w:rsid w:val="0037456F"/>
    <w:rsid w:val="00381233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96866"/>
    <w:rsid w:val="003A3164"/>
    <w:rsid w:val="003A488A"/>
    <w:rsid w:val="003A48EB"/>
    <w:rsid w:val="003B0A9D"/>
    <w:rsid w:val="003B17A8"/>
    <w:rsid w:val="003B1A44"/>
    <w:rsid w:val="003B3E39"/>
    <w:rsid w:val="003B56E5"/>
    <w:rsid w:val="003B71D0"/>
    <w:rsid w:val="003B7755"/>
    <w:rsid w:val="003C2350"/>
    <w:rsid w:val="003C3447"/>
    <w:rsid w:val="003C4778"/>
    <w:rsid w:val="003C6370"/>
    <w:rsid w:val="003C7C91"/>
    <w:rsid w:val="003D000B"/>
    <w:rsid w:val="003D6E9A"/>
    <w:rsid w:val="003E07DC"/>
    <w:rsid w:val="003E0BA1"/>
    <w:rsid w:val="003E1D6E"/>
    <w:rsid w:val="003E2C01"/>
    <w:rsid w:val="003E6652"/>
    <w:rsid w:val="003F45F7"/>
    <w:rsid w:val="003F7795"/>
    <w:rsid w:val="00406E92"/>
    <w:rsid w:val="0040761D"/>
    <w:rsid w:val="00410238"/>
    <w:rsid w:val="0041421C"/>
    <w:rsid w:val="0041580F"/>
    <w:rsid w:val="00424175"/>
    <w:rsid w:val="00424F4E"/>
    <w:rsid w:val="004273AF"/>
    <w:rsid w:val="004309C7"/>
    <w:rsid w:val="00430D67"/>
    <w:rsid w:val="00432BE0"/>
    <w:rsid w:val="00433896"/>
    <w:rsid w:val="004365F7"/>
    <w:rsid w:val="004407AA"/>
    <w:rsid w:val="0044469B"/>
    <w:rsid w:val="00444C6C"/>
    <w:rsid w:val="004612D7"/>
    <w:rsid w:val="00461B15"/>
    <w:rsid w:val="0046730B"/>
    <w:rsid w:val="00470FE8"/>
    <w:rsid w:val="004732AF"/>
    <w:rsid w:val="00476120"/>
    <w:rsid w:val="00484445"/>
    <w:rsid w:val="00487302"/>
    <w:rsid w:val="00490998"/>
    <w:rsid w:val="004937EB"/>
    <w:rsid w:val="004A1057"/>
    <w:rsid w:val="004A3CAF"/>
    <w:rsid w:val="004A40A3"/>
    <w:rsid w:val="004A6607"/>
    <w:rsid w:val="004A6C63"/>
    <w:rsid w:val="004B2491"/>
    <w:rsid w:val="004B43E3"/>
    <w:rsid w:val="004C15E5"/>
    <w:rsid w:val="004C24FC"/>
    <w:rsid w:val="004D043E"/>
    <w:rsid w:val="004D12C0"/>
    <w:rsid w:val="004D4815"/>
    <w:rsid w:val="004D6728"/>
    <w:rsid w:val="004E16C0"/>
    <w:rsid w:val="004E29AC"/>
    <w:rsid w:val="004E453E"/>
    <w:rsid w:val="004E7AD6"/>
    <w:rsid w:val="004F02B8"/>
    <w:rsid w:val="004F18E7"/>
    <w:rsid w:val="004F1B55"/>
    <w:rsid w:val="004F680C"/>
    <w:rsid w:val="004F6B79"/>
    <w:rsid w:val="0050090A"/>
    <w:rsid w:val="00501AA2"/>
    <w:rsid w:val="0050366D"/>
    <w:rsid w:val="00504CD0"/>
    <w:rsid w:val="005052B7"/>
    <w:rsid w:val="00507291"/>
    <w:rsid w:val="00513B8D"/>
    <w:rsid w:val="005159A7"/>
    <w:rsid w:val="00523AC5"/>
    <w:rsid w:val="00524F59"/>
    <w:rsid w:val="00525CCA"/>
    <w:rsid w:val="00527F3F"/>
    <w:rsid w:val="00532491"/>
    <w:rsid w:val="005328DD"/>
    <w:rsid w:val="005354AC"/>
    <w:rsid w:val="00535BB3"/>
    <w:rsid w:val="00535D1A"/>
    <w:rsid w:val="00536EBE"/>
    <w:rsid w:val="005430D9"/>
    <w:rsid w:val="0055245E"/>
    <w:rsid w:val="00556EF2"/>
    <w:rsid w:val="00557687"/>
    <w:rsid w:val="00560B41"/>
    <w:rsid w:val="005635E6"/>
    <w:rsid w:val="005645D7"/>
    <w:rsid w:val="0057442E"/>
    <w:rsid w:val="0057505C"/>
    <w:rsid w:val="00581E91"/>
    <w:rsid w:val="005835AC"/>
    <w:rsid w:val="005859F2"/>
    <w:rsid w:val="00592AE1"/>
    <w:rsid w:val="005942C9"/>
    <w:rsid w:val="00595562"/>
    <w:rsid w:val="00595FB9"/>
    <w:rsid w:val="00597694"/>
    <w:rsid w:val="00597C3B"/>
    <w:rsid w:val="005A025F"/>
    <w:rsid w:val="005A2349"/>
    <w:rsid w:val="005A46E4"/>
    <w:rsid w:val="005A730C"/>
    <w:rsid w:val="005A79AD"/>
    <w:rsid w:val="005B7111"/>
    <w:rsid w:val="005C1541"/>
    <w:rsid w:val="005D14E1"/>
    <w:rsid w:val="005D364F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614"/>
    <w:rsid w:val="005F75C9"/>
    <w:rsid w:val="0060677D"/>
    <w:rsid w:val="0061000C"/>
    <w:rsid w:val="00610D7C"/>
    <w:rsid w:val="0061352B"/>
    <w:rsid w:val="00617189"/>
    <w:rsid w:val="0062019E"/>
    <w:rsid w:val="00622127"/>
    <w:rsid w:val="0062487E"/>
    <w:rsid w:val="00626235"/>
    <w:rsid w:val="006279F9"/>
    <w:rsid w:val="00630B4B"/>
    <w:rsid w:val="00631D2F"/>
    <w:rsid w:val="0064146D"/>
    <w:rsid w:val="0064644D"/>
    <w:rsid w:val="00650AAC"/>
    <w:rsid w:val="00651E06"/>
    <w:rsid w:val="0065619B"/>
    <w:rsid w:val="00656E76"/>
    <w:rsid w:val="006634C3"/>
    <w:rsid w:val="006646A7"/>
    <w:rsid w:val="00671339"/>
    <w:rsid w:val="00674AB4"/>
    <w:rsid w:val="0067533F"/>
    <w:rsid w:val="00676BF3"/>
    <w:rsid w:val="006778E3"/>
    <w:rsid w:val="00681E4F"/>
    <w:rsid w:val="0068409F"/>
    <w:rsid w:val="0068564A"/>
    <w:rsid w:val="006862DD"/>
    <w:rsid w:val="00691262"/>
    <w:rsid w:val="006949ED"/>
    <w:rsid w:val="00695879"/>
    <w:rsid w:val="00695931"/>
    <w:rsid w:val="006A4AAC"/>
    <w:rsid w:val="006A4DD8"/>
    <w:rsid w:val="006A5CFF"/>
    <w:rsid w:val="006A7CE6"/>
    <w:rsid w:val="006B5D3A"/>
    <w:rsid w:val="006B7B0C"/>
    <w:rsid w:val="006C033F"/>
    <w:rsid w:val="006C0D16"/>
    <w:rsid w:val="006C21FA"/>
    <w:rsid w:val="006C4836"/>
    <w:rsid w:val="006C6933"/>
    <w:rsid w:val="006D0BC5"/>
    <w:rsid w:val="006D1BF0"/>
    <w:rsid w:val="006D3126"/>
    <w:rsid w:val="006D6E13"/>
    <w:rsid w:val="006E4489"/>
    <w:rsid w:val="006F0D5B"/>
    <w:rsid w:val="006F5581"/>
    <w:rsid w:val="006F786C"/>
    <w:rsid w:val="006F787D"/>
    <w:rsid w:val="007028FD"/>
    <w:rsid w:val="00702EED"/>
    <w:rsid w:val="00703408"/>
    <w:rsid w:val="00706F13"/>
    <w:rsid w:val="007121EB"/>
    <w:rsid w:val="00723D66"/>
    <w:rsid w:val="00725AB6"/>
    <w:rsid w:val="007264DB"/>
    <w:rsid w:val="0072773A"/>
    <w:rsid w:val="007302C8"/>
    <w:rsid w:val="007344FF"/>
    <w:rsid w:val="007428ED"/>
    <w:rsid w:val="00744183"/>
    <w:rsid w:val="00745D38"/>
    <w:rsid w:val="00750FF0"/>
    <w:rsid w:val="00752B09"/>
    <w:rsid w:val="007531F4"/>
    <w:rsid w:val="00757AA7"/>
    <w:rsid w:val="00760C7B"/>
    <w:rsid w:val="00761ED0"/>
    <w:rsid w:val="00762476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EC7"/>
    <w:rsid w:val="00782D65"/>
    <w:rsid w:val="00783886"/>
    <w:rsid w:val="0078775D"/>
    <w:rsid w:val="007912B3"/>
    <w:rsid w:val="00791E1F"/>
    <w:rsid w:val="007963FB"/>
    <w:rsid w:val="00797ACA"/>
    <w:rsid w:val="007A741E"/>
    <w:rsid w:val="007B0FC2"/>
    <w:rsid w:val="007C6D4E"/>
    <w:rsid w:val="007C7E53"/>
    <w:rsid w:val="007D6481"/>
    <w:rsid w:val="007E2682"/>
    <w:rsid w:val="007E69E8"/>
    <w:rsid w:val="007E6ECA"/>
    <w:rsid w:val="007F2C16"/>
    <w:rsid w:val="007F4BC6"/>
    <w:rsid w:val="00802D72"/>
    <w:rsid w:val="00803D0A"/>
    <w:rsid w:val="00805216"/>
    <w:rsid w:val="00805250"/>
    <w:rsid w:val="00807445"/>
    <w:rsid w:val="008109C5"/>
    <w:rsid w:val="00811349"/>
    <w:rsid w:val="00812F4A"/>
    <w:rsid w:val="00813EED"/>
    <w:rsid w:val="00814276"/>
    <w:rsid w:val="0081755D"/>
    <w:rsid w:val="008240DE"/>
    <w:rsid w:val="00832288"/>
    <w:rsid w:val="00834B38"/>
    <w:rsid w:val="00836EFF"/>
    <w:rsid w:val="00837EBD"/>
    <w:rsid w:val="008415B9"/>
    <w:rsid w:val="00841BDC"/>
    <w:rsid w:val="00843BDE"/>
    <w:rsid w:val="00843D52"/>
    <w:rsid w:val="008446E0"/>
    <w:rsid w:val="00846AE0"/>
    <w:rsid w:val="00847C5D"/>
    <w:rsid w:val="00850039"/>
    <w:rsid w:val="008506F2"/>
    <w:rsid w:val="008557FA"/>
    <w:rsid w:val="00855FBA"/>
    <w:rsid w:val="00861C98"/>
    <w:rsid w:val="0086301F"/>
    <w:rsid w:val="00863E0B"/>
    <w:rsid w:val="00864D12"/>
    <w:rsid w:val="00867B04"/>
    <w:rsid w:val="008754E3"/>
    <w:rsid w:val="00875608"/>
    <w:rsid w:val="00875BE6"/>
    <w:rsid w:val="00883F7F"/>
    <w:rsid w:val="00884797"/>
    <w:rsid w:val="00885CE7"/>
    <w:rsid w:val="0089062F"/>
    <w:rsid w:val="008A0068"/>
    <w:rsid w:val="008A00F1"/>
    <w:rsid w:val="008A37C7"/>
    <w:rsid w:val="008A43F6"/>
    <w:rsid w:val="008A5D29"/>
    <w:rsid w:val="008B4548"/>
    <w:rsid w:val="008B54D9"/>
    <w:rsid w:val="008B5CD4"/>
    <w:rsid w:val="008B782F"/>
    <w:rsid w:val="008C1009"/>
    <w:rsid w:val="008C5A00"/>
    <w:rsid w:val="008C64E5"/>
    <w:rsid w:val="008D3F3E"/>
    <w:rsid w:val="008E072E"/>
    <w:rsid w:val="008E0A60"/>
    <w:rsid w:val="008E5D06"/>
    <w:rsid w:val="008F4D68"/>
    <w:rsid w:val="008F565F"/>
    <w:rsid w:val="008F60E6"/>
    <w:rsid w:val="008F678C"/>
    <w:rsid w:val="008F67DE"/>
    <w:rsid w:val="009020F0"/>
    <w:rsid w:val="009026DB"/>
    <w:rsid w:val="00902DF4"/>
    <w:rsid w:val="00904051"/>
    <w:rsid w:val="00905F81"/>
    <w:rsid w:val="00906C2D"/>
    <w:rsid w:val="00912666"/>
    <w:rsid w:val="00912AAD"/>
    <w:rsid w:val="00915A11"/>
    <w:rsid w:val="0091791E"/>
    <w:rsid w:val="009228BB"/>
    <w:rsid w:val="009228E0"/>
    <w:rsid w:val="009235C3"/>
    <w:rsid w:val="0092715C"/>
    <w:rsid w:val="009315A1"/>
    <w:rsid w:val="00932C3B"/>
    <w:rsid w:val="0093326E"/>
    <w:rsid w:val="00937F0A"/>
    <w:rsid w:val="00940B1A"/>
    <w:rsid w:val="00940FBF"/>
    <w:rsid w:val="00941719"/>
    <w:rsid w:val="00941E34"/>
    <w:rsid w:val="00944806"/>
    <w:rsid w:val="00944FD7"/>
    <w:rsid w:val="0094578F"/>
    <w:rsid w:val="00946978"/>
    <w:rsid w:val="00950EA4"/>
    <w:rsid w:val="009520CC"/>
    <w:rsid w:val="009521A1"/>
    <w:rsid w:val="009524ED"/>
    <w:rsid w:val="009531F5"/>
    <w:rsid w:val="00954C8C"/>
    <w:rsid w:val="0095547A"/>
    <w:rsid w:val="009568CC"/>
    <w:rsid w:val="00957E7D"/>
    <w:rsid w:val="00960ED2"/>
    <w:rsid w:val="0096348C"/>
    <w:rsid w:val="00963B68"/>
    <w:rsid w:val="00965ED3"/>
    <w:rsid w:val="009662AE"/>
    <w:rsid w:val="00973D8B"/>
    <w:rsid w:val="00973EFC"/>
    <w:rsid w:val="00975000"/>
    <w:rsid w:val="00980BCF"/>
    <w:rsid w:val="00982894"/>
    <w:rsid w:val="009852D6"/>
    <w:rsid w:val="009922A8"/>
    <w:rsid w:val="009926C1"/>
    <w:rsid w:val="0099437E"/>
    <w:rsid w:val="009A56B8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1E59"/>
    <w:rsid w:val="009F5341"/>
    <w:rsid w:val="009F5DBD"/>
    <w:rsid w:val="00A040DA"/>
    <w:rsid w:val="00A06E71"/>
    <w:rsid w:val="00A06FC0"/>
    <w:rsid w:val="00A0741D"/>
    <w:rsid w:val="00A074BB"/>
    <w:rsid w:val="00A11066"/>
    <w:rsid w:val="00A1265A"/>
    <w:rsid w:val="00A1415D"/>
    <w:rsid w:val="00A15784"/>
    <w:rsid w:val="00A164D9"/>
    <w:rsid w:val="00A17F14"/>
    <w:rsid w:val="00A209E3"/>
    <w:rsid w:val="00A23D92"/>
    <w:rsid w:val="00A2401E"/>
    <w:rsid w:val="00A401A5"/>
    <w:rsid w:val="00A443C2"/>
    <w:rsid w:val="00A525D4"/>
    <w:rsid w:val="00A639BC"/>
    <w:rsid w:val="00A660A4"/>
    <w:rsid w:val="00A7003A"/>
    <w:rsid w:val="00A71055"/>
    <w:rsid w:val="00A717C2"/>
    <w:rsid w:val="00A72449"/>
    <w:rsid w:val="00A744C3"/>
    <w:rsid w:val="00A765C3"/>
    <w:rsid w:val="00A8042C"/>
    <w:rsid w:val="00A81656"/>
    <w:rsid w:val="00A83F25"/>
    <w:rsid w:val="00A8751C"/>
    <w:rsid w:val="00A901E0"/>
    <w:rsid w:val="00A91C93"/>
    <w:rsid w:val="00A9228C"/>
    <w:rsid w:val="00A965CE"/>
    <w:rsid w:val="00AA0165"/>
    <w:rsid w:val="00AA18AD"/>
    <w:rsid w:val="00AB007D"/>
    <w:rsid w:val="00AB10E3"/>
    <w:rsid w:val="00AB2850"/>
    <w:rsid w:val="00AB3EB3"/>
    <w:rsid w:val="00AB580A"/>
    <w:rsid w:val="00AC0F38"/>
    <w:rsid w:val="00AC4CC1"/>
    <w:rsid w:val="00AC5470"/>
    <w:rsid w:val="00AC7307"/>
    <w:rsid w:val="00AD3BEE"/>
    <w:rsid w:val="00AD4C4C"/>
    <w:rsid w:val="00AD61B9"/>
    <w:rsid w:val="00AE0DC0"/>
    <w:rsid w:val="00AF1982"/>
    <w:rsid w:val="00AF3BDA"/>
    <w:rsid w:val="00AF7EB7"/>
    <w:rsid w:val="00B0060A"/>
    <w:rsid w:val="00B01383"/>
    <w:rsid w:val="00B01CE6"/>
    <w:rsid w:val="00B11877"/>
    <w:rsid w:val="00B12527"/>
    <w:rsid w:val="00B12682"/>
    <w:rsid w:val="00B156CF"/>
    <w:rsid w:val="00B16162"/>
    <w:rsid w:val="00B166E5"/>
    <w:rsid w:val="00B179A2"/>
    <w:rsid w:val="00B24049"/>
    <w:rsid w:val="00B27669"/>
    <w:rsid w:val="00B33EE8"/>
    <w:rsid w:val="00B34484"/>
    <w:rsid w:val="00B3501C"/>
    <w:rsid w:val="00B36699"/>
    <w:rsid w:val="00B56C13"/>
    <w:rsid w:val="00B572E1"/>
    <w:rsid w:val="00B57F59"/>
    <w:rsid w:val="00B67529"/>
    <w:rsid w:val="00B725AF"/>
    <w:rsid w:val="00B732EE"/>
    <w:rsid w:val="00B77A52"/>
    <w:rsid w:val="00B911E3"/>
    <w:rsid w:val="00B9203B"/>
    <w:rsid w:val="00BA0FF3"/>
    <w:rsid w:val="00BA140D"/>
    <w:rsid w:val="00BA3D2B"/>
    <w:rsid w:val="00BB63E3"/>
    <w:rsid w:val="00BB665C"/>
    <w:rsid w:val="00BC1D31"/>
    <w:rsid w:val="00BC1D48"/>
    <w:rsid w:val="00BC218C"/>
    <w:rsid w:val="00BC42B6"/>
    <w:rsid w:val="00BC4F4B"/>
    <w:rsid w:val="00BD2A4C"/>
    <w:rsid w:val="00BD402E"/>
    <w:rsid w:val="00BD7E6C"/>
    <w:rsid w:val="00BE7919"/>
    <w:rsid w:val="00BF1450"/>
    <w:rsid w:val="00C01A21"/>
    <w:rsid w:val="00C042B7"/>
    <w:rsid w:val="00C04CAF"/>
    <w:rsid w:val="00C07173"/>
    <w:rsid w:val="00C10450"/>
    <w:rsid w:val="00C10525"/>
    <w:rsid w:val="00C10D8A"/>
    <w:rsid w:val="00C117AD"/>
    <w:rsid w:val="00C139C6"/>
    <w:rsid w:val="00C13A8E"/>
    <w:rsid w:val="00C15C8D"/>
    <w:rsid w:val="00C1790C"/>
    <w:rsid w:val="00C320C3"/>
    <w:rsid w:val="00C341E1"/>
    <w:rsid w:val="00C355DE"/>
    <w:rsid w:val="00C36DD3"/>
    <w:rsid w:val="00C43C15"/>
    <w:rsid w:val="00C57BAF"/>
    <w:rsid w:val="00C60A72"/>
    <w:rsid w:val="00C6360E"/>
    <w:rsid w:val="00C645D3"/>
    <w:rsid w:val="00C731AD"/>
    <w:rsid w:val="00C73CF7"/>
    <w:rsid w:val="00C77D8D"/>
    <w:rsid w:val="00C81835"/>
    <w:rsid w:val="00C83B00"/>
    <w:rsid w:val="00C876A4"/>
    <w:rsid w:val="00C913B9"/>
    <w:rsid w:val="00C93236"/>
    <w:rsid w:val="00C95D01"/>
    <w:rsid w:val="00CA0EEC"/>
    <w:rsid w:val="00CA43BD"/>
    <w:rsid w:val="00CA5A00"/>
    <w:rsid w:val="00CA5CBA"/>
    <w:rsid w:val="00CB0715"/>
    <w:rsid w:val="00CB2067"/>
    <w:rsid w:val="00CB222D"/>
    <w:rsid w:val="00CB230F"/>
    <w:rsid w:val="00CB2590"/>
    <w:rsid w:val="00CB34AD"/>
    <w:rsid w:val="00CB3CD1"/>
    <w:rsid w:val="00CB55B3"/>
    <w:rsid w:val="00CB6DD7"/>
    <w:rsid w:val="00CC3FAD"/>
    <w:rsid w:val="00CC6EA3"/>
    <w:rsid w:val="00CD4B86"/>
    <w:rsid w:val="00CE01F3"/>
    <w:rsid w:val="00CE2176"/>
    <w:rsid w:val="00CE3428"/>
    <w:rsid w:val="00CE3E8D"/>
    <w:rsid w:val="00CE7390"/>
    <w:rsid w:val="00CF0840"/>
    <w:rsid w:val="00CF088A"/>
    <w:rsid w:val="00CF22FF"/>
    <w:rsid w:val="00CF3848"/>
    <w:rsid w:val="00CF7479"/>
    <w:rsid w:val="00D011F1"/>
    <w:rsid w:val="00D109AF"/>
    <w:rsid w:val="00D1236F"/>
    <w:rsid w:val="00D124FF"/>
    <w:rsid w:val="00D13B87"/>
    <w:rsid w:val="00D14802"/>
    <w:rsid w:val="00D15E0A"/>
    <w:rsid w:val="00D16934"/>
    <w:rsid w:val="00D17C0C"/>
    <w:rsid w:val="00D20637"/>
    <w:rsid w:val="00D20A55"/>
    <w:rsid w:val="00D20F1F"/>
    <w:rsid w:val="00D223DA"/>
    <w:rsid w:val="00D2420D"/>
    <w:rsid w:val="00D27FD4"/>
    <w:rsid w:val="00D32951"/>
    <w:rsid w:val="00D44C61"/>
    <w:rsid w:val="00D45676"/>
    <w:rsid w:val="00D47144"/>
    <w:rsid w:val="00D47178"/>
    <w:rsid w:val="00D50CE2"/>
    <w:rsid w:val="00D52F10"/>
    <w:rsid w:val="00D53E20"/>
    <w:rsid w:val="00D5420A"/>
    <w:rsid w:val="00D55BC8"/>
    <w:rsid w:val="00D62D2D"/>
    <w:rsid w:val="00D718BE"/>
    <w:rsid w:val="00D73272"/>
    <w:rsid w:val="00D73379"/>
    <w:rsid w:val="00D74C99"/>
    <w:rsid w:val="00D7731F"/>
    <w:rsid w:val="00D8065F"/>
    <w:rsid w:val="00D80DD2"/>
    <w:rsid w:val="00D84927"/>
    <w:rsid w:val="00D87200"/>
    <w:rsid w:val="00D95B20"/>
    <w:rsid w:val="00D96AAB"/>
    <w:rsid w:val="00DA1C2E"/>
    <w:rsid w:val="00DA5139"/>
    <w:rsid w:val="00DA5B3B"/>
    <w:rsid w:val="00DB066B"/>
    <w:rsid w:val="00DB2274"/>
    <w:rsid w:val="00DB3AA2"/>
    <w:rsid w:val="00DB3C86"/>
    <w:rsid w:val="00DB4342"/>
    <w:rsid w:val="00DB4D7B"/>
    <w:rsid w:val="00DB6EC5"/>
    <w:rsid w:val="00DB78EC"/>
    <w:rsid w:val="00DC24B4"/>
    <w:rsid w:val="00DC432F"/>
    <w:rsid w:val="00DC7A9E"/>
    <w:rsid w:val="00DD03C0"/>
    <w:rsid w:val="00DD3000"/>
    <w:rsid w:val="00DE1684"/>
    <w:rsid w:val="00DE2B9B"/>
    <w:rsid w:val="00DE341E"/>
    <w:rsid w:val="00DE4095"/>
    <w:rsid w:val="00DE4724"/>
    <w:rsid w:val="00DE72F0"/>
    <w:rsid w:val="00DF11BD"/>
    <w:rsid w:val="00DF41F4"/>
    <w:rsid w:val="00DF5446"/>
    <w:rsid w:val="00DF60B9"/>
    <w:rsid w:val="00DF7AFA"/>
    <w:rsid w:val="00E033C8"/>
    <w:rsid w:val="00E04EE5"/>
    <w:rsid w:val="00E079CD"/>
    <w:rsid w:val="00E1262D"/>
    <w:rsid w:val="00E14F2A"/>
    <w:rsid w:val="00E2294C"/>
    <w:rsid w:val="00E22D01"/>
    <w:rsid w:val="00E232FC"/>
    <w:rsid w:val="00E2617D"/>
    <w:rsid w:val="00E321B9"/>
    <w:rsid w:val="00E32411"/>
    <w:rsid w:val="00E35639"/>
    <w:rsid w:val="00E40C6F"/>
    <w:rsid w:val="00E478BC"/>
    <w:rsid w:val="00E51D49"/>
    <w:rsid w:val="00E52844"/>
    <w:rsid w:val="00E52A7A"/>
    <w:rsid w:val="00E544EF"/>
    <w:rsid w:val="00E54AA9"/>
    <w:rsid w:val="00E61737"/>
    <w:rsid w:val="00E638EC"/>
    <w:rsid w:val="00E67AAC"/>
    <w:rsid w:val="00E67EBA"/>
    <w:rsid w:val="00E71553"/>
    <w:rsid w:val="00E715F8"/>
    <w:rsid w:val="00E735B2"/>
    <w:rsid w:val="00E7380A"/>
    <w:rsid w:val="00E74218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B0943"/>
    <w:rsid w:val="00EB2DC6"/>
    <w:rsid w:val="00EB3773"/>
    <w:rsid w:val="00EB3EFD"/>
    <w:rsid w:val="00EB74D6"/>
    <w:rsid w:val="00EC17F9"/>
    <w:rsid w:val="00EC3914"/>
    <w:rsid w:val="00EC3A93"/>
    <w:rsid w:val="00EC3B14"/>
    <w:rsid w:val="00EC4C78"/>
    <w:rsid w:val="00EC4EA4"/>
    <w:rsid w:val="00EC7F75"/>
    <w:rsid w:val="00ED2470"/>
    <w:rsid w:val="00ED5B02"/>
    <w:rsid w:val="00EE2B48"/>
    <w:rsid w:val="00EE430D"/>
    <w:rsid w:val="00EE545C"/>
    <w:rsid w:val="00EE55C5"/>
    <w:rsid w:val="00EE6AD4"/>
    <w:rsid w:val="00EE6E54"/>
    <w:rsid w:val="00EE7BE6"/>
    <w:rsid w:val="00EF25EE"/>
    <w:rsid w:val="00EF34D8"/>
    <w:rsid w:val="00F0004D"/>
    <w:rsid w:val="00F002D5"/>
    <w:rsid w:val="00F02FE3"/>
    <w:rsid w:val="00F03174"/>
    <w:rsid w:val="00F10E3B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47EA9"/>
    <w:rsid w:val="00F5009B"/>
    <w:rsid w:val="00F514D4"/>
    <w:rsid w:val="00F524B2"/>
    <w:rsid w:val="00F54345"/>
    <w:rsid w:val="00F54F7C"/>
    <w:rsid w:val="00F55838"/>
    <w:rsid w:val="00F55C84"/>
    <w:rsid w:val="00F56F2C"/>
    <w:rsid w:val="00F57025"/>
    <w:rsid w:val="00F60556"/>
    <w:rsid w:val="00F63CE8"/>
    <w:rsid w:val="00F65811"/>
    <w:rsid w:val="00F70784"/>
    <w:rsid w:val="00F71003"/>
    <w:rsid w:val="00F71679"/>
    <w:rsid w:val="00F72C74"/>
    <w:rsid w:val="00F74413"/>
    <w:rsid w:val="00F84696"/>
    <w:rsid w:val="00F86E1A"/>
    <w:rsid w:val="00F878B6"/>
    <w:rsid w:val="00F87E35"/>
    <w:rsid w:val="00F93879"/>
    <w:rsid w:val="00FA3D61"/>
    <w:rsid w:val="00FA6946"/>
    <w:rsid w:val="00FA6E5C"/>
    <w:rsid w:val="00FA7676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283E"/>
    <w:rsid w:val="00FC4195"/>
    <w:rsid w:val="00FC6BEB"/>
    <w:rsid w:val="00FD01A5"/>
    <w:rsid w:val="00FD13A3"/>
    <w:rsid w:val="00FD1545"/>
    <w:rsid w:val="00FD3756"/>
    <w:rsid w:val="00FD54FC"/>
    <w:rsid w:val="00FD6C39"/>
    <w:rsid w:val="00FD7E73"/>
    <w:rsid w:val="00FE0574"/>
    <w:rsid w:val="00FE433D"/>
    <w:rsid w:val="00FE5A91"/>
    <w:rsid w:val="00FE6D7F"/>
    <w:rsid w:val="00FE7AE5"/>
    <w:rsid w:val="00FF092E"/>
    <w:rsid w:val="00FF149E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  <w:style w:type="character" w:customStyle="1" w:styleId="h1-sub">
    <w:name w:val="h1-sub"/>
    <w:basedOn w:val="Standardstycketeckensnitt"/>
    <w:rsid w:val="00850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1567</Words>
  <Characters>10163</Characters>
  <Application>Microsoft Office Word</Application>
  <DocSecurity>0</DocSecurity>
  <Lines>1016</Lines>
  <Paragraphs>221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11509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4</cp:revision>
  <cp:lastPrinted>2025-04-29T11:39:00Z</cp:lastPrinted>
  <dcterms:created xsi:type="dcterms:W3CDTF">2025-05-06T09:45:00Z</dcterms:created>
  <dcterms:modified xsi:type="dcterms:W3CDTF">2025-05-06T09:49:00Z</dcterms:modified>
</cp:coreProperties>
</file>