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04A4" w:rsidRPr="00CD7560">
      <w:pPr>
        <w:pStyle w:val="Dokumentbeteckning"/>
        <w:rPr>
          <w:u w:val="single"/>
        </w:rPr>
      </w:pPr>
      <w:bookmarkStart w:id="0" w:name="DocumentYear"/>
      <w:r>
        <w:t>2016/17</w:t>
      </w:r>
      <w:bookmarkEnd w:id="0"/>
      <w:r>
        <w:t>:</w:t>
      </w:r>
      <w:bookmarkStart w:id="1" w:name="DocumentNumber"/>
      <w:r>
        <w:t>13</w:t>
      </w:r>
      <w:bookmarkEnd w:id="1"/>
    </w:p>
    <w:p w:rsidR="006E04A4">
      <w:pPr>
        <w:pStyle w:val="Date"/>
        <w:outlineLvl w:val="0"/>
      </w:pPr>
      <w:bookmarkStart w:id="2" w:name="DocumentDate"/>
      <w:r>
        <w:t>Onsdagen den 12 oktober 2016</w:t>
      </w:r>
      <w:bookmarkEnd w:id="2"/>
      <w:r w:rsidR="00CB41A5">
        <w:t xml:space="preserve"> </w:t>
      </w:r>
    </w:p>
    <w:tbl>
      <w:tblPr>
        <w:tblW w:w="9214" w:type="dxa"/>
        <w:tblLayout w:type="fixed"/>
        <w:tblCellMar>
          <w:left w:w="0" w:type="dxa"/>
          <w:right w:w="0" w:type="dxa"/>
        </w:tblCellMar>
        <w:tblLook w:val="0000"/>
      </w:tblPr>
      <w:tblGrid>
        <w:gridCol w:w="454"/>
        <w:gridCol w:w="1134"/>
        <w:gridCol w:w="397"/>
        <w:gridCol w:w="7512"/>
      </w:tblGrid>
      <w:tr w:rsidTr="00E47117">
        <w:tblPrEx>
          <w:tblW w:w="9214" w:type="dxa"/>
          <w:tblLayout w:type="fixed"/>
          <w:tblCellMar>
            <w:left w:w="0" w:type="dxa"/>
            <w:right w:w="0" w:type="dxa"/>
          </w:tblCellMar>
          <w:tblLook w:val="0000"/>
        </w:tblPrEx>
        <w:trPr>
          <w:cantSplit/>
        </w:trPr>
        <w:tc>
          <w:tcPr>
            <w:tcW w:w="454" w:type="dxa"/>
          </w:tcPr>
          <w:p w:rsidR="006E04A4">
            <w:pPr>
              <w:pStyle w:val="Plenum"/>
              <w:tabs>
                <w:tab w:val="clear" w:pos="1418"/>
              </w:tabs>
            </w:pPr>
            <w:r>
              <w:t>Kl.</w:t>
            </w:r>
          </w:p>
        </w:tc>
        <w:tc>
          <w:tcPr>
            <w:tcW w:w="1134" w:type="dxa"/>
          </w:tcPr>
          <w:p w:rsidR="006E04A4">
            <w:pPr>
              <w:pStyle w:val="Plenum"/>
              <w:tabs>
                <w:tab w:val="clear" w:pos="1418"/>
              </w:tabs>
              <w:jc w:val="right"/>
            </w:pPr>
            <w:bookmarkStart w:id="3" w:name="StartTidSchema"/>
            <w:bookmarkEnd w:id="3"/>
            <w:r>
              <w:t>09.00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Partiledardebatt</w:t>
            </w:r>
          </w:p>
        </w:tc>
      </w:tr>
      <w:tr w:rsidTr="00E47117">
        <w:tblPrEx>
          <w:tblW w:w="9214" w:type="dxa"/>
          <w:tblLayout w:type="fixed"/>
          <w:tblCellMar>
            <w:left w:w="0" w:type="dxa"/>
            <w:right w:w="0" w:type="dxa"/>
          </w:tblCellMar>
          <w:tblLook w:val="0000"/>
        </w:tblPrEx>
        <w:trPr>
          <w:cantSplit/>
        </w:trPr>
        <w:tc>
          <w:tcPr>
            <w:tcW w:w="454" w:type="dxa"/>
          </w:tcPr>
          <w:p w:rsidR="006E04A4">
            <w:pPr>
              <w:tabs>
                <w:tab w:val="clear" w:pos="1418"/>
              </w:tabs>
            </w:pPr>
          </w:p>
        </w:tc>
        <w:tc>
          <w:tcPr>
            <w:tcW w:w="1134" w:type="dxa"/>
          </w:tcPr>
          <w:p w:rsidR="006E04A4">
            <w:pPr>
              <w:tabs>
                <w:tab w:val="clear" w:pos="1418"/>
              </w:tabs>
              <w:jc w:val="right"/>
            </w:pPr>
          </w:p>
        </w:tc>
        <w:tc>
          <w:tcPr>
            <w:tcW w:w="397" w:type="dxa"/>
          </w:tcPr>
          <w:p w:rsidR="006E04A4">
            <w:pPr>
              <w:tabs>
                <w:tab w:val="clear" w:pos="1418"/>
              </w:tabs>
              <w:rPr>
                <w:sz w:val="24"/>
              </w:rPr>
            </w:pPr>
          </w:p>
        </w:tc>
        <w:tc>
          <w:tcPr>
            <w:tcW w:w="7512" w:type="dxa"/>
          </w:tcPr>
          <w:p w:rsidR="006E04A4">
            <w:pPr>
              <w:pStyle w:val="Plenum"/>
              <w:tabs>
                <w:tab w:val="clear" w:pos="1418"/>
              </w:tabs>
              <w:ind w:right="1"/>
            </w:pPr>
            <w:r>
              <w:t>Arbetsplenum</w:t>
            </w:r>
          </w:p>
        </w:tc>
      </w:tr>
      <w:tr w:rsidTr="00E47117">
        <w:tblPrEx>
          <w:tblW w:w="9214" w:type="dxa"/>
          <w:tblLayout w:type="fixed"/>
          <w:tblCellMar>
            <w:left w:w="0" w:type="dxa"/>
            <w:right w:w="0" w:type="dxa"/>
          </w:tblCellMar>
          <w:tblLook w:val="0000"/>
        </w:tblPrEx>
        <w:trPr>
          <w:cantSplit/>
        </w:trPr>
        <w:tc>
          <w:tcPr>
            <w:tcW w:w="454" w:type="dxa"/>
          </w:tcPr>
          <w:p w:rsidR="006E04A4">
            <w:pPr>
              <w:tabs>
                <w:tab w:val="clear" w:pos="1418"/>
              </w:tabs>
            </w:pPr>
          </w:p>
        </w:tc>
        <w:tc>
          <w:tcPr>
            <w:tcW w:w="1134" w:type="dxa"/>
          </w:tcPr>
          <w:p w:rsidR="006E04A4">
            <w:pPr>
              <w:pStyle w:val="Plenum"/>
              <w:tabs>
                <w:tab w:val="clear" w:pos="1418"/>
              </w:tabs>
              <w:jc w:val="right"/>
            </w:pPr>
            <w:r>
              <w:t>16.00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Votering</w:t>
            </w:r>
          </w:p>
        </w:tc>
      </w:tr>
    </w:tbl>
    <w:p w:rsidR="006E04A4">
      <w:pPr>
        <w:pStyle w:val="StreckLngt"/>
      </w:pPr>
      <w:r>
        <w:tab/>
      </w:r>
    </w:p>
    <w:p w:rsidR="00121B42" w:rsidP="00121B42">
      <w:pPr>
        <w:pStyle w:val="Blankrad"/>
      </w:pPr>
      <w:r>
        <w:t xml:space="preserve">      </w:t>
      </w:r>
    </w:p>
    <w:p w:rsidR="00CF242C" w:rsidP="00121B42">
      <w:pPr>
        <w:pStyle w:val="Blankrad"/>
      </w:pPr>
      <w:r>
        <w:t xml:space="preserve">      </w:t>
      </w:r>
    </w:p>
    <w:tbl>
      <w:tblPr>
        <w:tblW w:w="9285" w:type="dxa"/>
        <w:tblLayout w:type="fixed"/>
        <w:tblCellMar>
          <w:left w:w="71" w:type="dxa"/>
          <w:right w:w="71" w:type="dxa"/>
        </w:tblCellMar>
        <w:tblLook w:val="0000"/>
      </w:tblPr>
      <w:tblGrid>
        <w:gridCol w:w="567"/>
        <w:gridCol w:w="6663"/>
        <w:gridCol w:w="2055"/>
      </w:tblGrid>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Rubriknr"/>
            </w:pPr>
            <w:r>
              <w:rPr>
                <w:rtl w:val="0"/>
              </w:rPr>
              <w:t>1</w:t>
            </w:r>
          </w:p>
        </w:tc>
        <w:tc>
          <w:tcPr>
            <w:tcW w:w="6663" w:type="dxa"/>
          </w:tcPr>
          <w:p w:rsidR="006E04A4" w:rsidP="000326E3">
            <w:pPr>
              <w:pStyle w:val="HuvudrubrikEnsam"/>
            </w:pPr>
            <w:r>
              <w:rPr>
                <w:rtl w:val="0"/>
              </w:rPr>
              <w:t>Partiledardebatt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fördröjt svar på interpellation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w:t>
            </w:r>
          </w:p>
        </w:tc>
        <w:tc>
          <w:tcPr>
            <w:tcW w:w="6663" w:type="dxa"/>
          </w:tcPr>
          <w:p w:rsidR="006E04A4" w:rsidP="000326E3">
            <w:r>
              <w:rPr>
                <w:rtl w:val="0"/>
              </w:rPr>
              <w:t xml:space="preserve">2016/17:13 av Jonas Jacobsson Gjörtler (M) </w:t>
            </w:r>
            <w:r>
              <w:rPr>
                <w:rtl w:val="0"/>
              </w:rPr>
              <w:br/>
            </w:r>
            <w:r>
              <w:rPr>
                <w:rtl w:val="0"/>
              </w:rPr>
              <w:t>Elområdesindelningen och Sydvästlänken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faktapromemorior</w:t>
            </w:r>
          </w:p>
        </w:tc>
        <w:tc>
          <w:tcPr>
            <w:tcW w:w="2055" w:type="dxa"/>
          </w:tcPr>
          <w:p w:rsidR="006E04A4" w:rsidP="00C84F80">
            <w:pPr>
              <w:pStyle w:val="HuvudrubrikKolumn3"/>
              <w:keepNext/>
            </w:pPr>
            <w:r>
              <w:rPr>
                <w:rtl w:val="0"/>
              </w:rPr>
              <w:t>Ansvarigt utskott</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w:t>
            </w:r>
          </w:p>
        </w:tc>
        <w:tc>
          <w:tcPr>
            <w:tcW w:w="6663" w:type="dxa"/>
          </w:tcPr>
          <w:p w:rsidR="006E04A4" w:rsidP="000326E3">
            <w:r>
              <w:rPr>
                <w:rtl w:val="0"/>
              </w:rPr>
              <w:t xml:space="preserve">2016/17:FPM6 Förordning om certifiering av utrustning för säkerhetskontroll inom luftfarten </w:t>
            </w:r>
            <w:r>
              <w:rPr>
                <w:i/>
                <w:iCs/>
                <w:rtl w:val="0"/>
              </w:rPr>
              <w:t>KOM(2016) 491</w:t>
            </w:r>
          </w:p>
        </w:tc>
        <w:tc>
          <w:tcPr>
            <w:tcW w:w="2055" w:type="dxa"/>
          </w:tcPr>
          <w:p w:rsidR="006E04A4" w:rsidP="00C84F80">
            <w:r>
              <w:rPr>
                <w:rtl w:val="0"/>
              </w:rPr>
              <w:t>TU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w:t>
            </w:r>
          </w:p>
        </w:tc>
        <w:tc>
          <w:tcPr>
            <w:tcW w:w="6663" w:type="dxa"/>
          </w:tcPr>
          <w:p w:rsidR="006E04A4" w:rsidP="000326E3">
            <w:r>
              <w:rPr>
                <w:rtl w:val="0"/>
              </w:rPr>
              <w:t xml:space="preserve">2016/17:FPM7 Förordning om förlängning av programmet för europeisk statistik </w:t>
            </w:r>
            <w:r>
              <w:rPr>
                <w:i/>
                <w:iCs/>
                <w:rtl w:val="0"/>
              </w:rPr>
              <w:t>KOM(2016) 557</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granskningsrapport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5</w:t>
            </w:r>
          </w:p>
        </w:tc>
        <w:tc>
          <w:tcPr>
            <w:tcW w:w="6663" w:type="dxa"/>
          </w:tcPr>
          <w:p w:rsidR="006E04A4" w:rsidP="000326E3">
            <w:r>
              <w:rPr>
                <w:rtl w:val="0"/>
              </w:rPr>
              <w:t>RiR 2016:24 Internationella jämförelser av inkomstskillnader – Sveriges möjligheter att bidra med statistik</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hänvisning till utskott</w:t>
            </w:r>
          </w:p>
        </w:tc>
        <w:tc>
          <w:tcPr>
            <w:tcW w:w="2055" w:type="dxa"/>
          </w:tcPr>
          <w:p w:rsidR="006E04A4" w:rsidP="00C84F80">
            <w:pPr>
              <w:pStyle w:val="HuvudrubrikKolumn3"/>
              <w:keepNext/>
            </w:pPr>
            <w:r>
              <w:rPr>
                <w:rtl w:val="0"/>
              </w:rPr>
              <w:t>Förslag</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Propositioner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6</w:t>
            </w:r>
          </w:p>
        </w:tc>
        <w:tc>
          <w:tcPr>
            <w:tcW w:w="6663" w:type="dxa"/>
          </w:tcPr>
          <w:p w:rsidR="006E04A4" w:rsidP="000326E3">
            <w:r>
              <w:rPr>
                <w:rtl w:val="0"/>
              </w:rPr>
              <w:t>2016/17:8 Tydligare tillståndsgivning enligt lotterilagen</w:t>
            </w:r>
          </w:p>
        </w:tc>
        <w:tc>
          <w:tcPr>
            <w:tcW w:w="2055" w:type="dxa"/>
          </w:tcPr>
          <w:p w:rsidR="006E04A4" w:rsidP="00C84F80">
            <w:r>
              <w:rPr>
                <w:rtl w:val="0"/>
              </w:rPr>
              <w:t>KrU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7</w:t>
            </w:r>
          </w:p>
        </w:tc>
        <w:tc>
          <w:tcPr>
            <w:tcW w:w="6663" w:type="dxa"/>
          </w:tcPr>
          <w:p w:rsidR="006E04A4" w:rsidP="000326E3">
            <w:r>
              <w:rPr>
                <w:rtl w:val="0"/>
              </w:rPr>
              <w:t>2016/17:15 Ökad tillgänglighet till sprutbytesverksamheter i Sverige</w:t>
            </w:r>
          </w:p>
        </w:tc>
        <w:tc>
          <w:tcPr>
            <w:tcW w:w="2055" w:type="dxa"/>
          </w:tcPr>
          <w:p w:rsidR="006E04A4" w:rsidP="00C84F80">
            <w:r>
              <w:rPr>
                <w:rtl w:val="0"/>
              </w:rPr>
              <w:t>SoU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8</w:t>
            </w:r>
          </w:p>
        </w:tc>
        <w:tc>
          <w:tcPr>
            <w:tcW w:w="6663" w:type="dxa"/>
          </w:tcPr>
          <w:p w:rsidR="006E04A4" w:rsidP="000326E3">
            <w:r>
              <w:rPr>
                <w:rtl w:val="0"/>
              </w:rPr>
              <w:t>2016/17:17 Genomförande av det omarbetade asylprocedurdirektivet</w:t>
            </w:r>
          </w:p>
        </w:tc>
        <w:tc>
          <w:tcPr>
            <w:tcW w:w="2055" w:type="dxa"/>
          </w:tcPr>
          <w:p w:rsidR="006E04A4" w:rsidP="00C84F80">
            <w:r>
              <w:rPr>
                <w:rtl w:val="0"/>
              </w:rPr>
              <w:t>SfU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9</w:t>
            </w:r>
          </w:p>
        </w:tc>
        <w:tc>
          <w:tcPr>
            <w:tcW w:w="6663" w:type="dxa"/>
          </w:tcPr>
          <w:p w:rsidR="006E04A4" w:rsidP="000326E3">
            <w:r>
              <w:rPr>
                <w:rtl w:val="0"/>
              </w:rPr>
              <w:t>2016/17:18 Falska polisbilar</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10</w:t>
            </w:r>
          </w:p>
        </w:tc>
        <w:tc>
          <w:tcPr>
            <w:tcW w:w="6663" w:type="dxa"/>
          </w:tcPr>
          <w:p w:rsidR="006E04A4" w:rsidP="000326E3">
            <w:r>
              <w:rPr>
                <w:rtl w:val="0"/>
              </w:rPr>
              <w:t>2016/17:21 Infrastruktur för framtiden – innovativa lösningar för stärkt konkurrenskraft och hållbar utveckling</w:t>
            </w:r>
          </w:p>
        </w:tc>
        <w:tc>
          <w:tcPr>
            <w:tcW w:w="2055" w:type="dxa"/>
          </w:tcPr>
          <w:p w:rsidR="006E04A4" w:rsidP="00C84F80">
            <w:r>
              <w:rPr>
                <w:rtl w:val="0"/>
              </w:rPr>
              <w:t>TU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Skrivelser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11</w:t>
            </w:r>
          </w:p>
        </w:tc>
        <w:tc>
          <w:tcPr>
            <w:tcW w:w="6663" w:type="dxa"/>
          </w:tcPr>
          <w:p w:rsidR="006E04A4" w:rsidP="000326E3">
            <w:r>
              <w:rPr>
                <w:rtl w:val="0"/>
              </w:rPr>
              <w:t>2016/17:11 Verksamheten inom Organisationen för säkerhet och samarbete i Europa (OSSE) under helåret 2015 och första halvåret 2016</w:t>
            </w:r>
          </w:p>
        </w:tc>
        <w:tc>
          <w:tcPr>
            <w:tcW w:w="2055" w:type="dxa"/>
          </w:tcPr>
          <w:p w:rsidR="006E04A4" w:rsidP="00C84F80">
            <w:r>
              <w:rPr>
                <w:rtl w:val="0"/>
              </w:rPr>
              <w:t>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12</w:t>
            </w:r>
          </w:p>
        </w:tc>
        <w:tc>
          <w:tcPr>
            <w:tcW w:w="6663" w:type="dxa"/>
          </w:tcPr>
          <w:p w:rsidR="006E04A4" w:rsidP="000326E3">
            <w:r>
              <w:rPr>
                <w:rtl w:val="0"/>
              </w:rPr>
              <w:t>2016/17:12 Verksamheten inom Europarådets ministerkommitté m.m. under helåret 2015 och första halvåret 2016</w:t>
            </w:r>
          </w:p>
        </w:tc>
        <w:tc>
          <w:tcPr>
            <w:tcW w:w="2055" w:type="dxa"/>
          </w:tcPr>
          <w:p w:rsidR="006E04A4" w:rsidP="00C84F80">
            <w:r>
              <w:rPr>
                <w:rtl w:val="0"/>
              </w:rPr>
              <w:t>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Motion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Motionsrubrik"/>
              <w:keepNext/>
            </w:pPr>
            <w:r>
              <w:rPr>
                <w:rtl w:val="0"/>
              </w:rPr>
              <w:t>med anledning av prop. 2016/17:5 Rätt till behörighetsgivande utbildning inom komvux</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13</w:t>
            </w:r>
          </w:p>
        </w:tc>
        <w:tc>
          <w:tcPr>
            <w:tcW w:w="6663" w:type="dxa"/>
          </w:tcPr>
          <w:p w:rsidR="006E04A4" w:rsidP="000326E3">
            <w:r>
              <w:rPr>
                <w:rtl w:val="0"/>
              </w:rPr>
              <w:t>2016/17:3111 av Christer Nylander m.fl. (L, M, C, KD)</w:t>
            </w:r>
          </w:p>
        </w:tc>
        <w:tc>
          <w:tcPr>
            <w:tcW w:w="2055" w:type="dxa"/>
          </w:tcPr>
          <w:p w:rsidR="006E04A4" w:rsidP="00C84F80">
            <w:r>
              <w:rPr>
                <w:rtl w:val="0"/>
              </w:rPr>
              <w:t>UbU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EU-dokument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14</w:t>
            </w:r>
          </w:p>
        </w:tc>
        <w:tc>
          <w:tcPr>
            <w:tcW w:w="6663" w:type="dxa"/>
          </w:tcPr>
          <w:p w:rsidR="006E04A4" w:rsidP="000326E3">
            <w:r>
              <w:rPr>
                <w:rtl w:val="0"/>
              </w:rPr>
              <w:t xml:space="preserve">KOM(2016) 582 Förslag till Europaparlamentets och rådets förordning om ändring av förordning (EG, Euratom) nr 480/2009 om upprättande av en garantifond för åtgärder avseende tredje land </w:t>
            </w:r>
            <w:r>
              <w:rPr>
                <w:rtl w:val="0"/>
              </w:rPr>
              <w:br/>
            </w:r>
            <w:r>
              <w:rPr>
                <w:i/>
                <w:iCs/>
                <w:rtl w:val="0"/>
              </w:rPr>
              <w:t>Åttaveckorsfristen för att avge ett motiverat yttrande går ut den 30 november 2016</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15</w:t>
            </w:r>
          </w:p>
        </w:tc>
        <w:tc>
          <w:tcPr>
            <w:tcW w:w="6663" w:type="dxa"/>
          </w:tcPr>
          <w:p w:rsidR="006E04A4" w:rsidP="000326E3">
            <w:r>
              <w:rPr>
                <w:rtl w:val="0"/>
              </w:rPr>
              <w:t xml:space="preserve">KOM(2016) 583 Förslag till Europaparlamentets och rådets beslut om ändring av beslut nr 466/2014/EU om beviljande av en EU-garanti till Europeiska investeringsbanken mot förluster vid lån och lånegarantier till projekt utanför unionen </w:t>
            </w:r>
            <w:r>
              <w:rPr>
                <w:rtl w:val="0"/>
              </w:rPr>
              <w:br/>
            </w:r>
            <w:r>
              <w:rPr>
                <w:i/>
                <w:iCs/>
                <w:rtl w:val="0"/>
              </w:rPr>
              <w:t>Åttaveckorsfristen för att avge ett motiverat yttrande går ut den 30 november 2016</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16</w:t>
            </w:r>
          </w:p>
        </w:tc>
        <w:tc>
          <w:tcPr>
            <w:tcW w:w="6663" w:type="dxa"/>
          </w:tcPr>
          <w:p w:rsidR="006E04A4" w:rsidP="000326E3">
            <w:r>
              <w:rPr>
                <w:rtl w:val="0"/>
              </w:rPr>
              <w:t xml:space="preserve">KOM(2016) 589 Förslag till Europaparlamentets och rådets förordning om ändring av förordningarna (EU) nr 1316/2013 och (EU) nr 283/2014 vad gäller främjande av internetkonnektivitet i lokala samhällen </w:t>
            </w:r>
            <w:r>
              <w:rPr>
                <w:rtl w:val="0"/>
              </w:rPr>
              <w:br/>
            </w:r>
            <w:r>
              <w:rPr>
                <w:i/>
                <w:iCs/>
                <w:rtl w:val="0"/>
              </w:rPr>
              <w:t>Åttaveckorsfristen för att avge ett motiverat yttrande går ut den 30 november 2016</w:t>
            </w:r>
          </w:p>
        </w:tc>
        <w:tc>
          <w:tcPr>
            <w:tcW w:w="2055" w:type="dxa"/>
          </w:tcPr>
          <w:p w:rsidR="006E04A4" w:rsidP="00C84F80">
            <w:r>
              <w:rPr>
                <w:rtl w:val="0"/>
              </w:rPr>
              <w:t>TU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17</w:t>
            </w:r>
          </w:p>
        </w:tc>
        <w:tc>
          <w:tcPr>
            <w:tcW w:w="6663" w:type="dxa"/>
          </w:tcPr>
          <w:p w:rsidR="006E04A4" w:rsidP="000326E3">
            <w:r>
              <w:rPr>
                <w:rtl w:val="0"/>
              </w:rPr>
              <w:t xml:space="preserve">KOM(2016) 593 Förslag till Europaparlamentets och rådets direktiv om upphovsrätt på den digitala inre marknaden </w:t>
            </w:r>
            <w:r>
              <w:rPr>
                <w:rtl w:val="0"/>
              </w:rPr>
              <w:br/>
            </w:r>
            <w:r>
              <w:rPr>
                <w:i/>
                <w:iCs/>
                <w:rtl w:val="0"/>
              </w:rPr>
              <w:t>Åttaveckorsfristen för att avge ett motiverat yttrande går ut den 30 november 2016</w:t>
            </w:r>
          </w:p>
        </w:tc>
        <w:tc>
          <w:tcPr>
            <w:tcW w:w="2055" w:type="dxa"/>
          </w:tcPr>
          <w:p w:rsidR="006E04A4" w:rsidP="00C84F80">
            <w:r>
              <w:rPr>
                <w:rtl w:val="0"/>
              </w:rPr>
              <w:t>NU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18</w:t>
            </w:r>
          </w:p>
        </w:tc>
        <w:tc>
          <w:tcPr>
            <w:tcW w:w="6663" w:type="dxa"/>
          </w:tcPr>
          <w:p w:rsidR="006E04A4" w:rsidP="000326E3">
            <w:r>
              <w:rPr>
                <w:rtl w:val="0"/>
              </w:rPr>
              <w:t xml:space="preserve">KOM(2016) 594 Förslag till Europaparlamentets och rådets förordning om fastställande av bestämmelser för utövandet av upphovsrätt och närstående rättigheter tillämpliga på vissa av programföretagens onlinesändningar och vidaresändningar av tv- och radioprogram </w:t>
            </w:r>
            <w:r>
              <w:rPr>
                <w:rtl w:val="0"/>
              </w:rPr>
              <w:br/>
            </w:r>
            <w:r>
              <w:rPr>
                <w:i/>
                <w:iCs/>
                <w:rtl w:val="0"/>
              </w:rPr>
              <w:t>Åttaveckorsfristen för att avge ett motiverat yttrande går ut den 30 november 2016</w:t>
            </w:r>
          </w:p>
        </w:tc>
        <w:tc>
          <w:tcPr>
            <w:tcW w:w="2055" w:type="dxa"/>
          </w:tcPr>
          <w:p w:rsidR="006E04A4" w:rsidP="00C84F80">
            <w:r>
              <w:rPr>
                <w:rtl w:val="0"/>
              </w:rPr>
              <w:t>NU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19</w:t>
            </w:r>
          </w:p>
        </w:tc>
        <w:tc>
          <w:tcPr>
            <w:tcW w:w="6663" w:type="dxa"/>
          </w:tcPr>
          <w:p w:rsidR="006E04A4" w:rsidP="000326E3">
            <w:r>
              <w:rPr>
                <w:rtl w:val="0"/>
              </w:rPr>
              <w:t xml:space="preserve">KOM(2016) 595 Förslag till Europaparlamentets och rådets förordning om gränsöverskridande utbyte mellan unionen och tredjeländer av exemplar i tillgängligt format av vissa verk och andra alster som skyddas av upphovsrätt och närstående rättigheter till förmån för personer som är blinda, synsvaga eller har annat läshandikapp </w:t>
            </w:r>
            <w:r>
              <w:rPr>
                <w:rtl w:val="0"/>
              </w:rPr>
              <w:br/>
            </w:r>
            <w:r>
              <w:rPr>
                <w:i/>
                <w:iCs/>
                <w:rtl w:val="0"/>
              </w:rPr>
              <w:t>Åttaveckorsfristen för att avge ett motiverat yttrande går ut den 30 november 2016</w:t>
            </w:r>
          </w:p>
        </w:tc>
        <w:tc>
          <w:tcPr>
            <w:tcW w:w="2055" w:type="dxa"/>
          </w:tcPr>
          <w:p w:rsidR="006E04A4" w:rsidP="00C84F80">
            <w:r>
              <w:rPr>
                <w:rtl w:val="0"/>
              </w:rPr>
              <w:t>NU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20</w:t>
            </w:r>
          </w:p>
        </w:tc>
        <w:tc>
          <w:tcPr>
            <w:tcW w:w="6663" w:type="dxa"/>
          </w:tcPr>
          <w:p w:rsidR="006E04A4" w:rsidP="000326E3">
            <w:r>
              <w:rPr>
                <w:rtl w:val="0"/>
              </w:rPr>
              <w:t xml:space="preserve">KOM(2016) 596 Förslag till Europaparlamentets och rådets direktiv om viss tillåten användning av verk och andra alster som skyddas av upphovsrätt och närstående rättigheter till förmån för personer som är blinda, synsvaga eller har annat läshandikapp och om ändring av direktiv 2001/29/EG om harmonisering av vissa aspekter av upphovsrätt och närstående rättigheter i informationssamhället </w:t>
            </w:r>
            <w:r>
              <w:rPr>
                <w:rtl w:val="0"/>
              </w:rPr>
              <w:br/>
            </w:r>
            <w:r>
              <w:rPr>
                <w:i/>
                <w:iCs/>
                <w:rtl w:val="0"/>
              </w:rPr>
              <w:t>Åttaveckorsfristen för att avge ett motiverat yttrande går ut den 30 november 2016</w:t>
            </w:r>
          </w:p>
        </w:tc>
        <w:tc>
          <w:tcPr>
            <w:tcW w:w="2055" w:type="dxa"/>
          </w:tcPr>
          <w:p w:rsidR="006E04A4" w:rsidP="00C84F80">
            <w:r>
              <w:rPr>
                <w:rtl w:val="0"/>
              </w:rPr>
              <w:t>NU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21</w:t>
            </w:r>
          </w:p>
        </w:tc>
        <w:tc>
          <w:tcPr>
            <w:tcW w:w="6663" w:type="dxa"/>
          </w:tcPr>
          <w:p w:rsidR="006E04A4" w:rsidP="000326E3">
            <w:r>
              <w:rPr>
                <w:rtl w:val="0"/>
              </w:rPr>
              <w:t xml:space="preserve">KOM(2016) 625 Förslag till Europaparlamentets och rådets beslut om en gemensam ram för tillhandahållande av bättre tjänster för kompetens och kvalifikationer (Europass) och om upphävande av beslut nr 2241/2004/EG </w:t>
            </w:r>
            <w:r>
              <w:rPr>
                <w:rtl w:val="0"/>
              </w:rPr>
              <w:br/>
            </w:r>
            <w:r>
              <w:rPr>
                <w:i/>
                <w:iCs/>
                <w:rtl w:val="0"/>
              </w:rPr>
              <w:t>Åttaveckorsfristen för att avge ett motiverat yttrande går ut den 30 november 2016</w:t>
            </w:r>
          </w:p>
        </w:tc>
        <w:tc>
          <w:tcPr>
            <w:tcW w:w="2055" w:type="dxa"/>
          </w:tcPr>
          <w:p w:rsidR="006E04A4" w:rsidP="00C84F80">
            <w:r>
              <w:rPr>
                <w:rtl w:val="0"/>
              </w:rPr>
              <w:t>UbU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debatt och avgörande</w:t>
            </w:r>
          </w:p>
        </w:tc>
        <w:tc>
          <w:tcPr>
            <w:tcW w:w="2055" w:type="dxa"/>
          </w:tcPr>
          <w:p w:rsidR="006E04A4" w:rsidP="00C84F80">
            <w:pPr>
              <w:pStyle w:val="HuvudrubrikKolumn3"/>
              <w:keepNext/>
            </w:pPr>
            <w:r>
              <w:rPr>
                <w:rtl w:val="0"/>
              </w:rPr>
              <w:t>Reservationer</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Miljö- och jordbruksutskottets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22</w:t>
            </w:r>
          </w:p>
        </w:tc>
        <w:tc>
          <w:tcPr>
            <w:tcW w:w="6663" w:type="dxa"/>
          </w:tcPr>
          <w:p w:rsidR="006E04A4" w:rsidP="000326E3">
            <w:r>
              <w:rPr>
                <w:rtl w:val="0"/>
              </w:rPr>
              <w:t>Bet. 2016/17:MJU6 Godkännande av klimatavtalet från Paris</w:t>
            </w:r>
          </w:p>
        </w:tc>
        <w:tc>
          <w:tcPr>
            <w:tcW w:w="2055" w:type="dxa"/>
          </w:tcPr>
          <w:p w:rsidR="006E04A4" w:rsidP="00C84F80">
            <w:r>
              <w:rPr>
                <w:rtl w:val="0"/>
              </w:rPr>
              <w:t>1 res. (SD)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Trafikutskottets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23</w:t>
            </w:r>
          </w:p>
        </w:tc>
        <w:tc>
          <w:tcPr>
            <w:tcW w:w="6663" w:type="dxa"/>
          </w:tcPr>
          <w:p w:rsidR="006E04A4" w:rsidP="000326E3">
            <w:r>
              <w:rPr>
                <w:rtl w:val="0"/>
              </w:rPr>
              <w:t>Bet. 2016/17:TU2 Gemensamma standarder vid utbyggnad av infrastrukturen för alternativa drivmedel</w:t>
            </w:r>
          </w:p>
        </w:tc>
        <w:tc>
          <w:tcPr>
            <w:tcW w:w="2055" w:type="dxa"/>
          </w:tcPr>
          <w:p w:rsidR="006E04A4" w:rsidP="00C84F80">
            <w:r>
              <w:rPr>
                <w:rtl w:val="0"/>
              </w:rPr>
              <w:t>1 res. (SD)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Skatteutskottets betänkanden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24</w:t>
            </w:r>
          </w:p>
        </w:tc>
        <w:tc>
          <w:tcPr>
            <w:tcW w:w="6663" w:type="dxa"/>
          </w:tcPr>
          <w:p w:rsidR="006E04A4" w:rsidP="000326E3">
            <w:r>
              <w:rPr>
                <w:rtl w:val="0"/>
              </w:rPr>
              <w:t>Bet. 2016/17:SkU3 Skatteavtal mellan Sverige och Azerbajdzjan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25</w:t>
            </w:r>
          </w:p>
        </w:tc>
        <w:tc>
          <w:tcPr>
            <w:tcW w:w="6663" w:type="dxa"/>
          </w:tcPr>
          <w:p w:rsidR="006E04A4" w:rsidP="000326E3">
            <w:r>
              <w:rPr>
                <w:rtl w:val="0"/>
              </w:rPr>
              <w:t>Bet. 2016/17:SkU4 Skatteavtal mellan Sverige och Armenien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Justitieutskottets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26</w:t>
            </w:r>
          </w:p>
        </w:tc>
        <w:tc>
          <w:tcPr>
            <w:tcW w:w="6663" w:type="dxa"/>
          </w:tcPr>
          <w:p w:rsidR="006E04A4" w:rsidP="000326E3">
            <w:r>
              <w:rPr>
                <w:rtl w:val="0"/>
              </w:rPr>
              <w:t>Bet. 2016/17:JuU4 Rättelse i lagen om behandling av uppgifter i Skatteverkets beskattningsverksamhet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Finansutskottets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27</w:t>
            </w:r>
          </w:p>
        </w:tc>
        <w:tc>
          <w:tcPr>
            <w:tcW w:w="6663" w:type="dxa"/>
          </w:tcPr>
          <w:p w:rsidR="006E04A4" w:rsidP="000326E3">
            <w:r>
              <w:rPr>
                <w:rtl w:val="0"/>
              </w:rPr>
              <w:t>Bet. 2016/17:FiU9 Riksrevisorernas årliga rapport 2016</w:t>
            </w:r>
          </w:p>
        </w:tc>
        <w:tc>
          <w:tcPr>
            <w:tcW w:w="2055" w:type="dxa"/>
          </w:tcPr>
          <w:p w:rsidR="006E04A4" w:rsidP="00C84F80"/>
        </w:tc>
      </w:tr>
    </w:tbl>
    <w:p w:rsidR="00517888" w:rsidRPr="00F221DA" w:rsidP="00137840">
      <w:pPr>
        <w:pStyle w:val="Blankrad"/>
      </w:pPr>
      <w:r>
        <w:t xml:space="preserve">     </w:t>
      </w:r>
    </w:p>
    <w:p w:rsidR="00121B42" w:rsidP="00121B42">
      <w:pPr>
        <w:pStyle w:val="Blankrad"/>
      </w:pPr>
      <w:r>
        <w:t xml:space="preserve">     </w:t>
      </w:r>
    </w:p>
    <w:p w:rsidR="006E04A4" w:rsidRPr="00F221DA" w:rsidP="00121B42">
      <w:pPr>
        <w:pStyle w:val="Blankrad"/>
      </w:pPr>
    </w:p>
    <w:tbl>
      <w:tblPr>
        <w:tblW w:w="9285" w:type="dxa"/>
        <w:tblLayout w:type="fixed"/>
        <w:tblCellMar>
          <w:left w:w="71" w:type="dxa"/>
          <w:right w:w="71" w:type="dxa"/>
        </w:tblCellMar>
        <w:tblLook w:val="0000"/>
      </w:tblPr>
      <w:tblGrid>
        <w:gridCol w:w="567"/>
        <w:gridCol w:w="8718"/>
      </w:tblGrid>
      <w:tr w:rsidTr="00D774A8">
        <w:tblPrEx>
          <w:tblW w:w="9285" w:type="dxa"/>
          <w:tblLayout w:type="fixed"/>
          <w:tblCellMar>
            <w:left w:w="71" w:type="dxa"/>
            <w:right w:w="71" w:type="dxa"/>
          </w:tblCellMar>
          <w:tblLook w:val="0000"/>
        </w:tblPrEx>
        <w:tc>
          <w:tcPr>
            <w:tcW w:w="567" w:type="dxa"/>
          </w:tcPr>
          <w:p w:rsidR="00D774A8">
            <w:pPr>
              <w:pStyle w:val="IngenText"/>
            </w:pPr>
          </w:p>
        </w:tc>
        <w:tc>
          <w:tcPr>
            <w:tcW w:w="8718" w:type="dxa"/>
          </w:tcPr>
          <w:p w:rsidR="00D774A8" w:rsidP="00D016E9">
            <w:pPr>
              <w:pStyle w:val="StreckMitten"/>
            </w:pPr>
            <w:r>
              <w:tab/>
            </w:r>
            <w:r>
              <w:tab/>
            </w:r>
          </w:p>
        </w:tc>
      </w:tr>
    </w:tbl>
    <w:p w:rsidR="006E04A4" w:rsidRPr="00852BA1" w:rsidP="00852BA1">
      <w:pPr>
        <w:widowControl/>
        <w:tabs>
          <w:tab w:val="clear" w:pos="6804"/>
        </w:tabs>
        <w:spacing w:line="240" w:lineRule="auto"/>
        <w:rPr>
          <w:b/>
          <w:i/>
        </w:rPr>
      </w:pPr>
    </w:p>
    <w:sectPr w:rsidSect="00B42C75">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1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rsidR="00852BA1">
      <w:rPr>
        <w:noProof/>
      </w:rPr>
      <w:t>2</w:t>
    </w:r>
    <w:r>
      <w:fldChar w:fldCharType="end"/>
    </w:r>
    <w:r>
      <w:t xml:space="preserve"> (</w:t>
    </w:r>
    <w:r>
      <w:fldChar w:fldCharType="begin"/>
    </w:r>
    <w:r>
      <w:instrText xml:space="preserve"> NUMPAGES </w:instrText>
    </w:r>
    <w:r>
      <w:fldChar w:fldCharType="separate"/>
    </w:r>
    <w:r w:rsidR="00852BA1">
      <w:rPr>
        <w:noProof/>
      </w:rPr>
      <w:t>2</w:t>
    </w:r>
    <w:r w:rsidR="00852BA1">
      <w:rPr>
        <w:noProof/>
      </w:rPr>
      <w:fldChar w:fldCharType="end"/>
    </w:r>
    <w:r>
      <w:t>)</w:t>
    </w:r>
  </w:p>
  <w:p w:rsidR="00D73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BE217A">
      <w:rPr>
        <w:noProof/>
      </w:rPr>
      <w:fldChar w:fldCharType="end"/>
    </w:r>
    <w:r>
      <w:t>)</w:t>
    </w:r>
  </w:p>
  <w:p w:rsidR="00D7324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tabs>
        <w:tab w:val="clear" w:pos="4536"/>
      </w:tabs>
    </w:pPr>
    <w:r>
      <w:fldChar w:fldCharType="begin"/>
    </w:r>
    <w:r>
      <w:instrText xml:space="preserve"> DOCPROPERTY  DocumentDate  \* MERGEFORMAT </w:instrText>
    </w:r>
    <w:r>
      <w:fldChar w:fldCharType="separate"/>
    </w:r>
    <w:r w:rsidR="00382937">
      <w:t>Onsdagen den 12 oktober 2016</w:t>
    </w:r>
    <w:r w:rsidR="00382937">
      <w:fldChar w:fldCharType="end"/>
    </w:r>
  </w:p>
  <w:p w:rsidR="00D73249">
    <w:pPr>
      <w:pStyle w:val="Header"/>
      <w:tabs>
        <w:tab w:val="clear" w:pos="4536"/>
        <w:tab w:val="right" w:leader="underscore" w:pos="9072"/>
      </w:tabs>
      <w:spacing w:after="480"/>
      <w:rPr>
        <w:sz w:val="12"/>
      </w:rPr>
    </w:pPr>
    <w:r>
      <w:rPr>
        <w:sz w:val="12"/>
      </w:rPr>
      <w:tab/>
    </w:r>
  </w:p>
  <w:p w:rsidR="00D73249"/>
  <w:p w:rsidR="00D732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logo"/>
      <w:framePr w:wrap="around" w:x="9073" w:y="721" w:anchorLock="0"/>
      <w:spacing w:line="240" w:lineRule="atLeast"/>
      <w:rPr>
        <w:rFonts w:ascii="Arial" w:hAnsi="Arial"/>
        <w:sz w:val="60"/>
      </w:rPr>
    </w:pPr>
    <w:r>
      <w:rPr>
        <w:noProof/>
      </w:rPr>
      <w:drawing>
        <wp:inline distT="0" distB="0" distL="0" distR="0">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rsidR="00D73249" w:rsidP="00BE217A">
    <w:pPr>
      <w:pStyle w:val="Dokumentrubrik"/>
      <w:spacing w:after="360"/>
    </w:pPr>
    <w:bookmarkStart w:id="4" w:name="_GoBack"/>
    <w:bookmarkEnd w:id="4"/>
    <w:r>
      <w:t>Föredragningslista</w:t>
    </w:r>
  </w:p>
  <w:p w:rsidR="00D732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1E6"/>
    <w:multiLevelType w:val="singleLevel"/>
    <w:tmpl w:val="0B228890"/>
    <w:lvl w:ilvl="0">
      <w:start w:val="1"/>
      <w:numFmt w:val="decimal"/>
      <w:lvlText w:val="%1"/>
      <w:legacy w:legacy="1" w:legacySpace="0" w:legacyIndent="0"/>
      <w:lvlJc w:val="left"/>
    </w:lvl>
  </w:abstractNum>
  <w:abstractNum w:abstractNumId="1">
    <w:nsid w:val="34BE0B00"/>
    <w:multiLevelType w:val="singleLevel"/>
    <w:tmpl w:val="0B228890"/>
    <w:lvl w:ilvl="0">
      <w:start w:val="1"/>
      <w:numFmt w:val="decimal"/>
      <w:lvlText w:val="%1"/>
      <w:legacy w:legacy="1" w:legacySpace="0" w:legacyIndent="0"/>
      <w:lvlJc w:val="left"/>
    </w:lvl>
  </w:abstractNum>
  <w:abstractNum w:abstractNumId="2">
    <w:nsid w:val="37904608"/>
    <w:multiLevelType w:val="singleLevel"/>
    <w:tmpl w:val="0B228890"/>
    <w:lvl w:ilvl="0">
      <w:start w:val="1"/>
      <w:numFmt w:val="decimal"/>
      <w:lvlText w:val="%1"/>
      <w:legacy w:legacy="1" w:legacySpace="0" w:legacyIndent="0"/>
      <w:lvlJc w:val="left"/>
    </w:lvl>
  </w:abstractNum>
  <w:abstractNum w:abstractNumId="3">
    <w:nsid w:val="54A1785E"/>
    <w:multiLevelType w:val="hybridMultilevel"/>
    <w:tmpl w:val="BDE47E9A"/>
    <w:lvl w:ilvl="0">
      <w:start w:val="1"/>
      <w:numFmt w:val="decimal"/>
      <w:pStyle w:val="FlistaNrRubrik"/>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1244D1B"/>
    <w:multiLevelType w:val="singleLevel"/>
    <w:tmpl w:val="0B228890"/>
    <w:lvl w:ilvl="0">
      <w:start w:val="1"/>
      <w:numFmt w:val="decimal"/>
      <w:lvlText w:val="%1"/>
      <w:legacy w:legacy="1" w:legacySpace="0" w:legacyIndent="0"/>
      <w:lvlJc w:val="left"/>
    </w:lvl>
  </w:abstractNum>
  <w:abstractNum w:abstractNumId="5">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247"/>
  <w:hyphenationZone w:val="425"/>
  <w:displayHorizontalDrawingGridEvery w:val="0"/>
  <w:displayVerticalDrawingGridEvery w:val="0"/>
  <w:doNotUseMarginsForDrawingGridOrigin/>
  <w:noPunctuationKerning/>
  <w:characterSpacingControl w:val="doNotCompress"/>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Heading1">
    <w:name w:val="heading 1"/>
    <w:basedOn w:val="Normal"/>
    <w:next w:val="Normal"/>
    <w:qFormat/>
    <w:pPr>
      <w:keepNext/>
      <w:spacing w:line="240" w:lineRule="auto"/>
      <w:outlineLvl w:val="0"/>
    </w:pPr>
    <w:rPr>
      <w:kern w:val="28"/>
      <w:sz w:val="12"/>
    </w:rPr>
  </w:style>
  <w:style w:type="paragraph" w:styleId="Heading2">
    <w:name w:val="heading 2"/>
    <w:basedOn w:val="Normal"/>
    <w:next w:val="Normal"/>
    <w:qFormat/>
    <w:pPr>
      <w:keepNext/>
      <w:spacing w:line="240" w:lineRule="auto"/>
      <w:outlineLvl w:val="1"/>
    </w:pPr>
    <w:rPr>
      <w:sz w:val="12"/>
    </w:rPr>
  </w:style>
  <w:style w:type="paragraph" w:styleId="Heading3">
    <w:name w:val="heading 3"/>
    <w:basedOn w:val="Normal"/>
    <w:next w:val="Normal"/>
    <w:qFormat/>
    <w:pPr>
      <w:keepNext/>
      <w:spacing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clear" w:pos="6804"/>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e">
    <w:name w:val="Date"/>
    <w:basedOn w:val="Normal"/>
    <w:pPr>
      <w:spacing w:after="300" w:line="320" w:lineRule="exact"/>
    </w:pPr>
    <w:rPr>
      <w:rFonts w:ascii="Arial" w:hAnsi="Arial"/>
      <w:sz w:val="28"/>
    </w:rPr>
  </w:style>
  <w:style w:type="paragraph" w:customStyle="1" w:styleId="Plenum">
    <w:name w:val="Plenum"/>
    <w:basedOn w:val="Normal"/>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left" w:pos="2098"/>
        <w:tab w:val="right" w:leader="underscore" w:pos="5783"/>
        <w:tab w:val="clear" w:pos="6804"/>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Subtitle">
    <w:name w:val="Subtitle"/>
    <w:basedOn w:val="Normal"/>
    <w:qFormat/>
    <w:rsid w:val="009E024F"/>
    <w:pPr>
      <w:keepNext/>
      <w:spacing w:line="300" w:lineRule="exact"/>
    </w:pPr>
    <w:rPr>
      <w:rFonts w:ascii="Arial" w:hAnsi="Arial"/>
      <w:i/>
      <w:sz w:val="23"/>
    </w:rPr>
  </w:style>
  <w:style w:type="paragraph" w:styleId="Footer">
    <w:name w:val="footer"/>
    <w:basedOn w:val="Normal"/>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Header"/>
    <w:rsid w:val="00F75FE6"/>
    <w:pPr>
      <w:tabs>
        <w:tab w:val="clear" w:pos="4536"/>
        <w:tab w:val="left" w:pos="6804"/>
        <w:tab w:val="clear" w:pos="9072"/>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Plain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e"/>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cumentMap">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on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6723c7cfd798c36389bb1045c9b7354d">
  <xsd:schema xmlns:xsd="http://www.w3.org/2001/XMLSchema" xmlns:xs="http://www.w3.org/2001/XMLSchema" xmlns:p="http://schemas.microsoft.com/office/2006/metadata/properties" xmlns:ns2="C07A1A6C-0B19-41D9-BDF8-F523BA3921EB" targetNamespace="http://schemas.microsoft.com/office/2006/metadata/properties" ma:root="true" ma:fieldsID="98aeb66e78b2e81acff379f2e0e94d27"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2016-10-12</SAFIR_Sammantradesdatum_Doc>
    <SAFIR_SammantradeID xmlns="C07A1A6C-0B19-41D9-BDF8-F523BA3921EB">bcb96578-9343-45a6-a3b6-fc4c62011927</SAFIR_SammantradeID>
    <SAFIR_FlistaStatus_Doc xmlns="C07A1A6C-0B19-41D9-BDF8-F523BA3921EB">Ej publicerad</SAFIR_FlistaStatus_Doc>
    <SAFIR_FlistaEdited_Doc xmlns="C07A1A6C-0B19-41D9-BDF8-F523BA3921EB">false</SAFIR_FlistaEdited_Do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FACA2-B905-4A91-B7D8-FD8D5F0FB7BB}"/>
</file>

<file path=customXml/itemProps2.xml><?xml version="1.0" encoding="utf-8"?>
<ds:datastoreItem xmlns:ds="http://schemas.openxmlformats.org/officeDocument/2006/customXml" ds:itemID="{76656DCF-8C0C-40D0-B8CE-356A14EF6FD0}"/>
</file>

<file path=customXml/itemProps3.xml><?xml version="1.0" encoding="utf-8"?>
<ds:datastoreItem xmlns:ds="http://schemas.openxmlformats.org/officeDocument/2006/customXml" ds:itemID="{EFF2590D-632C-43BE-9516-675C9AA8E211}"/>
</file>

<file path=customXml/itemProps4.xml><?xml version="1.0" encoding="utf-8"?>
<ds:datastoreItem xmlns:ds="http://schemas.openxmlformats.org/officeDocument/2006/customXml" ds:itemID="{8F9A53A7-DBEC-4B24-9AB3-5F3D713ACF03}"/>
</file>

<file path=docProps/app.xml><?xml version="1.0" encoding="utf-8"?>
<Properties xmlns="http://schemas.openxmlformats.org/officeDocument/2006/extended-properties" xmlns:vt="http://schemas.openxmlformats.org/officeDocument/2006/docPropsVTypes">
  <Template>Föredragningslista.dot</Template>
  <TotalTime>258</TotalTime>
  <Pages>1</Pages>
  <Words>8</Words>
  <Characters>47</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Sveriges riksdag</cp:lastModifiedBy>
  <cp:revision>47</cp:revision>
  <cp:lastPrinted>2012-12-12T21:41:00Z</cp:lastPrinted>
  <dcterms:created xsi:type="dcterms:W3CDTF">2013-03-22T09:28:00Z</dcterms:created>
  <dcterms:modified xsi:type="dcterms:W3CDTF">2013-09-13T07:35:00Z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Onsdagen den 12 oktober 2016</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y fmtid="{D5CDD505-2E9C-101B-9397-08002B2CF9AE}" pid="9" name="SAFIR_FlistaStatus_Doc">
    <vt:lpwstr>Ej publicerad</vt:lpwstr>
  </property>
  <property fmtid="{D5CDD505-2E9C-101B-9397-08002B2CF9AE}" pid="10" name="SAFIR_FlistaEdited_Doc">
    <vt:bool>false</vt:bool>
  </property>
</Properties>
</file>