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1886E" w14:textId="77777777" w:rsidR="00043CCF" w:rsidRDefault="00043CCF" w:rsidP="00043CCF">
      <w:pPr>
        <w:pStyle w:val="UDrubrik"/>
        <w:tabs>
          <w:tab w:val="left" w:pos="1701"/>
          <w:tab w:val="left" w:pos="1985"/>
        </w:tabs>
        <w:rPr>
          <w:rFonts w:cs="Arial"/>
          <w:sz w:val="28"/>
        </w:rPr>
      </w:pPr>
    </w:p>
    <w:p w14:paraId="2D71886F" w14:textId="77777777" w:rsidR="00043CCF" w:rsidRDefault="00043CCF" w:rsidP="00043CCF">
      <w:pPr>
        <w:pStyle w:val="UDrubrik"/>
        <w:tabs>
          <w:tab w:val="left" w:pos="1701"/>
          <w:tab w:val="left" w:pos="1985"/>
        </w:tabs>
        <w:rPr>
          <w:rFonts w:cs="Arial"/>
          <w:sz w:val="28"/>
        </w:rPr>
      </w:pPr>
    </w:p>
    <w:p w14:paraId="2D718870" w14:textId="77777777" w:rsidR="00043CCF" w:rsidRDefault="00043CCF" w:rsidP="00043CCF">
      <w:pPr>
        <w:pStyle w:val="UDrubrik"/>
        <w:tabs>
          <w:tab w:val="left" w:pos="1701"/>
          <w:tab w:val="left" w:pos="1985"/>
        </w:tabs>
        <w:rPr>
          <w:rFonts w:cs="Arial"/>
          <w:sz w:val="28"/>
        </w:rPr>
      </w:pPr>
    </w:p>
    <w:p w14:paraId="2D718871" w14:textId="77777777" w:rsidR="00043CCF" w:rsidRDefault="00043CCF" w:rsidP="00043CCF">
      <w:pPr>
        <w:pStyle w:val="UDrubrik"/>
        <w:tabs>
          <w:tab w:val="left" w:pos="1701"/>
          <w:tab w:val="left" w:pos="1985"/>
        </w:tabs>
        <w:rPr>
          <w:rFonts w:cs="Arial"/>
          <w:sz w:val="28"/>
        </w:rPr>
      </w:pPr>
    </w:p>
    <w:p w14:paraId="2D718873" w14:textId="4F39A33A" w:rsidR="00043CCF" w:rsidRDefault="00043CCF" w:rsidP="00043CCF">
      <w:pPr>
        <w:pStyle w:val="UDrubrik"/>
        <w:tabs>
          <w:tab w:val="left" w:pos="1701"/>
          <w:tab w:val="left" w:pos="1985"/>
        </w:tabs>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II onsdagen den 7 oktober 2015, vecka 41.</w:t>
      </w:r>
    </w:p>
    <w:p w14:paraId="635D0BF9" w14:textId="77777777" w:rsidR="00043CCF" w:rsidRDefault="00043CCF" w:rsidP="00043CCF">
      <w:pPr>
        <w:pStyle w:val="Brdtext"/>
      </w:pPr>
    </w:p>
    <w:p w14:paraId="2D718874" w14:textId="51833E3C" w:rsidR="00043CCF" w:rsidRDefault="00043CCF" w:rsidP="00043CCF">
      <w:pPr>
        <w:pStyle w:val="Brdtext"/>
      </w:pPr>
      <w:r>
        <w:t xml:space="preserve">Överlämnas för skriftligt samråd till torsdagen den 8 oktober 2015, </w:t>
      </w:r>
      <w:proofErr w:type="spellStart"/>
      <w:r>
        <w:t>kl</w:t>
      </w:r>
      <w:proofErr w:type="spellEnd"/>
      <w:r>
        <w:t xml:space="preserve"> 09.00.</w:t>
      </w:r>
    </w:p>
    <w:p w14:paraId="2D718875" w14:textId="77777777" w:rsidR="00043CCF" w:rsidRDefault="00043CC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D718876" w14:textId="77777777" w:rsidR="00043CCF" w:rsidRPr="00FB32B9" w:rsidRDefault="00043CCF">
          <w:pPr>
            <w:pStyle w:val="Innehllsfrteckningsrubrik"/>
            <w:rPr>
              <w:color w:val="auto"/>
            </w:rPr>
          </w:pPr>
          <w:proofErr w:type="spellStart"/>
          <w:r w:rsidRPr="00FB32B9">
            <w:rPr>
              <w:color w:val="auto"/>
            </w:rPr>
            <w:t>Innehållsförteckning</w:t>
          </w:r>
          <w:proofErr w:type="spellEnd"/>
        </w:p>
        <w:p w14:paraId="2D718877" w14:textId="77777777" w:rsidR="00043CCF" w:rsidRPr="00DA7250" w:rsidRDefault="00043CCF" w:rsidP="00043CCF">
          <w:pPr>
            <w:rPr>
              <w:lang w:val="en-US" w:eastAsia="ja-JP"/>
            </w:rPr>
          </w:pPr>
        </w:p>
        <w:p w14:paraId="4FA5FBEA" w14:textId="77777777" w:rsidR="00053683" w:rsidRDefault="00043CC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1973491" w:history="1">
            <w:r w:rsidR="00053683" w:rsidRPr="007E47D4">
              <w:rPr>
                <w:rStyle w:val="Hyperlnk"/>
                <w:noProof/>
              </w:rPr>
              <w:t>1.</w:t>
            </w:r>
            <w:r w:rsidR="00053683">
              <w:rPr>
                <w:rFonts w:asciiTheme="minorHAnsi" w:eastAsiaTheme="minorEastAsia" w:hAnsiTheme="minorHAnsi" w:cstheme="minorBidi"/>
                <w:noProof/>
                <w:lang w:eastAsia="sv-SE"/>
              </w:rPr>
              <w:tab/>
            </w:r>
            <w:r w:rsidR="00053683" w:rsidRPr="007E47D4">
              <w:rPr>
                <w:rStyle w:val="Hyperlnk"/>
                <w:noProof/>
              </w:rPr>
              <w:t>Affaire devant le Tribunal de l'Union européenne =Affaire T-485/15 Bashir Saleh Alsharghawi contre Conseil de l'Union européenne</w:t>
            </w:r>
            <w:r w:rsidR="00053683">
              <w:rPr>
                <w:noProof/>
                <w:webHidden/>
              </w:rPr>
              <w:tab/>
            </w:r>
            <w:r w:rsidR="00053683">
              <w:rPr>
                <w:noProof/>
                <w:webHidden/>
              </w:rPr>
              <w:fldChar w:fldCharType="begin"/>
            </w:r>
            <w:r w:rsidR="00053683">
              <w:rPr>
                <w:noProof/>
                <w:webHidden/>
              </w:rPr>
              <w:instrText xml:space="preserve"> PAGEREF _Toc431973491 \h </w:instrText>
            </w:r>
            <w:r w:rsidR="00053683">
              <w:rPr>
                <w:noProof/>
                <w:webHidden/>
              </w:rPr>
            </w:r>
            <w:r w:rsidR="00053683">
              <w:rPr>
                <w:noProof/>
                <w:webHidden/>
              </w:rPr>
              <w:fldChar w:fldCharType="separate"/>
            </w:r>
            <w:r w:rsidR="00053683">
              <w:rPr>
                <w:noProof/>
                <w:webHidden/>
              </w:rPr>
              <w:t>4</w:t>
            </w:r>
            <w:r w:rsidR="00053683">
              <w:rPr>
                <w:noProof/>
                <w:webHidden/>
              </w:rPr>
              <w:fldChar w:fldCharType="end"/>
            </w:r>
          </w:hyperlink>
        </w:p>
        <w:p w14:paraId="2DBE325A"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2" w:history="1">
            <w:r w:rsidR="00053683" w:rsidRPr="007E47D4">
              <w:rPr>
                <w:rStyle w:val="Hyperlnk"/>
                <w:noProof/>
              </w:rPr>
              <w:t>2.</w:t>
            </w:r>
            <w:r w:rsidR="00053683">
              <w:rPr>
                <w:rFonts w:asciiTheme="minorHAnsi" w:eastAsiaTheme="minorEastAsia" w:hAnsiTheme="minorHAnsi" w:cstheme="minorBidi"/>
                <w:noProof/>
                <w:lang w:eastAsia="sv-SE"/>
              </w:rPr>
              <w:tab/>
            </w:r>
            <w:r w:rsidR="00053683" w:rsidRPr="007E47D4">
              <w:rPr>
                <w:rStyle w:val="Hyperlnk"/>
                <w:noProof/>
              </w:rPr>
              <w:t>Affaire T-448/15 Bureau Européen de l'Environnement contre Commission</w:t>
            </w:r>
            <w:r w:rsidR="00053683">
              <w:rPr>
                <w:noProof/>
                <w:webHidden/>
              </w:rPr>
              <w:tab/>
            </w:r>
            <w:r w:rsidR="00053683">
              <w:rPr>
                <w:noProof/>
                <w:webHidden/>
              </w:rPr>
              <w:fldChar w:fldCharType="begin"/>
            </w:r>
            <w:r w:rsidR="00053683">
              <w:rPr>
                <w:noProof/>
                <w:webHidden/>
              </w:rPr>
              <w:instrText xml:space="preserve"> PAGEREF _Toc431973492 \h </w:instrText>
            </w:r>
            <w:r w:rsidR="00053683">
              <w:rPr>
                <w:noProof/>
                <w:webHidden/>
              </w:rPr>
            </w:r>
            <w:r w:rsidR="00053683">
              <w:rPr>
                <w:noProof/>
                <w:webHidden/>
              </w:rPr>
              <w:fldChar w:fldCharType="separate"/>
            </w:r>
            <w:r w:rsidR="00053683">
              <w:rPr>
                <w:noProof/>
                <w:webHidden/>
              </w:rPr>
              <w:t>4</w:t>
            </w:r>
            <w:r w:rsidR="00053683">
              <w:rPr>
                <w:noProof/>
                <w:webHidden/>
              </w:rPr>
              <w:fldChar w:fldCharType="end"/>
            </w:r>
          </w:hyperlink>
        </w:p>
        <w:p w14:paraId="749E6136"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3" w:history="1">
            <w:r w:rsidR="00053683" w:rsidRPr="007E47D4">
              <w:rPr>
                <w:rStyle w:val="Hyperlnk"/>
                <w:noProof/>
              </w:rPr>
              <w:t>3.</w:t>
            </w:r>
            <w:r w:rsidR="00053683">
              <w:rPr>
                <w:rFonts w:asciiTheme="minorHAnsi" w:eastAsiaTheme="minorEastAsia" w:hAnsiTheme="minorHAnsi" w:cstheme="minorBidi"/>
                <w:noProof/>
                <w:lang w:eastAsia="sv-SE"/>
              </w:rPr>
              <w:tab/>
            </w:r>
            <w:r w:rsidR="00053683" w:rsidRPr="007E47D4">
              <w:rPr>
                <w:rStyle w:val="Hyperlnk"/>
                <w:noProof/>
              </w:rPr>
              <w:t>Affaire devant la Cour de justice de l'Union européenne</w:t>
            </w:r>
            <w:r w:rsidR="00053683">
              <w:rPr>
                <w:noProof/>
                <w:webHidden/>
              </w:rPr>
              <w:tab/>
            </w:r>
            <w:r w:rsidR="00053683">
              <w:rPr>
                <w:noProof/>
                <w:webHidden/>
              </w:rPr>
              <w:fldChar w:fldCharType="begin"/>
            </w:r>
            <w:r w:rsidR="00053683">
              <w:rPr>
                <w:noProof/>
                <w:webHidden/>
              </w:rPr>
              <w:instrText xml:space="preserve"> PAGEREF _Toc431973493 \h </w:instrText>
            </w:r>
            <w:r w:rsidR="00053683">
              <w:rPr>
                <w:noProof/>
                <w:webHidden/>
              </w:rPr>
            </w:r>
            <w:r w:rsidR="00053683">
              <w:rPr>
                <w:noProof/>
                <w:webHidden/>
              </w:rPr>
              <w:fldChar w:fldCharType="separate"/>
            </w:r>
            <w:r w:rsidR="00053683">
              <w:rPr>
                <w:noProof/>
                <w:webHidden/>
              </w:rPr>
              <w:t>5</w:t>
            </w:r>
            <w:r w:rsidR="00053683">
              <w:rPr>
                <w:noProof/>
                <w:webHidden/>
              </w:rPr>
              <w:fldChar w:fldCharType="end"/>
            </w:r>
          </w:hyperlink>
        </w:p>
        <w:p w14:paraId="7B044F7F"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4" w:history="1">
            <w:r w:rsidR="00053683" w:rsidRPr="007E47D4">
              <w:rPr>
                <w:rStyle w:val="Hyperlnk"/>
                <w:noProof/>
              </w:rPr>
              <w:t>4.</w:t>
            </w:r>
            <w:r w:rsidR="00053683">
              <w:rPr>
                <w:rFonts w:asciiTheme="minorHAnsi" w:eastAsiaTheme="minorEastAsia" w:hAnsiTheme="minorHAnsi" w:cstheme="minorBidi"/>
                <w:noProof/>
                <w:lang w:eastAsia="sv-SE"/>
              </w:rPr>
              <w:tab/>
            </w:r>
            <w:r w:rsidR="00053683" w:rsidRPr="007E47D4">
              <w:rPr>
                <w:rStyle w:val="Hyperlnk"/>
                <w:noProof/>
              </w:rPr>
              <w:t>Projet de règlement du Parlement européen et du Conseil modifiant le règlement (UE) n° 1303/2013 du Parlement européen et du Conseil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en ce qui concerne des mesures spécifiques pour la Grèce (première lecture)</w:t>
            </w:r>
            <w:r w:rsidR="00053683">
              <w:rPr>
                <w:noProof/>
                <w:webHidden/>
              </w:rPr>
              <w:tab/>
            </w:r>
            <w:r w:rsidR="00053683">
              <w:rPr>
                <w:noProof/>
                <w:webHidden/>
              </w:rPr>
              <w:fldChar w:fldCharType="begin"/>
            </w:r>
            <w:r w:rsidR="00053683">
              <w:rPr>
                <w:noProof/>
                <w:webHidden/>
              </w:rPr>
              <w:instrText xml:space="preserve"> PAGEREF _Toc431973494 \h </w:instrText>
            </w:r>
            <w:r w:rsidR="00053683">
              <w:rPr>
                <w:noProof/>
                <w:webHidden/>
              </w:rPr>
            </w:r>
            <w:r w:rsidR="00053683">
              <w:rPr>
                <w:noProof/>
                <w:webHidden/>
              </w:rPr>
              <w:fldChar w:fldCharType="separate"/>
            </w:r>
            <w:r w:rsidR="00053683">
              <w:rPr>
                <w:noProof/>
                <w:webHidden/>
              </w:rPr>
              <w:t>5</w:t>
            </w:r>
            <w:r w:rsidR="00053683">
              <w:rPr>
                <w:noProof/>
                <w:webHidden/>
              </w:rPr>
              <w:fldChar w:fldCharType="end"/>
            </w:r>
          </w:hyperlink>
        </w:p>
        <w:p w14:paraId="6F6AB724"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5" w:history="1">
            <w:r w:rsidR="00053683" w:rsidRPr="007E47D4">
              <w:rPr>
                <w:rStyle w:val="Hyperlnk"/>
                <w:noProof/>
              </w:rPr>
              <w:t>5.</w:t>
            </w:r>
            <w:r w:rsidR="00053683">
              <w:rPr>
                <w:rFonts w:asciiTheme="minorHAnsi" w:eastAsiaTheme="minorEastAsia" w:hAnsiTheme="minorHAnsi" w:cstheme="minorBidi"/>
                <w:noProof/>
                <w:lang w:eastAsia="sv-SE"/>
              </w:rPr>
              <w:tab/>
            </w:r>
            <w:r w:rsidR="00053683" w:rsidRPr="007E47D4">
              <w:rPr>
                <w:rStyle w:val="Hyperlnk"/>
                <w:noProof/>
              </w:rPr>
              <w:t>Règlement délégué (UE) …/... de la Commission, du 28.7.2015 complétant la directive 2002/87/CE du Parlement européen et du Conseil par des normes techniques de réglementation précisant les définitions de la concentration de risques et des transactions intragroupe et coordonnant leur surveillance complémentaire</w:t>
            </w:r>
            <w:r w:rsidR="00053683">
              <w:rPr>
                <w:noProof/>
                <w:webHidden/>
              </w:rPr>
              <w:tab/>
            </w:r>
            <w:r w:rsidR="00053683">
              <w:rPr>
                <w:noProof/>
                <w:webHidden/>
              </w:rPr>
              <w:fldChar w:fldCharType="begin"/>
            </w:r>
            <w:r w:rsidR="00053683">
              <w:rPr>
                <w:noProof/>
                <w:webHidden/>
              </w:rPr>
              <w:instrText xml:space="preserve"> PAGEREF _Toc431973495 \h </w:instrText>
            </w:r>
            <w:r w:rsidR="00053683">
              <w:rPr>
                <w:noProof/>
                <w:webHidden/>
              </w:rPr>
            </w:r>
            <w:r w:rsidR="00053683">
              <w:rPr>
                <w:noProof/>
                <w:webHidden/>
              </w:rPr>
              <w:fldChar w:fldCharType="separate"/>
            </w:r>
            <w:r w:rsidR="00053683">
              <w:rPr>
                <w:noProof/>
                <w:webHidden/>
              </w:rPr>
              <w:t>6</w:t>
            </w:r>
            <w:r w:rsidR="00053683">
              <w:rPr>
                <w:noProof/>
                <w:webHidden/>
              </w:rPr>
              <w:fldChar w:fldCharType="end"/>
            </w:r>
          </w:hyperlink>
        </w:p>
        <w:p w14:paraId="6C00D198"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6" w:history="1">
            <w:r w:rsidR="00053683" w:rsidRPr="007E47D4">
              <w:rPr>
                <w:rStyle w:val="Hyperlnk"/>
                <w:noProof/>
              </w:rPr>
              <w:t>6.</w:t>
            </w:r>
            <w:r w:rsidR="00053683">
              <w:rPr>
                <w:rFonts w:asciiTheme="minorHAnsi" w:eastAsiaTheme="minorEastAsia" w:hAnsiTheme="minorHAnsi" w:cstheme="minorBidi"/>
                <w:noProof/>
                <w:lang w:eastAsia="sv-SE"/>
              </w:rPr>
              <w:tab/>
            </w:r>
            <w:r w:rsidR="00053683" w:rsidRPr="007E47D4">
              <w:rPr>
                <w:rStyle w:val="Hyperlnk"/>
                <w:noProof/>
              </w:rPr>
              <w:t>Proposition de virement de crédits n° DEC 29/2015 à l'intérieur de la section III - Commission - du budget général pour l'exercice 2015</w:t>
            </w:r>
            <w:r w:rsidR="00053683">
              <w:rPr>
                <w:noProof/>
                <w:webHidden/>
              </w:rPr>
              <w:tab/>
            </w:r>
            <w:r w:rsidR="00053683">
              <w:rPr>
                <w:noProof/>
                <w:webHidden/>
              </w:rPr>
              <w:fldChar w:fldCharType="begin"/>
            </w:r>
            <w:r w:rsidR="00053683">
              <w:rPr>
                <w:noProof/>
                <w:webHidden/>
              </w:rPr>
              <w:instrText xml:space="preserve"> PAGEREF _Toc431973496 \h </w:instrText>
            </w:r>
            <w:r w:rsidR="00053683">
              <w:rPr>
                <w:noProof/>
                <w:webHidden/>
              </w:rPr>
            </w:r>
            <w:r w:rsidR="00053683">
              <w:rPr>
                <w:noProof/>
                <w:webHidden/>
              </w:rPr>
              <w:fldChar w:fldCharType="separate"/>
            </w:r>
            <w:r w:rsidR="00053683">
              <w:rPr>
                <w:noProof/>
                <w:webHidden/>
              </w:rPr>
              <w:t>6</w:t>
            </w:r>
            <w:r w:rsidR="00053683">
              <w:rPr>
                <w:noProof/>
                <w:webHidden/>
              </w:rPr>
              <w:fldChar w:fldCharType="end"/>
            </w:r>
          </w:hyperlink>
        </w:p>
        <w:p w14:paraId="7675953F"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7" w:history="1">
            <w:r w:rsidR="00053683" w:rsidRPr="007E47D4">
              <w:rPr>
                <w:rStyle w:val="Hyperlnk"/>
                <w:noProof/>
              </w:rPr>
              <w:t>7.</w:t>
            </w:r>
            <w:r w:rsidR="00053683">
              <w:rPr>
                <w:rFonts w:asciiTheme="minorHAnsi" w:eastAsiaTheme="minorEastAsia" w:hAnsiTheme="minorHAnsi" w:cstheme="minorBidi"/>
                <w:noProof/>
                <w:lang w:eastAsia="sv-SE"/>
              </w:rPr>
              <w:tab/>
            </w:r>
            <w:r w:rsidR="00053683" w:rsidRPr="007E47D4">
              <w:rPr>
                <w:rStyle w:val="Hyperlnk"/>
                <w:noProof/>
              </w:rPr>
              <w:t>Gestion de la crise des réfugiés : mesures budgétaires immédiats au titre de l'agenda européen en matière de migration –Projet de budget rectificatif nº 7 au budget général pour 2015</w:t>
            </w:r>
            <w:r w:rsidR="00053683">
              <w:rPr>
                <w:noProof/>
                <w:webHidden/>
              </w:rPr>
              <w:tab/>
            </w:r>
            <w:r w:rsidR="00053683">
              <w:rPr>
                <w:noProof/>
                <w:webHidden/>
              </w:rPr>
              <w:fldChar w:fldCharType="begin"/>
            </w:r>
            <w:r w:rsidR="00053683">
              <w:rPr>
                <w:noProof/>
                <w:webHidden/>
              </w:rPr>
              <w:instrText xml:space="preserve"> PAGEREF _Toc431973497 \h </w:instrText>
            </w:r>
            <w:r w:rsidR="00053683">
              <w:rPr>
                <w:noProof/>
                <w:webHidden/>
              </w:rPr>
            </w:r>
            <w:r w:rsidR="00053683">
              <w:rPr>
                <w:noProof/>
                <w:webHidden/>
              </w:rPr>
              <w:fldChar w:fldCharType="separate"/>
            </w:r>
            <w:r w:rsidR="00053683">
              <w:rPr>
                <w:noProof/>
                <w:webHidden/>
              </w:rPr>
              <w:t>7</w:t>
            </w:r>
            <w:r w:rsidR="00053683">
              <w:rPr>
                <w:noProof/>
                <w:webHidden/>
              </w:rPr>
              <w:fldChar w:fldCharType="end"/>
            </w:r>
          </w:hyperlink>
        </w:p>
        <w:p w14:paraId="17EB9AC9"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8" w:history="1">
            <w:r w:rsidR="00053683" w:rsidRPr="007E47D4">
              <w:rPr>
                <w:rStyle w:val="Hyperlnk"/>
                <w:noProof/>
              </w:rPr>
              <w:t>8.</w:t>
            </w:r>
            <w:r w:rsidR="00053683">
              <w:rPr>
                <w:rFonts w:asciiTheme="minorHAnsi" w:eastAsiaTheme="minorEastAsia" w:hAnsiTheme="minorHAnsi" w:cstheme="minorBidi"/>
                <w:noProof/>
                <w:lang w:eastAsia="sv-SE"/>
              </w:rPr>
              <w:tab/>
            </w:r>
            <w:r w:rsidR="00053683" w:rsidRPr="007E47D4">
              <w:rPr>
                <w:rStyle w:val="Hyperlnk"/>
                <w:noProof/>
              </w:rPr>
              <w:t>Gestion de la crise des réfugiés : mesures budgétaires immédiats au titre de l'agenda européen en matière de migration –Projet de budget rectificatif n° 7 au budget général pour 2015</w:t>
            </w:r>
            <w:r w:rsidR="00053683">
              <w:rPr>
                <w:noProof/>
                <w:webHidden/>
              </w:rPr>
              <w:tab/>
            </w:r>
            <w:r w:rsidR="00053683">
              <w:rPr>
                <w:noProof/>
                <w:webHidden/>
              </w:rPr>
              <w:fldChar w:fldCharType="begin"/>
            </w:r>
            <w:r w:rsidR="00053683">
              <w:rPr>
                <w:noProof/>
                <w:webHidden/>
              </w:rPr>
              <w:instrText xml:space="preserve"> PAGEREF _Toc431973498 \h </w:instrText>
            </w:r>
            <w:r w:rsidR="00053683">
              <w:rPr>
                <w:noProof/>
                <w:webHidden/>
              </w:rPr>
            </w:r>
            <w:r w:rsidR="00053683">
              <w:rPr>
                <w:noProof/>
                <w:webHidden/>
              </w:rPr>
              <w:fldChar w:fldCharType="separate"/>
            </w:r>
            <w:r w:rsidR="00053683">
              <w:rPr>
                <w:noProof/>
                <w:webHidden/>
              </w:rPr>
              <w:t>7</w:t>
            </w:r>
            <w:r w:rsidR="00053683">
              <w:rPr>
                <w:noProof/>
                <w:webHidden/>
              </w:rPr>
              <w:fldChar w:fldCharType="end"/>
            </w:r>
          </w:hyperlink>
        </w:p>
        <w:p w14:paraId="449DBF1A" w14:textId="77777777" w:rsidR="00053683" w:rsidRDefault="00FC64E8">
          <w:pPr>
            <w:pStyle w:val="Innehll1"/>
            <w:tabs>
              <w:tab w:val="left" w:pos="440"/>
              <w:tab w:val="right" w:leader="dot" w:pos="9062"/>
            </w:tabs>
            <w:rPr>
              <w:rFonts w:asciiTheme="minorHAnsi" w:eastAsiaTheme="minorEastAsia" w:hAnsiTheme="minorHAnsi" w:cstheme="minorBidi"/>
              <w:noProof/>
              <w:lang w:eastAsia="sv-SE"/>
            </w:rPr>
          </w:pPr>
          <w:hyperlink w:anchor="_Toc431973499" w:history="1">
            <w:r w:rsidR="00053683" w:rsidRPr="007E47D4">
              <w:rPr>
                <w:rStyle w:val="Hyperlnk"/>
                <w:noProof/>
              </w:rPr>
              <w:t>9.</w:t>
            </w:r>
            <w:r w:rsidR="00053683">
              <w:rPr>
                <w:rFonts w:asciiTheme="minorHAnsi" w:eastAsiaTheme="minorEastAsia" w:hAnsiTheme="minorHAnsi" w:cstheme="minorBidi"/>
                <w:noProof/>
                <w:lang w:eastAsia="sv-SE"/>
              </w:rPr>
              <w:tab/>
            </w:r>
            <w:r w:rsidR="00053683" w:rsidRPr="007E47D4">
              <w:rPr>
                <w:rStyle w:val="Hyperlnk"/>
                <w:noProof/>
              </w:rPr>
              <w:t>Gestion de la crise des réfugiés : mesures budgétaires immédiats au titre de l'agenda européen en matière de migration –Proposition de décision du Parlement européen et du Conseil relative à la mobilisation de l'instrument de flexibilité</w:t>
            </w:r>
            <w:r w:rsidR="00053683">
              <w:rPr>
                <w:noProof/>
                <w:webHidden/>
              </w:rPr>
              <w:tab/>
            </w:r>
            <w:r w:rsidR="00053683">
              <w:rPr>
                <w:noProof/>
                <w:webHidden/>
              </w:rPr>
              <w:fldChar w:fldCharType="begin"/>
            </w:r>
            <w:r w:rsidR="00053683">
              <w:rPr>
                <w:noProof/>
                <w:webHidden/>
              </w:rPr>
              <w:instrText xml:space="preserve"> PAGEREF _Toc431973499 \h </w:instrText>
            </w:r>
            <w:r w:rsidR="00053683">
              <w:rPr>
                <w:noProof/>
                <w:webHidden/>
              </w:rPr>
            </w:r>
            <w:r w:rsidR="00053683">
              <w:rPr>
                <w:noProof/>
                <w:webHidden/>
              </w:rPr>
              <w:fldChar w:fldCharType="separate"/>
            </w:r>
            <w:r w:rsidR="00053683">
              <w:rPr>
                <w:noProof/>
                <w:webHidden/>
              </w:rPr>
              <w:t>8</w:t>
            </w:r>
            <w:r w:rsidR="00053683">
              <w:rPr>
                <w:noProof/>
                <w:webHidden/>
              </w:rPr>
              <w:fldChar w:fldCharType="end"/>
            </w:r>
          </w:hyperlink>
        </w:p>
        <w:p w14:paraId="72B9171E"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0" w:history="1">
            <w:r w:rsidR="00053683" w:rsidRPr="007E47D4">
              <w:rPr>
                <w:rStyle w:val="Hyperlnk"/>
                <w:noProof/>
              </w:rPr>
              <w:t>10.</w:t>
            </w:r>
            <w:r w:rsidR="00053683">
              <w:rPr>
                <w:rFonts w:asciiTheme="minorHAnsi" w:eastAsiaTheme="minorEastAsia" w:hAnsiTheme="minorHAnsi" w:cstheme="minorBidi"/>
                <w:noProof/>
                <w:lang w:eastAsia="sv-SE"/>
              </w:rPr>
              <w:tab/>
            </w:r>
            <w:r w:rsidR="00053683" w:rsidRPr="007E47D4">
              <w:rPr>
                <w:rStyle w:val="Hyperlnk"/>
                <w:noProof/>
              </w:rPr>
              <w:t>Gestion de la crise des réfugiés : mesures budgétaires immédiats au titre de l'agenda européen en matière de migration –Proposition de virement de crédits n° DEC 32/2015 à l'intérieur de la section III - Commission - du budget général pour l'exercice 2015</w:t>
            </w:r>
            <w:r w:rsidR="00053683">
              <w:rPr>
                <w:noProof/>
                <w:webHidden/>
              </w:rPr>
              <w:tab/>
            </w:r>
            <w:r w:rsidR="00053683">
              <w:rPr>
                <w:noProof/>
                <w:webHidden/>
              </w:rPr>
              <w:fldChar w:fldCharType="begin"/>
            </w:r>
            <w:r w:rsidR="00053683">
              <w:rPr>
                <w:noProof/>
                <w:webHidden/>
              </w:rPr>
              <w:instrText xml:space="preserve"> PAGEREF _Toc431973500 \h </w:instrText>
            </w:r>
            <w:r w:rsidR="00053683">
              <w:rPr>
                <w:noProof/>
                <w:webHidden/>
              </w:rPr>
            </w:r>
            <w:r w:rsidR="00053683">
              <w:rPr>
                <w:noProof/>
                <w:webHidden/>
              </w:rPr>
              <w:fldChar w:fldCharType="separate"/>
            </w:r>
            <w:r w:rsidR="00053683">
              <w:rPr>
                <w:noProof/>
                <w:webHidden/>
              </w:rPr>
              <w:t>9</w:t>
            </w:r>
            <w:r w:rsidR="00053683">
              <w:rPr>
                <w:noProof/>
                <w:webHidden/>
              </w:rPr>
              <w:fldChar w:fldCharType="end"/>
            </w:r>
          </w:hyperlink>
        </w:p>
        <w:p w14:paraId="41B8CF76"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1" w:history="1">
            <w:r w:rsidR="00053683" w:rsidRPr="007E47D4">
              <w:rPr>
                <w:rStyle w:val="Hyperlnk"/>
                <w:noProof/>
              </w:rPr>
              <w:t>11.</w:t>
            </w:r>
            <w:r w:rsidR="00053683">
              <w:rPr>
                <w:rFonts w:asciiTheme="minorHAnsi" w:eastAsiaTheme="minorEastAsia" w:hAnsiTheme="minorHAnsi" w:cstheme="minorBidi"/>
                <w:noProof/>
                <w:lang w:eastAsia="sv-SE"/>
              </w:rPr>
              <w:tab/>
            </w:r>
            <w:r w:rsidR="00053683" w:rsidRPr="007E47D4">
              <w:rPr>
                <w:rStyle w:val="Hyperlnk"/>
                <w:noProof/>
              </w:rPr>
              <w:t>Relevés mensuels des actes adoptés par le Conseil par procédure écrite –juin 2015</w:t>
            </w:r>
            <w:r w:rsidR="00053683">
              <w:rPr>
                <w:noProof/>
                <w:webHidden/>
              </w:rPr>
              <w:tab/>
            </w:r>
            <w:r w:rsidR="00053683">
              <w:rPr>
                <w:noProof/>
                <w:webHidden/>
              </w:rPr>
              <w:fldChar w:fldCharType="begin"/>
            </w:r>
            <w:r w:rsidR="00053683">
              <w:rPr>
                <w:noProof/>
                <w:webHidden/>
              </w:rPr>
              <w:instrText xml:space="preserve"> PAGEREF _Toc431973501 \h </w:instrText>
            </w:r>
            <w:r w:rsidR="00053683">
              <w:rPr>
                <w:noProof/>
                <w:webHidden/>
              </w:rPr>
            </w:r>
            <w:r w:rsidR="00053683">
              <w:rPr>
                <w:noProof/>
                <w:webHidden/>
              </w:rPr>
              <w:fldChar w:fldCharType="separate"/>
            </w:r>
            <w:r w:rsidR="00053683">
              <w:rPr>
                <w:noProof/>
                <w:webHidden/>
              </w:rPr>
              <w:t>9</w:t>
            </w:r>
            <w:r w:rsidR="00053683">
              <w:rPr>
                <w:noProof/>
                <w:webHidden/>
              </w:rPr>
              <w:fldChar w:fldCharType="end"/>
            </w:r>
          </w:hyperlink>
        </w:p>
        <w:p w14:paraId="69FBBB8E"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2" w:history="1">
            <w:r w:rsidR="00053683" w:rsidRPr="007E47D4">
              <w:rPr>
                <w:rStyle w:val="Hyperlnk"/>
                <w:noProof/>
              </w:rPr>
              <w:t>12.</w:t>
            </w:r>
            <w:r w:rsidR="00053683">
              <w:rPr>
                <w:rFonts w:asciiTheme="minorHAnsi" w:eastAsiaTheme="minorEastAsia" w:hAnsiTheme="minorHAnsi" w:cstheme="minorBidi"/>
                <w:noProof/>
                <w:lang w:eastAsia="sv-SE"/>
              </w:rPr>
              <w:tab/>
            </w:r>
            <w:r w:rsidR="00053683" w:rsidRPr="007E47D4">
              <w:rPr>
                <w:rStyle w:val="Hyperlnk"/>
                <w:noProof/>
              </w:rPr>
              <w:t>Relevés mensuels des actes adoptés par le Conseil par procédure écrite –juillet 2015</w:t>
            </w:r>
            <w:r w:rsidR="00053683">
              <w:rPr>
                <w:noProof/>
                <w:webHidden/>
              </w:rPr>
              <w:tab/>
            </w:r>
            <w:r w:rsidR="00053683">
              <w:rPr>
                <w:noProof/>
                <w:webHidden/>
              </w:rPr>
              <w:fldChar w:fldCharType="begin"/>
            </w:r>
            <w:r w:rsidR="00053683">
              <w:rPr>
                <w:noProof/>
                <w:webHidden/>
              </w:rPr>
              <w:instrText xml:space="preserve"> PAGEREF _Toc431973502 \h </w:instrText>
            </w:r>
            <w:r w:rsidR="00053683">
              <w:rPr>
                <w:noProof/>
                <w:webHidden/>
              </w:rPr>
            </w:r>
            <w:r w:rsidR="00053683">
              <w:rPr>
                <w:noProof/>
                <w:webHidden/>
              </w:rPr>
              <w:fldChar w:fldCharType="separate"/>
            </w:r>
            <w:r w:rsidR="00053683">
              <w:rPr>
                <w:noProof/>
                <w:webHidden/>
              </w:rPr>
              <w:t>9</w:t>
            </w:r>
            <w:r w:rsidR="00053683">
              <w:rPr>
                <w:noProof/>
                <w:webHidden/>
              </w:rPr>
              <w:fldChar w:fldCharType="end"/>
            </w:r>
          </w:hyperlink>
        </w:p>
        <w:p w14:paraId="795720AE"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3" w:history="1">
            <w:r w:rsidR="00053683" w:rsidRPr="007E47D4">
              <w:rPr>
                <w:rStyle w:val="Hyperlnk"/>
                <w:noProof/>
              </w:rPr>
              <w:t>13.</w:t>
            </w:r>
            <w:r w:rsidR="00053683">
              <w:rPr>
                <w:rFonts w:asciiTheme="minorHAnsi" w:eastAsiaTheme="minorEastAsia" w:hAnsiTheme="minorHAnsi" w:cstheme="minorBidi"/>
                <w:noProof/>
                <w:lang w:eastAsia="sv-SE"/>
              </w:rPr>
              <w:tab/>
            </w:r>
            <w:r w:rsidR="00053683" w:rsidRPr="007E47D4">
              <w:rPr>
                <w:rStyle w:val="Hyperlnk"/>
                <w:noProof/>
              </w:rPr>
              <w:t>Relevés mensuels des actes adoptés par le Conseil par procédure écrite –août 2015</w:t>
            </w:r>
            <w:r w:rsidR="00053683">
              <w:rPr>
                <w:noProof/>
                <w:webHidden/>
              </w:rPr>
              <w:tab/>
            </w:r>
            <w:r w:rsidR="00053683">
              <w:rPr>
                <w:noProof/>
                <w:webHidden/>
              </w:rPr>
              <w:fldChar w:fldCharType="begin"/>
            </w:r>
            <w:r w:rsidR="00053683">
              <w:rPr>
                <w:noProof/>
                <w:webHidden/>
              </w:rPr>
              <w:instrText xml:space="preserve"> PAGEREF _Toc431973503 \h </w:instrText>
            </w:r>
            <w:r w:rsidR="00053683">
              <w:rPr>
                <w:noProof/>
                <w:webHidden/>
              </w:rPr>
            </w:r>
            <w:r w:rsidR="00053683">
              <w:rPr>
                <w:noProof/>
                <w:webHidden/>
              </w:rPr>
              <w:fldChar w:fldCharType="separate"/>
            </w:r>
            <w:r w:rsidR="00053683">
              <w:rPr>
                <w:noProof/>
                <w:webHidden/>
              </w:rPr>
              <w:t>10</w:t>
            </w:r>
            <w:r w:rsidR="00053683">
              <w:rPr>
                <w:noProof/>
                <w:webHidden/>
              </w:rPr>
              <w:fldChar w:fldCharType="end"/>
            </w:r>
          </w:hyperlink>
        </w:p>
        <w:p w14:paraId="1E8DBB35"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4" w:history="1">
            <w:r w:rsidR="00053683" w:rsidRPr="007E47D4">
              <w:rPr>
                <w:rStyle w:val="Hyperlnk"/>
                <w:noProof/>
              </w:rPr>
              <w:t>14.</w:t>
            </w:r>
            <w:r w:rsidR="00053683">
              <w:rPr>
                <w:rFonts w:asciiTheme="minorHAnsi" w:eastAsiaTheme="minorEastAsia" w:hAnsiTheme="minorHAnsi" w:cstheme="minorBidi"/>
                <w:noProof/>
                <w:lang w:eastAsia="sv-SE"/>
              </w:rPr>
              <w:tab/>
            </w:r>
            <w:r w:rsidR="00053683" w:rsidRPr="007E47D4">
              <w:rPr>
                <w:rStyle w:val="Hyperlnk"/>
                <w:noProof/>
              </w:rPr>
              <w:t>Projet de décision du Conseil portant nomination de deux membres espagnols et de trois suppléants espagnols du Comité des régions</w:t>
            </w:r>
            <w:r w:rsidR="00053683">
              <w:rPr>
                <w:noProof/>
                <w:webHidden/>
              </w:rPr>
              <w:tab/>
            </w:r>
            <w:r w:rsidR="00053683">
              <w:rPr>
                <w:noProof/>
                <w:webHidden/>
              </w:rPr>
              <w:fldChar w:fldCharType="begin"/>
            </w:r>
            <w:r w:rsidR="00053683">
              <w:rPr>
                <w:noProof/>
                <w:webHidden/>
              </w:rPr>
              <w:instrText xml:space="preserve"> PAGEREF _Toc431973504 \h </w:instrText>
            </w:r>
            <w:r w:rsidR="00053683">
              <w:rPr>
                <w:noProof/>
                <w:webHidden/>
              </w:rPr>
            </w:r>
            <w:r w:rsidR="00053683">
              <w:rPr>
                <w:noProof/>
                <w:webHidden/>
              </w:rPr>
              <w:fldChar w:fldCharType="separate"/>
            </w:r>
            <w:r w:rsidR="00053683">
              <w:rPr>
                <w:noProof/>
                <w:webHidden/>
              </w:rPr>
              <w:t>10</w:t>
            </w:r>
            <w:r w:rsidR="00053683">
              <w:rPr>
                <w:noProof/>
                <w:webHidden/>
              </w:rPr>
              <w:fldChar w:fldCharType="end"/>
            </w:r>
          </w:hyperlink>
        </w:p>
        <w:p w14:paraId="3E53ADCE"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5" w:history="1">
            <w:r w:rsidR="00053683" w:rsidRPr="007E47D4">
              <w:rPr>
                <w:rStyle w:val="Hyperlnk"/>
                <w:noProof/>
              </w:rPr>
              <w:t>15.</w:t>
            </w:r>
            <w:r w:rsidR="00053683">
              <w:rPr>
                <w:rFonts w:asciiTheme="minorHAnsi" w:eastAsiaTheme="minorEastAsia" w:hAnsiTheme="minorHAnsi" w:cstheme="minorBidi"/>
                <w:noProof/>
                <w:lang w:eastAsia="sv-SE"/>
              </w:rPr>
              <w:tab/>
            </w:r>
            <w:r w:rsidR="00053683" w:rsidRPr="007E47D4">
              <w:rPr>
                <w:rStyle w:val="Hyperlnk"/>
                <w:noProof/>
              </w:rPr>
              <w:t>Recommandation au Conseil concernant l'utilisation de dispositifs cryptographiques destinés à protéger les liaisons électroniques dans le contexte du projet GALILEO</w:t>
            </w:r>
            <w:r w:rsidR="00053683">
              <w:rPr>
                <w:noProof/>
                <w:webHidden/>
              </w:rPr>
              <w:tab/>
            </w:r>
            <w:r w:rsidR="00053683">
              <w:rPr>
                <w:noProof/>
                <w:webHidden/>
              </w:rPr>
              <w:fldChar w:fldCharType="begin"/>
            </w:r>
            <w:r w:rsidR="00053683">
              <w:rPr>
                <w:noProof/>
                <w:webHidden/>
              </w:rPr>
              <w:instrText xml:space="preserve"> PAGEREF _Toc431973505 \h </w:instrText>
            </w:r>
            <w:r w:rsidR="00053683">
              <w:rPr>
                <w:noProof/>
                <w:webHidden/>
              </w:rPr>
            </w:r>
            <w:r w:rsidR="00053683">
              <w:rPr>
                <w:noProof/>
                <w:webHidden/>
              </w:rPr>
              <w:fldChar w:fldCharType="separate"/>
            </w:r>
            <w:r w:rsidR="00053683">
              <w:rPr>
                <w:noProof/>
                <w:webHidden/>
              </w:rPr>
              <w:t>10</w:t>
            </w:r>
            <w:r w:rsidR="00053683">
              <w:rPr>
                <w:noProof/>
                <w:webHidden/>
              </w:rPr>
              <w:fldChar w:fldCharType="end"/>
            </w:r>
          </w:hyperlink>
        </w:p>
        <w:p w14:paraId="2B3F919A"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6" w:history="1">
            <w:r w:rsidR="00053683" w:rsidRPr="007E47D4">
              <w:rPr>
                <w:rStyle w:val="Hyperlnk"/>
                <w:noProof/>
              </w:rPr>
              <w:t>16.</w:t>
            </w:r>
            <w:r w:rsidR="00053683">
              <w:rPr>
                <w:rFonts w:asciiTheme="minorHAnsi" w:eastAsiaTheme="minorEastAsia" w:hAnsiTheme="minorHAnsi" w:cstheme="minorBidi"/>
                <w:noProof/>
                <w:lang w:eastAsia="sv-SE"/>
              </w:rPr>
              <w:tab/>
            </w:r>
            <w:r w:rsidR="00053683" w:rsidRPr="007E47D4">
              <w:rPr>
                <w:rStyle w:val="Hyperlnk"/>
                <w:noProof/>
              </w:rPr>
              <w:t xml:space="preserve">Projet de décision du Conseil établissant la position à prendre au nom de l'Union européenne au sein du Conseil des aspects des droits de propriété intellectuelle qui touchent au commerce et du Conseil général de l'Organisation mondiale du commerce au sujet de la demande des pays les moins avancés membres relative à une prorogation de la période de transition prévue à l'article 66, paragraphe 1, de l'accord sur les aspects des droits de propriété intellectuelle qui touchent au </w:t>
            </w:r>
            <w:r w:rsidR="00053683" w:rsidRPr="007E47D4">
              <w:rPr>
                <w:rStyle w:val="Hyperlnk"/>
                <w:noProof/>
              </w:rPr>
              <w:lastRenderedPageBreak/>
              <w:t>commerce pour certaines obligations en ce qui concerne les produits pharmaceutiques, et à une dérogation aux obligations énoncées à l'article 70, paragraphes 8 et 9, dudit accord</w:t>
            </w:r>
            <w:r w:rsidR="00053683">
              <w:rPr>
                <w:noProof/>
                <w:webHidden/>
              </w:rPr>
              <w:tab/>
            </w:r>
            <w:r w:rsidR="00053683">
              <w:rPr>
                <w:noProof/>
                <w:webHidden/>
              </w:rPr>
              <w:fldChar w:fldCharType="begin"/>
            </w:r>
            <w:r w:rsidR="00053683">
              <w:rPr>
                <w:noProof/>
                <w:webHidden/>
              </w:rPr>
              <w:instrText xml:space="preserve"> PAGEREF _Toc431973506 \h </w:instrText>
            </w:r>
            <w:r w:rsidR="00053683">
              <w:rPr>
                <w:noProof/>
                <w:webHidden/>
              </w:rPr>
            </w:r>
            <w:r w:rsidR="00053683">
              <w:rPr>
                <w:noProof/>
                <w:webHidden/>
              </w:rPr>
              <w:fldChar w:fldCharType="separate"/>
            </w:r>
            <w:r w:rsidR="00053683">
              <w:rPr>
                <w:noProof/>
                <w:webHidden/>
              </w:rPr>
              <w:t>11</w:t>
            </w:r>
            <w:r w:rsidR="00053683">
              <w:rPr>
                <w:noProof/>
                <w:webHidden/>
              </w:rPr>
              <w:fldChar w:fldCharType="end"/>
            </w:r>
          </w:hyperlink>
        </w:p>
        <w:p w14:paraId="40C18BA6"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7" w:history="1">
            <w:r w:rsidR="00053683" w:rsidRPr="007E47D4">
              <w:rPr>
                <w:rStyle w:val="Hyperlnk"/>
                <w:noProof/>
              </w:rPr>
              <w:t>17.</w:t>
            </w:r>
            <w:r w:rsidR="00053683">
              <w:rPr>
                <w:rFonts w:asciiTheme="minorHAnsi" w:eastAsiaTheme="minorEastAsia" w:hAnsiTheme="minorHAnsi" w:cstheme="minorBidi"/>
                <w:noProof/>
                <w:lang w:eastAsia="sv-SE"/>
              </w:rPr>
              <w:tab/>
            </w:r>
            <w:r w:rsidR="00053683" w:rsidRPr="007E47D4">
              <w:rPr>
                <w:rStyle w:val="Hyperlnk"/>
                <w:noProof/>
              </w:rPr>
              <w:t>Relations avec le Kazakhstan</w:t>
            </w:r>
            <w:r w:rsidR="00053683">
              <w:rPr>
                <w:noProof/>
                <w:webHidden/>
              </w:rPr>
              <w:tab/>
            </w:r>
            <w:r w:rsidR="00053683">
              <w:rPr>
                <w:noProof/>
                <w:webHidden/>
              </w:rPr>
              <w:fldChar w:fldCharType="begin"/>
            </w:r>
            <w:r w:rsidR="00053683">
              <w:rPr>
                <w:noProof/>
                <w:webHidden/>
              </w:rPr>
              <w:instrText xml:space="preserve"> PAGEREF _Toc431973507 \h </w:instrText>
            </w:r>
            <w:r w:rsidR="00053683">
              <w:rPr>
                <w:noProof/>
                <w:webHidden/>
              </w:rPr>
            </w:r>
            <w:r w:rsidR="00053683">
              <w:rPr>
                <w:noProof/>
                <w:webHidden/>
              </w:rPr>
              <w:fldChar w:fldCharType="separate"/>
            </w:r>
            <w:r w:rsidR="00053683">
              <w:rPr>
                <w:noProof/>
                <w:webHidden/>
              </w:rPr>
              <w:t>12</w:t>
            </w:r>
            <w:r w:rsidR="00053683">
              <w:rPr>
                <w:noProof/>
                <w:webHidden/>
              </w:rPr>
              <w:fldChar w:fldCharType="end"/>
            </w:r>
          </w:hyperlink>
        </w:p>
        <w:p w14:paraId="5C173CD0"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8" w:history="1">
            <w:r w:rsidR="00053683" w:rsidRPr="007E47D4">
              <w:rPr>
                <w:rStyle w:val="Hyperlnk"/>
                <w:noProof/>
              </w:rPr>
              <w:t>18.</w:t>
            </w:r>
            <w:r w:rsidR="00053683">
              <w:rPr>
                <w:rFonts w:asciiTheme="minorHAnsi" w:eastAsiaTheme="minorEastAsia" w:hAnsiTheme="minorHAnsi" w:cstheme="minorBidi"/>
                <w:noProof/>
                <w:lang w:eastAsia="sv-SE"/>
              </w:rPr>
              <w:tab/>
            </w:r>
            <w:r w:rsidR="00053683" w:rsidRPr="007E47D4">
              <w:rPr>
                <w:rStyle w:val="Hyperlnk"/>
                <w:noProof/>
              </w:rPr>
              <w:t>Adoption d'une Décision du Conseil établissant la position à prendre au nom de l'Union européenne au sein du comité mixte institué par l'accord entre l'Union européenne et la République d'Arménie visant à faciliter la délivrance de visas, concernant l'adoption de son règlement intérieur</w:t>
            </w:r>
            <w:r w:rsidR="00053683">
              <w:rPr>
                <w:noProof/>
                <w:webHidden/>
              </w:rPr>
              <w:tab/>
            </w:r>
            <w:r w:rsidR="00053683">
              <w:rPr>
                <w:noProof/>
                <w:webHidden/>
              </w:rPr>
              <w:fldChar w:fldCharType="begin"/>
            </w:r>
            <w:r w:rsidR="00053683">
              <w:rPr>
                <w:noProof/>
                <w:webHidden/>
              </w:rPr>
              <w:instrText xml:space="preserve"> PAGEREF _Toc431973508 \h </w:instrText>
            </w:r>
            <w:r w:rsidR="00053683">
              <w:rPr>
                <w:noProof/>
                <w:webHidden/>
              </w:rPr>
            </w:r>
            <w:r w:rsidR="00053683">
              <w:rPr>
                <w:noProof/>
                <w:webHidden/>
              </w:rPr>
              <w:fldChar w:fldCharType="separate"/>
            </w:r>
            <w:r w:rsidR="00053683">
              <w:rPr>
                <w:noProof/>
                <w:webHidden/>
              </w:rPr>
              <w:t>12</w:t>
            </w:r>
            <w:r w:rsidR="00053683">
              <w:rPr>
                <w:noProof/>
                <w:webHidden/>
              </w:rPr>
              <w:fldChar w:fldCharType="end"/>
            </w:r>
          </w:hyperlink>
        </w:p>
        <w:p w14:paraId="0284EBC8"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09" w:history="1">
            <w:r w:rsidR="00053683" w:rsidRPr="007E47D4">
              <w:rPr>
                <w:rStyle w:val="Hyperlnk"/>
                <w:noProof/>
              </w:rPr>
              <w:t>19.</w:t>
            </w:r>
            <w:r w:rsidR="00053683">
              <w:rPr>
                <w:rFonts w:asciiTheme="minorHAnsi" w:eastAsiaTheme="minorEastAsia" w:hAnsiTheme="minorHAnsi" w:cstheme="minorBidi"/>
                <w:noProof/>
                <w:lang w:eastAsia="sv-SE"/>
              </w:rPr>
              <w:tab/>
            </w:r>
            <w:r w:rsidR="00053683" w:rsidRPr="007E47D4">
              <w:rPr>
                <w:rStyle w:val="Hyperlnk"/>
                <w:noProof/>
              </w:rPr>
              <w:t>Coordination stratégique des travaux des instances préparatoires du Conseil en matière de migration</w:t>
            </w:r>
            <w:r w:rsidR="00053683">
              <w:rPr>
                <w:noProof/>
                <w:webHidden/>
              </w:rPr>
              <w:tab/>
            </w:r>
            <w:r w:rsidR="00053683">
              <w:rPr>
                <w:noProof/>
                <w:webHidden/>
              </w:rPr>
              <w:fldChar w:fldCharType="begin"/>
            </w:r>
            <w:r w:rsidR="00053683">
              <w:rPr>
                <w:noProof/>
                <w:webHidden/>
              </w:rPr>
              <w:instrText xml:space="preserve"> PAGEREF _Toc431973509 \h </w:instrText>
            </w:r>
            <w:r w:rsidR="00053683">
              <w:rPr>
                <w:noProof/>
                <w:webHidden/>
              </w:rPr>
            </w:r>
            <w:r w:rsidR="00053683">
              <w:rPr>
                <w:noProof/>
                <w:webHidden/>
              </w:rPr>
              <w:fldChar w:fldCharType="separate"/>
            </w:r>
            <w:r w:rsidR="00053683">
              <w:rPr>
                <w:noProof/>
                <w:webHidden/>
              </w:rPr>
              <w:t>13</w:t>
            </w:r>
            <w:r w:rsidR="00053683">
              <w:rPr>
                <w:noProof/>
                <w:webHidden/>
              </w:rPr>
              <w:fldChar w:fldCharType="end"/>
            </w:r>
          </w:hyperlink>
        </w:p>
        <w:p w14:paraId="40560091"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0" w:history="1">
            <w:r w:rsidR="00053683" w:rsidRPr="007E47D4">
              <w:rPr>
                <w:rStyle w:val="Hyperlnk"/>
                <w:noProof/>
              </w:rPr>
              <w:t>20.</w:t>
            </w:r>
            <w:r w:rsidR="00053683">
              <w:rPr>
                <w:rFonts w:asciiTheme="minorHAnsi" w:eastAsiaTheme="minorEastAsia" w:hAnsiTheme="minorHAnsi" w:cstheme="minorBidi"/>
                <w:noProof/>
                <w:lang w:eastAsia="sv-SE"/>
              </w:rPr>
              <w:tab/>
            </w:r>
            <w:r w:rsidR="00053683" w:rsidRPr="007E47D4">
              <w:rPr>
                <w:rStyle w:val="Hyperlnk"/>
                <w:noProof/>
              </w:rPr>
              <w:t>Proposition de décision du Conseil soumettant le 5-(2-aminopropyl)indole à des mesures de contrôle</w:t>
            </w:r>
            <w:r w:rsidR="00053683">
              <w:rPr>
                <w:noProof/>
                <w:webHidden/>
              </w:rPr>
              <w:tab/>
            </w:r>
            <w:r w:rsidR="00053683">
              <w:rPr>
                <w:noProof/>
                <w:webHidden/>
              </w:rPr>
              <w:fldChar w:fldCharType="begin"/>
            </w:r>
            <w:r w:rsidR="00053683">
              <w:rPr>
                <w:noProof/>
                <w:webHidden/>
              </w:rPr>
              <w:instrText xml:space="preserve"> PAGEREF _Toc431973510 \h </w:instrText>
            </w:r>
            <w:r w:rsidR="00053683">
              <w:rPr>
                <w:noProof/>
                <w:webHidden/>
              </w:rPr>
            </w:r>
            <w:r w:rsidR="00053683">
              <w:rPr>
                <w:noProof/>
                <w:webHidden/>
              </w:rPr>
              <w:fldChar w:fldCharType="separate"/>
            </w:r>
            <w:r w:rsidR="00053683">
              <w:rPr>
                <w:noProof/>
                <w:webHidden/>
              </w:rPr>
              <w:t>13</w:t>
            </w:r>
            <w:r w:rsidR="00053683">
              <w:rPr>
                <w:noProof/>
                <w:webHidden/>
              </w:rPr>
              <w:fldChar w:fldCharType="end"/>
            </w:r>
          </w:hyperlink>
        </w:p>
        <w:p w14:paraId="3E609B43"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1" w:history="1">
            <w:r w:rsidR="00053683" w:rsidRPr="007E47D4">
              <w:rPr>
                <w:rStyle w:val="Hyperlnk"/>
                <w:noProof/>
              </w:rPr>
              <w:t>21.</w:t>
            </w:r>
            <w:r w:rsidR="00053683">
              <w:rPr>
                <w:rFonts w:asciiTheme="minorHAnsi" w:eastAsiaTheme="minorEastAsia" w:hAnsiTheme="minorHAnsi" w:cstheme="minorBidi"/>
                <w:noProof/>
                <w:lang w:eastAsia="sv-SE"/>
              </w:rPr>
              <w:tab/>
            </w:r>
            <w:r w:rsidR="00053683" w:rsidRPr="007E47D4">
              <w:rPr>
                <w:rStyle w:val="Hyperlnk"/>
                <w:noProof/>
              </w:rPr>
              <w:t>Proposition de décision du Conseil soumettant le 4-iodo-2,5-diméthoxy-N-(2-méthoxybenzyl)phénéthylamine (25I-NBOMe), le 3,4-dichloro-N-[[1-(diméthylamino)cyclohéxyl]méthyl]benzamide (AH-7921), la 3,4-méthylènedioxypyrovalérone (MDPV) et la 2-(3-méthoxyphényl)-2-(éthylamino)cyclohéxanone (méthoxétamine) à des mesures de contrôle</w:t>
            </w:r>
            <w:r w:rsidR="00053683">
              <w:rPr>
                <w:noProof/>
                <w:webHidden/>
              </w:rPr>
              <w:tab/>
            </w:r>
            <w:r w:rsidR="00053683">
              <w:rPr>
                <w:noProof/>
                <w:webHidden/>
              </w:rPr>
              <w:fldChar w:fldCharType="begin"/>
            </w:r>
            <w:r w:rsidR="00053683">
              <w:rPr>
                <w:noProof/>
                <w:webHidden/>
              </w:rPr>
              <w:instrText xml:space="preserve"> PAGEREF _Toc431973511 \h </w:instrText>
            </w:r>
            <w:r w:rsidR="00053683">
              <w:rPr>
                <w:noProof/>
                <w:webHidden/>
              </w:rPr>
            </w:r>
            <w:r w:rsidR="00053683">
              <w:rPr>
                <w:noProof/>
                <w:webHidden/>
              </w:rPr>
              <w:fldChar w:fldCharType="separate"/>
            </w:r>
            <w:r w:rsidR="00053683">
              <w:rPr>
                <w:noProof/>
                <w:webHidden/>
              </w:rPr>
              <w:t>14</w:t>
            </w:r>
            <w:r w:rsidR="00053683">
              <w:rPr>
                <w:noProof/>
                <w:webHidden/>
              </w:rPr>
              <w:fldChar w:fldCharType="end"/>
            </w:r>
          </w:hyperlink>
        </w:p>
        <w:p w14:paraId="1B3128FE"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2" w:history="1">
            <w:r w:rsidR="00053683" w:rsidRPr="007E47D4">
              <w:rPr>
                <w:rStyle w:val="Hyperlnk"/>
                <w:noProof/>
              </w:rPr>
              <w:t>22.</w:t>
            </w:r>
            <w:r w:rsidR="00053683">
              <w:rPr>
                <w:rFonts w:asciiTheme="minorHAnsi" w:eastAsiaTheme="minorEastAsia" w:hAnsiTheme="minorHAnsi" w:cstheme="minorBidi"/>
                <w:noProof/>
                <w:lang w:eastAsia="sv-SE"/>
              </w:rPr>
              <w:tab/>
            </w:r>
            <w:r w:rsidR="00053683" w:rsidRPr="007E47D4">
              <w:rPr>
                <w:rStyle w:val="Hyperlnk"/>
                <w:noProof/>
              </w:rPr>
              <w:t>Proposition de décision du Conseil soumettant le 4-methyl-5-(4-methylphenyl)-4,5-dihydrooxazol-2-amine (4,4'-DMAR) et 1 cyclohexyl-4-(1,2-diphenylethyl)piperazine (MT-45) à des mesures de contrôle</w:t>
            </w:r>
            <w:r w:rsidR="00053683">
              <w:rPr>
                <w:noProof/>
                <w:webHidden/>
              </w:rPr>
              <w:tab/>
            </w:r>
            <w:r w:rsidR="00053683">
              <w:rPr>
                <w:noProof/>
                <w:webHidden/>
              </w:rPr>
              <w:fldChar w:fldCharType="begin"/>
            </w:r>
            <w:r w:rsidR="00053683">
              <w:rPr>
                <w:noProof/>
                <w:webHidden/>
              </w:rPr>
              <w:instrText xml:space="preserve"> PAGEREF _Toc431973512 \h </w:instrText>
            </w:r>
            <w:r w:rsidR="00053683">
              <w:rPr>
                <w:noProof/>
                <w:webHidden/>
              </w:rPr>
            </w:r>
            <w:r w:rsidR="00053683">
              <w:rPr>
                <w:noProof/>
                <w:webHidden/>
              </w:rPr>
              <w:fldChar w:fldCharType="separate"/>
            </w:r>
            <w:r w:rsidR="00053683">
              <w:rPr>
                <w:noProof/>
                <w:webHidden/>
              </w:rPr>
              <w:t>14</w:t>
            </w:r>
            <w:r w:rsidR="00053683">
              <w:rPr>
                <w:noProof/>
                <w:webHidden/>
              </w:rPr>
              <w:fldChar w:fldCharType="end"/>
            </w:r>
          </w:hyperlink>
        </w:p>
        <w:p w14:paraId="47FE4EF9"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3" w:history="1">
            <w:r w:rsidR="00053683" w:rsidRPr="007E47D4">
              <w:rPr>
                <w:rStyle w:val="Hyperlnk"/>
                <w:noProof/>
              </w:rPr>
              <w:t>23.</w:t>
            </w:r>
            <w:r w:rsidR="00053683">
              <w:rPr>
                <w:rFonts w:asciiTheme="minorHAnsi" w:eastAsiaTheme="minorEastAsia" w:hAnsiTheme="minorHAnsi" w:cstheme="minorBidi"/>
                <w:noProof/>
                <w:lang w:eastAsia="sv-SE"/>
              </w:rPr>
              <w:tab/>
            </w:r>
            <w:r w:rsidR="00053683" w:rsidRPr="007E47D4">
              <w:rPr>
                <w:rStyle w:val="Hyperlnk"/>
                <w:noProof/>
              </w:rPr>
              <w:t>Proposition de décision du Conseil soumettant le 4-methylamphetamine à des mesures de contrôle</w:t>
            </w:r>
            <w:r w:rsidR="00053683">
              <w:rPr>
                <w:noProof/>
                <w:webHidden/>
              </w:rPr>
              <w:tab/>
            </w:r>
            <w:r w:rsidR="00053683">
              <w:rPr>
                <w:noProof/>
                <w:webHidden/>
              </w:rPr>
              <w:fldChar w:fldCharType="begin"/>
            </w:r>
            <w:r w:rsidR="00053683">
              <w:rPr>
                <w:noProof/>
                <w:webHidden/>
              </w:rPr>
              <w:instrText xml:space="preserve"> PAGEREF _Toc431973513 \h </w:instrText>
            </w:r>
            <w:r w:rsidR="00053683">
              <w:rPr>
                <w:noProof/>
                <w:webHidden/>
              </w:rPr>
            </w:r>
            <w:r w:rsidR="00053683">
              <w:rPr>
                <w:noProof/>
                <w:webHidden/>
              </w:rPr>
              <w:fldChar w:fldCharType="separate"/>
            </w:r>
            <w:r w:rsidR="00053683">
              <w:rPr>
                <w:noProof/>
                <w:webHidden/>
              </w:rPr>
              <w:t>15</w:t>
            </w:r>
            <w:r w:rsidR="00053683">
              <w:rPr>
                <w:noProof/>
                <w:webHidden/>
              </w:rPr>
              <w:fldChar w:fldCharType="end"/>
            </w:r>
          </w:hyperlink>
        </w:p>
        <w:p w14:paraId="022870DD"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4" w:history="1">
            <w:r w:rsidR="00053683" w:rsidRPr="007E47D4">
              <w:rPr>
                <w:rStyle w:val="Hyperlnk"/>
                <w:noProof/>
              </w:rPr>
              <w:t>24.</w:t>
            </w:r>
            <w:r w:rsidR="00053683">
              <w:rPr>
                <w:rFonts w:asciiTheme="minorHAnsi" w:eastAsiaTheme="minorEastAsia" w:hAnsiTheme="minorHAnsi" w:cstheme="minorBidi"/>
                <w:noProof/>
                <w:lang w:eastAsia="sv-SE"/>
              </w:rPr>
              <w:tab/>
            </w:r>
            <w:r w:rsidR="00053683" w:rsidRPr="007E47D4">
              <w:rPr>
                <w:rStyle w:val="Hyperlnk"/>
                <w:noProof/>
              </w:rPr>
              <w:t>Projet de décision du Conseil relative à la position à adopter au nom de l'Union européenne au sein du comité d'association UE-Chili en ce qui concerne le remplacement de l'appendice II de l'annexe III de l'accord établissant une association entre la Communauté européenne et ses États membres, d'une part, et la République du Chili, d'autre part =Projet de décision du Conseil relative à la position à adopter au nom de l'Union européenne au sein du comité d'association UE-Chili concernant le remplacement de l'article 12 de l'annexe III de l'accord établissant une association entre la Communauté européenne et ses États membres, d'une part, et la République du Chili, d'autre part</w:t>
            </w:r>
            <w:r w:rsidR="00053683">
              <w:rPr>
                <w:noProof/>
                <w:webHidden/>
              </w:rPr>
              <w:tab/>
            </w:r>
            <w:r w:rsidR="00053683">
              <w:rPr>
                <w:noProof/>
                <w:webHidden/>
              </w:rPr>
              <w:fldChar w:fldCharType="begin"/>
            </w:r>
            <w:r w:rsidR="00053683">
              <w:rPr>
                <w:noProof/>
                <w:webHidden/>
              </w:rPr>
              <w:instrText xml:space="preserve"> PAGEREF _Toc431973514 \h </w:instrText>
            </w:r>
            <w:r w:rsidR="00053683">
              <w:rPr>
                <w:noProof/>
                <w:webHidden/>
              </w:rPr>
            </w:r>
            <w:r w:rsidR="00053683">
              <w:rPr>
                <w:noProof/>
                <w:webHidden/>
              </w:rPr>
              <w:fldChar w:fldCharType="separate"/>
            </w:r>
            <w:r w:rsidR="00053683">
              <w:rPr>
                <w:noProof/>
                <w:webHidden/>
              </w:rPr>
              <w:t>15</w:t>
            </w:r>
            <w:r w:rsidR="00053683">
              <w:rPr>
                <w:noProof/>
                <w:webHidden/>
              </w:rPr>
              <w:fldChar w:fldCharType="end"/>
            </w:r>
          </w:hyperlink>
        </w:p>
        <w:p w14:paraId="647E8FEC"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5" w:history="1">
            <w:r w:rsidR="00053683" w:rsidRPr="007E47D4">
              <w:rPr>
                <w:rStyle w:val="Hyperlnk"/>
                <w:noProof/>
              </w:rPr>
              <w:t>25.</w:t>
            </w:r>
            <w:r w:rsidR="00053683">
              <w:rPr>
                <w:rFonts w:asciiTheme="minorHAnsi" w:eastAsiaTheme="minorEastAsia" w:hAnsiTheme="minorHAnsi" w:cstheme="minorBidi"/>
                <w:noProof/>
                <w:lang w:eastAsia="sv-SE"/>
              </w:rPr>
              <w:tab/>
            </w:r>
            <w:r w:rsidR="00053683" w:rsidRPr="007E47D4">
              <w:rPr>
                <w:rStyle w:val="Hyperlnk"/>
                <w:noProof/>
              </w:rPr>
              <w:t>(évent.) Projet de Conclusions du Conseil sur le Soudan du Sud</w:t>
            </w:r>
            <w:r w:rsidR="00053683">
              <w:rPr>
                <w:noProof/>
                <w:webHidden/>
              </w:rPr>
              <w:tab/>
            </w:r>
            <w:r w:rsidR="00053683">
              <w:rPr>
                <w:noProof/>
                <w:webHidden/>
              </w:rPr>
              <w:fldChar w:fldCharType="begin"/>
            </w:r>
            <w:r w:rsidR="00053683">
              <w:rPr>
                <w:noProof/>
                <w:webHidden/>
              </w:rPr>
              <w:instrText xml:space="preserve"> PAGEREF _Toc431973515 \h </w:instrText>
            </w:r>
            <w:r w:rsidR="00053683">
              <w:rPr>
                <w:noProof/>
                <w:webHidden/>
              </w:rPr>
            </w:r>
            <w:r w:rsidR="00053683">
              <w:rPr>
                <w:noProof/>
                <w:webHidden/>
              </w:rPr>
              <w:fldChar w:fldCharType="separate"/>
            </w:r>
            <w:r w:rsidR="00053683">
              <w:rPr>
                <w:noProof/>
                <w:webHidden/>
              </w:rPr>
              <w:t>16</w:t>
            </w:r>
            <w:r w:rsidR="00053683">
              <w:rPr>
                <w:noProof/>
                <w:webHidden/>
              </w:rPr>
              <w:fldChar w:fldCharType="end"/>
            </w:r>
          </w:hyperlink>
        </w:p>
        <w:p w14:paraId="66642F12"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6" w:history="1">
            <w:r w:rsidR="00053683" w:rsidRPr="007E47D4">
              <w:rPr>
                <w:rStyle w:val="Hyperlnk"/>
                <w:noProof/>
              </w:rPr>
              <w:t>26.</w:t>
            </w:r>
            <w:r w:rsidR="00053683">
              <w:rPr>
                <w:rFonts w:asciiTheme="minorHAnsi" w:eastAsiaTheme="minorEastAsia" w:hAnsiTheme="minorHAnsi" w:cstheme="minorBidi"/>
                <w:noProof/>
                <w:lang w:eastAsia="sv-SE"/>
              </w:rPr>
              <w:tab/>
            </w:r>
            <w:r w:rsidR="00053683" w:rsidRPr="007E47D4">
              <w:rPr>
                <w:rStyle w:val="Hyperlnk"/>
                <w:noProof/>
              </w:rPr>
              <w:t>Décision du Conseil modifiant la décision 2013/391/PESC à l'appui de la mise en œuvre pratique de la résolution 1540 (2004) du Conseil de sécurité des Nations unies relative à la non-prolifération des armes de destruction massive et de leurs vecteurs</w:t>
            </w:r>
            <w:r w:rsidR="00053683">
              <w:rPr>
                <w:noProof/>
                <w:webHidden/>
              </w:rPr>
              <w:tab/>
            </w:r>
            <w:r w:rsidR="00053683">
              <w:rPr>
                <w:noProof/>
                <w:webHidden/>
              </w:rPr>
              <w:fldChar w:fldCharType="begin"/>
            </w:r>
            <w:r w:rsidR="00053683">
              <w:rPr>
                <w:noProof/>
                <w:webHidden/>
              </w:rPr>
              <w:instrText xml:space="preserve"> PAGEREF _Toc431973516 \h </w:instrText>
            </w:r>
            <w:r w:rsidR="00053683">
              <w:rPr>
                <w:noProof/>
                <w:webHidden/>
              </w:rPr>
            </w:r>
            <w:r w:rsidR="00053683">
              <w:rPr>
                <w:noProof/>
                <w:webHidden/>
              </w:rPr>
              <w:fldChar w:fldCharType="separate"/>
            </w:r>
            <w:r w:rsidR="00053683">
              <w:rPr>
                <w:noProof/>
                <w:webHidden/>
              </w:rPr>
              <w:t>16</w:t>
            </w:r>
            <w:r w:rsidR="00053683">
              <w:rPr>
                <w:noProof/>
                <w:webHidden/>
              </w:rPr>
              <w:fldChar w:fldCharType="end"/>
            </w:r>
          </w:hyperlink>
        </w:p>
        <w:p w14:paraId="2C6EAA52"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7" w:history="1">
            <w:r w:rsidR="00053683" w:rsidRPr="007E47D4">
              <w:rPr>
                <w:rStyle w:val="Hyperlnk"/>
                <w:noProof/>
              </w:rPr>
              <w:t>27.</w:t>
            </w:r>
            <w:r w:rsidR="00053683">
              <w:rPr>
                <w:rFonts w:asciiTheme="minorHAnsi" w:eastAsiaTheme="minorEastAsia" w:hAnsiTheme="minorHAnsi" w:cstheme="minorBidi"/>
                <w:noProof/>
                <w:lang w:eastAsia="sv-SE"/>
              </w:rPr>
              <w:tab/>
            </w:r>
            <w:r w:rsidR="00053683" w:rsidRPr="007E47D4">
              <w:rPr>
                <w:rStyle w:val="Hyperlnk"/>
                <w:noProof/>
              </w:rPr>
              <w:t>Décision du Conseil modifiant la décision 2010/638/PESC concernant des mesures restrictives à l'encontre de la République de Guinée</w:t>
            </w:r>
            <w:r w:rsidR="00053683">
              <w:rPr>
                <w:noProof/>
                <w:webHidden/>
              </w:rPr>
              <w:tab/>
            </w:r>
            <w:r w:rsidR="00053683">
              <w:rPr>
                <w:noProof/>
                <w:webHidden/>
              </w:rPr>
              <w:fldChar w:fldCharType="begin"/>
            </w:r>
            <w:r w:rsidR="00053683">
              <w:rPr>
                <w:noProof/>
                <w:webHidden/>
              </w:rPr>
              <w:instrText xml:space="preserve"> PAGEREF _Toc431973517 \h </w:instrText>
            </w:r>
            <w:r w:rsidR="00053683">
              <w:rPr>
                <w:noProof/>
                <w:webHidden/>
              </w:rPr>
            </w:r>
            <w:r w:rsidR="00053683">
              <w:rPr>
                <w:noProof/>
                <w:webHidden/>
              </w:rPr>
              <w:fldChar w:fldCharType="separate"/>
            </w:r>
            <w:r w:rsidR="00053683">
              <w:rPr>
                <w:noProof/>
                <w:webHidden/>
              </w:rPr>
              <w:t>17</w:t>
            </w:r>
            <w:r w:rsidR="00053683">
              <w:rPr>
                <w:noProof/>
                <w:webHidden/>
              </w:rPr>
              <w:fldChar w:fldCharType="end"/>
            </w:r>
          </w:hyperlink>
        </w:p>
        <w:p w14:paraId="2C88CB08"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8" w:history="1">
            <w:r w:rsidR="00053683" w:rsidRPr="007E47D4">
              <w:rPr>
                <w:rStyle w:val="Hyperlnk"/>
                <w:noProof/>
              </w:rPr>
              <w:t>28.</w:t>
            </w:r>
            <w:r w:rsidR="00053683">
              <w:rPr>
                <w:rFonts w:asciiTheme="minorHAnsi" w:eastAsiaTheme="minorEastAsia" w:hAnsiTheme="minorHAnsi" w:cstheme="minorBidi"/>
                <w:noProof/>
                <w:lang w:eastAsia="sv-SE"/>
              </w:rPr>
              <w:tab/>
            </w:r>
            <w:r w:rsidR="00053683" w:rsidRPr="007E47D4">
              <w:rPr>
                <w:rStyle w:val="Hyperlnk"/>
                <w:noProof/>
              </w:rPr>
              <w:t>-Décision du Conseil modifiant la décision 2013/255/PESC concernant des mesures restrictives à l'encontre de la Syrie  Règlement du Conseil modifiant le règlement (UE) nº 36/2012 concernant des mesures restrictives en raison de la situation en Syrie</w:t>
            </w:r>
            <w:r w:rsidR="00053683">
              <w:rPr>
                <w:noProof/>
                <w:webHidden/>
              </w:rPr>
              <w:tab/>
            </w:r>
            <w:r w:rsidR="00053683">
              <w:rPr>
                <w:noProof/>
                <w:webHidden/>
              </w:rPr>
              <w:fldChar w:fldCharType="begin"/>
            </w:r>
            <w:r w:rsidR="00053683">
              <w:rPr>
                <w:noProof/>
                <w:webHidden/>
              </w:rPr>
              <w:instrText xml:space="preserve"> PAGEREF _Toc431973518 \h </w:instrText>
            </w:r>
            <w:r w:rsidR="00053683">
              <w:rPr>
                <w:noProof/>
                <w:webHidden/>
              </w:rPr>
            </w:r>
            <w:r w:rsidR="00053683">
              <w:rPr>
                <w:noProof/>
                <w:webHidden/>
              </w:rPr>
              <w:fldChar w:fldCharType="separate"/>
            </w:r>
            <w:r w:rsidR="00053683">
              <w:rPr>
                <w:noProof/>
                <w:webHidden/>
              </w:rPr>
              <w:t>18</w:t>
            </w:r>
            <w:r w:rsidR="00053683">
              <w:rPr>
                <w:noProof/>
                <w:webHidden/>
              </w:rPr>
              <w:fldChar w:fldCharType="end"/>
            </w:r>
          </w:hyperlink>
        </w:p>
        <w:p w14:paraId="16E1B113" w14:textId="77777777" w:rsidR="00053683" w:rsidRDefault="00FC64E8">
          <w:pPr>
            <w:pStyle w:val="Innehll1"/>
            <w:tabs>
              <w:tab w:val="left" w:pos="660"/>
              <w:tab w:val="right" w:leader="dot" w:pos="9062"/>
            </w:tabs>
            <w:rPr>
              <w:rFonts w:asciiTheme="minorHAnsi" w:eastAsiaTheme="minorEastAsia" w:hAnsiTheme="minorHAnsi" w:cstheme="minorBidi"/>
              <w:noProof/>
              <w:lang w:eastAsia="sv-SE"/>
            </w:rPr>
          </w:pPr>
          <w:hyperlink w:anchor="_Toc431973519" w:history="1">
            <w:r w:rsidR="00053683" w:rsidRPr="007E47D4">
              <w:rPr>
                <w:rStyle w:val="Hyperlnk"/>
                <w:noProof/>
              </w:rPr>
              <w:t>29.</w:t>
            </w:r>
            <w:r w:rsidR="00053683">
              <w:rPr>
                <w:rFonts w:asciiTheme="minorHAnsi" w:eastAsiaTheme="minorEastAsia" w:hAnsiTheme="minorHAnsi" w:cstheme="minorBidi"/>
                <w:noProof/>
                <w:lang w:eastAsia="sv-SE"/>
              </w:rPr>
              <w:tab/>
            </w:r>
            <w:r w:rsidR="00053683" w:rsidRPr="007E47D4">
              <w:rPr>
                <w:rStyle w:val="Hyperlnk"/>
                <w:noProof/>
              </w:rPr>
              <w:t>Décision du Conseil modifiant la décision 2010/573/PESC concernant des mesures restrictives à l'encontre des dirigeants de la région de Transnistrie (République de Moldavie)</w:t>
            </w:r>
            <w:r w:rsidR="00053683">
              <w:rPr>
                <w:noProof/>
                <w:webHidden/>
              </w:rPr>
              <w:tab/>
            </w:r>
            <w:r w:rsidR="00053683">
              <w:rPr>
                <w:noProof/>
                <w:webHidden/>
              </w:rPr>
              <w:fldChar w:fldCharType="begin"/>
            </w:r>
            <w:r w:rsidR="00053683">
              <w:rPr>
                <w:noProof/>
                <w:webHidden/>
              </w:rPr>
              <w:instrText xml:space="preserve"> PAGEREF _Toc431973519 \h </w:instrText>
            </w:r>
            <w:r w:rsidR="00053683">
              <w:rPr>
                <w:noProof/>
                <w:webHidden/>
              </w:rPr>
            </w:r>
            <w:r w:rsidR="00053683">
              <w:rPr>
                <w:noProof/>
                <w:webHidden/>
              </w:rPr>
              <w:fldChar w:fldCharType="separate"/>
            </w:r>
            <w:r w:rsidR="00053683">
              <w:rPr>
                <w:noProof/>
                <w:webHidden/>
              </w:rPr>
              <w:t>18</w:t>
            </w:r>
            <w:r w:rsidR="00053683">
              <w:rPr>
                <w:noProof/>
                <w:webHidden/>
              </w:rPr>
              <w:fldChar w:fldCharType="end"/>
            </w:r>
          </w:hyperlink>
        </w:p>
        <w:p w14:paraId="2D71889D" w14:textId="77777777" w:rsidR="00043CCF" w:rsidRDefault="00043CCF">
          <w:r>
            <w:rPr>
              <w:b/>
              <w:bCs/>
              <w:noProof/>
            </w:rPr>
            <w:fldChar w:fldCharType="end"/>
          </w:r>
        </w:p>
      </w:sdtContent>
    </w:sdt>
    <w:p w14:paraId="2D71889E" w14:textId="77777777" w:rsidR="00043CCF" w:rsidRDefault="00043CCF">
      <w:pPr>
        <w:ind w:left="0"/>
      </w:pPr>
      <w:r>
        <w:br w:type="page"/>
      </w:r>
    </w:p>
    <w:p w14:paraId="2D71889F" w14:textId="77777777" w:rsidR="00043CCF" w:rsidRDefault="00043CCF" w:rsidP="00043CCF">
      <w:pPr>
        <w:pStyle w:val="Rubrik1"/>
        <w:numPr>
          <w:ilvl w:val="0"/>
          <w:numId w:val="0"/>
        </w:numPr>
      </w:pPr>
      <w:bookmarkStart w:id="0" w:name="_Toc364854645"/>
    </w:p>
    <w:p w14:paraId="2D7188A0" w14:textId="77777777" w:rsidR="00043CCF" w:rsidRPr="00BD0D2D" w:rsidRDefault="00043CCF" w:rsidP="00043CCF">
      <w:pPr>
        <w:pStyle w:val="Rubrik1"/>
        <w:rPr>
          <w:lang w:val="fr-FR"/>
        </w:rPr>
      </w:pPr>
      <w:bookmarkStart w:id="1" w:name="_Toc431973491"/>
      <w:r w:rsidRPr="00BD0D2D">
        <w:rPr>
          <w:noProof/>
          <w:lang w:val="fr-FR"/>
        </w:rPr>
        <w:t>Affaire devant le Tribunal de l'Union européenne</w:t>
      </w:r>
      <w:r w:rsidRPr="00BD0D2D">
        <w:rPr>
          <w:noProof/>
          <w:lang w:val="fr-FR"/>
        </w:rPr>
        <w:br/>
        <w:t>=Affaire T-485/15 Bashir Saleh Alsharghawi contre Conseil de l'Union européenne</w:t>
      </w:r>
      <w:bookmarkEnd w:id="1"/>
    </w:p>
    <w:p w14:paraId="2D7188A1" w14:textId="1B812578" w:rsidR="00043CCF" w:rsidRPr="00BD0D2D" w:rsidRDefault="00043CCF" w:rsidP="00043CCF">
      <w:pPr>
        <w:rPr>
          <w:lang w:val="fr-FR"/>
        </w:rPr>
      </w:pPr>
      <w:r w:rsidRPr="00BD0D2D">
        <w:rPr>
          <w:noProof/>
          <w:lang w:val="fr-FR"/>
        </w:rPr>
        <w:t>12394</w:t>
      </w:r>
      <w:r w:rsidRPr="00BD0D2D">
        <w:rPr>
          <w:lang w:val="fr-FR"/>
        </w:rPr>
        <w:t>/15 JUR 620 RELEX 749 CFSP/PESC 564 MAMA 137</w:t>
      </w:r>
    </w:p>
    <w:p w14:paraId="2D7188A2" w14:textId="77777777" w:rsidR="00043CCF" w:rsidRDefault="00043CCF" w:rsidP="00043CCF">
      <w:r>
        <w:rPr>
          <w:b/>
        </w:rPr>
        <w:t>Ansvarigt statsråd</w:t>
      </w:r>
      <w:r>
        <w:rPr>
          <w:b/>
        </w:rPr>
        <w:br/>
      </w:r>
      <w:r>
        <w:rPr>
          <w:noProof/>
        </w:rPr>
        <w:t>Margot Wallström</w:t>
      </w:r>
    </w:p>
    <w:p w14:paraId="2D7188A5" w14:textId="77777777" w:rsidR="00043CCF" w:rsidRDefault="00043CCF" w:rsidP="00043CCF">
      <w:r w:rsidRPr="00B44CE2">
        <w:rPr>
          <w:b/>
        </w:rPr>
        <w:t>Annotering</w:t>
      </w:r>
      <w:r>
        <w:rPr>
          <w:b/>
        </w:rPr>
        <w:br/>
      </w:r>
      <w:r>
        <w:rPr>
          <w:b/>
          <w:bCs/>
        </w:rPr>
        <w:t>Avsikt med behandlingen i rådet:</w:t>
      </w:r>
      <w:r>
        <w:t xml:space="preserve"> Information om ett mål vid tribunalen där rådet har utsett ombud.  </w:t>
      </w:r>
    </w:p>
    <w:p w14:paraId="2D7188A6" w14:textId="77777777" w:rsidR="009B541C" w:rsidRDefault="00043CCF">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2D7188A7" w14:textId="77777777" w:rsidR="009B541C" w:rsidRDefault="00043CCF">
      <w:pPr>
        <w:spacing w:after="280" w:afterAutospacing="1"/>
      </w:pPr>
      <w:r>
        <w:rPr>
          <w:b/>
          <w:bCs/>
        </w:rPr>
        <w:t xml:space="preserve">Bakgrund: </w:t>
      </w:r>
      <w:r>
        <w:t>Målet rör en ogiltighetstalan avseende rådets genomförandeförordning (EU) 2015/1323 av den 31 juli 2015 om genomförande av artikel 16.2 i förordning (EU) nr 204/2011 om restriktiva åtgärder med hänsyn till situationen i Libyen, i de delar denna avser sökanden. </w:t>
      </w:r>
    </w:p>
    <w:p w14:paraId="2D7188A9" w14:textId="77777777" w:rsidR="00043CCF" w:rsidRPr="00BD0D2D" w:rsidRDefault="00043CCF" w:rsidP="00043CCF">
      <w:pPr>
        <w:pStyle w:val="Rubrik1"/>
        <w:rPr>
          <w:lang w:val="fr-FR"/>
        </w:rPr>
      </w:pPr>
      <w:bookmarkStart w:id="2" w:name="_Toc431973492"/>
      <w:r w:rsidRPr="00BD0D2D">
        <w:rPr>
          <w:noProof/>
          <w:lang w:val="fr-FR"/>
        </w:rPr>
        <w:t>Affaire T-448/15 Bureau Européen de l'Environnement contre Commission</w:t>
      </w:r>
      <w:bookmarkEnd w:id="2"/>
    </w:p>
    <w:p w14:paraId="60D6DB8C" w14:textId="77777777" w:rsidR="00892E22" w:rsidRPr="00BD0D2D" w:rsidRDefault="00043CCF" w:rsidP="00892E22">
      <w:pPr>
        <w:rPr>
          <w:lang w:val="fr-FR"/>
        </w:rPr>
      </w:pPr>
      <w:r w:rsidRPr="00BD0D2D">
        <w:rPr>
          <w:noProof/>
          <w:lang w:val="fr-FR"/>
        </w:rPr>
        <w:t>=</w:t>
      </w:r>
      <w:r w:rsidRPr="00BD0D2D">
        <w:rPr>
          <w:lang w:val="fr-FR"/>
        </w:rPr>
        <w:t>Exception d'illégalité des articles 3 et 6(1) du Règlement 1367/2006</w:t>
      </w:r>
    </w:p>
    <w:p w14:paraId="2D7188AA" w14:textId="0E5558A3" w:rsidR="00043CCF" w:rsidRPr="00BD0D2D" w:rsidRDefault="00043CCF" w:rsidP="00892E22">
      <w:pPr>
        <w:rPr>
          <w:lang w:val="es-ES"/>
        </w:rPr>
      </w:pPr>
      <w:r w:rsidRPr="00BD0D2D">
        <w:rPr>
          <w:noProof/>
          <w:lang w:val="es-ES"/>
        </w:rPr>
        <w:t>12628</w:t>
      </w:r>
      <w:r w:rsidRPr="00BD0D2D">
        <w:rPr>
          <w:lang w:val="es-ES"/>
        </w:rPr>
        <w:t>/15 JUR 636 API 99 ENV 603 COMPET 439 SAN 315 MI 607</w:t>
      </w:r>
    </w:p>
    <w:p w14:paraId="2D7188AB" w14:textId="77777777" w:rsidR="00043CCF" w:rsidRDefault="00043CCF" w:rsidP="00043CCF">
      <w:r>
        <w:rPr>
          <w:b/>
        </w:rPr>
        <w:t>Ansvarigt statsråd</w:t>
      </w:r>
      <w:r>
        <w:rPr>
          <w:b/>
        </w:rPr>
        <w:br/>
      </w:r>
      <w:r>
        <w:rPr>
          <w:noProof/>
        </w:rPr>
        <w:t>Åsa Romson</w:t>
      </w:r>
    </w:p>
    <w:p w14:paraId="2D7188B0" w14:textId="1FE17654" w:rsidR="009B541C" w:rsidRDefault="00043CCF" w:rsidP="00892E22">
      <w:r w:rsidRPr="00B44CE2">
        <w:rPr>
          <w:b/>
        </w:rPr>
        <w:t>Annotering</w:t>
      </w:r>
      <w:r>
        <w:rPr>
          <w:b/>
        </w:rPr>
        <w:br/>
      </w:r>
      <w:r>
        <w:rPr>
          <w:b/>
          <w:bCs/>
        </w:rPr>
        <w:t>Avsikt med behandlingen i rådet:</w:t>
      </w:r>
      <w:r>
        <w:t xml:space="preserve"> Information om ett mål i tribunalen där rådet har för avsikt att utse ombud.</w:t>
      </w:r>
    </w:p>
    <w:p w14:paraId="2D7188B2" w14:textId="24701BD7" w:rsidR="009B541C" w:rsidRDefault="00043CCF">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2D7188B4" w14:textId="16C8A580" w:rsidR="009B541C" w:rsidRDefault="00043CCF">
      <w:pPr>
        <w:spacing w:after="280" w:afterAutospacing="1"/>
      </w:pPr>
      <w:r>
        <w:rPr>
          <w:b/>
          <w:bCs/>
        </w:rPr>
        <w:t>Bakgrund:</w:t>
      </w:r>
      <w:r w:rsidR="00892E22">
        <w:rPr>
          <w:b/>
          <w:bCs/>
        </w:rPr>
        <w:t xml:space="preserve"> </w:t>
      </w:r>
      <w:r>
        <w:t xml:space="preserve">En organisation, the </w:t>
      </w:r>
      <w:proofErr w:type="spellStart"/>
      <w:r>
        <w:t>European</w:t>
      </w:r>
      <w:proofErr w:type="spellEnd"/>
      <w:r>
        <w:t xml:space="preserve"> </w:t>
      </w:r>
      <w:proofErr w:type="spellStart"/>
      <w:r>
        <w:t>Environmental</w:t>
      </w:r>
      <w:proofErr w:type="spellEnd"/>
      <w:r>
        <w:t xml:space="preserve"> Bureau (EEB), har väckt en ogiltighetstalan mot kommissionens beslut att vägra utlämnande av vissa handlingar som innehas av kommissionen som rör tillbakadragandet av förslag till direktiv om avfall, förpackningar och förpackningsavfall. Organisationen har till stöd för sin talan bl.a. anfört att artiklarna 3 och 6 (1) i Europaparlamentets och rådets förordning 1367/2006 (den s.k. Århusförordningen) är oförenliga med vissa artiklar i Århuskonventionen, i den mån artiklarna i Århusförordningen hänvisar till undantagen i artikel 4 (3) i den s.k. öppenhetsförordningen (förordning 1049/2001), varför rådet har för avsikt att intervenera i målet och försvara Århusförordningens giltighet. I enlighet med praxis kommer rådet att begränsa sin talan till att avse frågan om lagligheten av rådets rättsakt. </w:t>
      </w:r>
    </w:p>
    <w:p w14:paraId="2D7188B6" w14:textId="77777777" w:rsidR="00043CCF" w:rsidRPr="00BD0D2D" w:rsidRDefault="00043CCF" w:rsidP="00043CCF">
      <w:pPr>
        <w:pStyle w:val="Rubrik1"/>
        <w:rPr>
          <w:lang w:val="fr-FR"/>
        </w:rPr>
      </w:pPr>
      <w:bookmarkStart w:id="3" w:name="_Toc431973493"/>
      <w:r w:rsidRPr="00BD0D2D">
        <w:rPr>
          <w:noProof/>
          <w:lang w:val="fr-FR"/>
        </w:rPr>
        <w:lastRenderedPageBreak/>
        <w:t>Affaire devant la Cour de justice de l'Union européenne</w:t>
      </w:r>
      <w:bookmarkEnd w:id="3"/>
    </w:p>
    <w:p w14:paraId="6887645A" w14:textId="77777777" w:rsidR="00892E22" w:rsidRPr="00BD0D2D" w:rsidRDefault="00043CCF" w:rsidP="00043CCF">
      <w:pPr>
        <w:rPr>
          <w:lang w:val="fr-FR"/>
        </w:rPr>
      </w:pPr>
      <w:r w:rsidRPr="00BD0D2D">
        <w:rPr>
          <w:noProof/>
          <w:lang w:val="fr-FR"/>
        </w:rPr>
        <w:t>=</w:t>
      </w:r>
      <w:r w:rsidRPr="00BD0D2D">
        <w:rPr>
          <w:lang w:val="fr-FR"/>
        </w:rPr>
        <w:t xml:space="preserve">Affaire préjudicielle C-319/15 </w:t>
      </w:r>
      <w:proofErr w:type="spellStart"/>
      <w:r w:rsidRPr="00BD0D2D">
        <w:rPr>
          <w:lang w:val="fr-FR"/>
        </w:rPr>
        <w:t>Overseas</w:t>
      </w:r>
      <w:proofErr w:type="spellEnd"/>
      <w:r w:rsidRPr="00BD0D2D">
        <w:rPr>
          <w:lang w:val="fr-FR"/>
        </w:rPr>
        <w:t xml:space="preserve"> Financial et </w:t>
      </w:r>
      <w:proofErr w:type="spellStart"/>
      <w:r w:rsidRPr="00BD0D2D">
        <w:rPr>
          <w:lang w:val="fr-FR"/>
        </w:rPr>
        <w:t>Oaktree</w:t>
      </w:r>
      <w:proofErr w:type="spellEnd"/>
      <w:r w:rsidRPr="00BD0D2D">
        <w:rPr>
          <w:lang w:val="fr-FR"/>
        </w:rPr>
        <w:t xml:space="preserve"> Finance (Juridiction de renvoi: Cour administrative d'appel de Paris) Validité de l'article 17 du règlement (UE) n° 961/2010 du Conseil du 25 octobre 2010 concernant l'adoption de mesures restrictives à l'encontre de l'Iran.</w:t>
      </w:r>
    </w:p>
    <w:p w14:paraId="3E9B72C9" w14:textId="77777777" w:rsidR="00892E22" w:rsidRDefault="00043CCF" w:rsidP="00043CCF">
      <w:pPr>
        <w:rPr>
          <w:lang w:val="en-US"/>
        </w:rPr>
      </w:pPr>
      <w:r>
        <w:rPr>
          <w:lang w:val="en-US"/>
        </w:rPr>
        <w:t>12397/15 JUR 621 RELEX 750 MOG 95 CFSP/PESC 565</w:t>
      </w:r>
    </w:p>
    <w:p w14:paraId="2D7188B8" w14:textId="6C8F67F4" w:rsidR="00043CCF" w:rsidRDefault="00043CCF" w:rsidP="00043CCF">
      <w:r>
        <w:rPr>
          <w:b/>
        </w:rPr>
        <w:t>Ansvarigt statsråd</w:t>
      </w:r>
      <w:r>
        <w:rPr>
          <w:b/>
        </w:rPr>
        <w:br/>
      </w:r>
      <w:r>
        <w:rPr>
          <w:noProof/>
        </w:rPr>
        <w:t>Margot Wallström</w:t>
      </w:r>
    </w:p>
    <w:p w14:paraId="2D7188BB" w14:textId="77777777" w:rsidR="00043CCF" w:rsidRDefault="00043CCF" w:rsidP="00043CCF">
      <w:r w:rsidRPr="00B44CE2">
        <w:rPr>
          <w:b/>
        </w:rPr>
        <w:t>Annotering</w:t>
      </w:r>
      <w:r>
        <w:rPr>
          <w:b/>
        </w:rPr>
        <w:br/>
      </w:r>
      <w:r>
        <w:rPr>
          <w:b/>
          <w:bCs/>
        </w:rPr>
        <w:t xml:space="preserve">Avsikt med behandlingen i rådet: </w:t>
      </w:r>
      <w:r>
        <w:t xml:space="preserve">Information om ett mål i EU-domstolen där rådet har utsett ombud.  </w:t>
      </w:r>
    </w:p>
    <w:p w14:paraId="2D7188BC" w14:textId="77777777" w:rsidR="009B541C" w:rsidRDefault="00043CCF">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2D7188BE" w14:textId="1B5F1C4D" w:rsidR="00043CCF" w:rsidRDefault="00043CCF">
      <w:pPr>
        <w:spacing w:after="280" w:afterAutospacing="1"/>
        <w:rPr>
          <w:noProof/>
        </w:rPr>
      </w:pPr>
      <w:r>
        <w:rPr>
          <w:b/>
          <w:bCs/>
        </w:rPr>
        <w:t xml:space="preserve">Bakgrund: </w:t>
      </w:r>
      <w:r>
        <w:t>Målet, som är en begäran om förhandsavgörande från en fransk domstol, avser giltigheten av artikel 17 i rådets förordning (EU) nr 961/2010 om restriktiva åtgärder mot Iran och om upphävande av förordning (EG) nr 423/2007.</w:t>
      </w:r>
    </w:p>
    <w:p w14:paraId="2D7188CB" w14:textId="77777777" w:rsidR="00043CCF" w:rsidRPr="00BD0D2D" w:rsidRDefault="00043CCF" w:rsidP="00043CCF">
      <w:pPr>
        <w:pStyle w:val="Rubrik1"/>
        <w:rPr>
          <w:lang w:val="fr-FR"/>
        </w:rPr>
      </w:pPr>
      <w:bookmarkStart w:id="4" w:name="_Toc431973494"/>
      <w:r w:rsidRPr="00BD0D2D">
        <w:rPr>
          <w:noProof/>
          <w:lang w:val="fr-FR"/>
        </w:rPr>
        <w:t>Projet de règlement du Parlement européen et du Conseil modifiant le règlement (UE) n° 1303/2013 du Parlement européen et du Conseil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en ce qui concerne des mesures spécifiques pour la Grèce (première lecture)</w:t>
      </w:r>
      <w:bookmarkEnd w:id="4"/>
      <w:r w:rsidRPr="00BD0D2D">
        <w:rPr>
          <w:noProof/>
          <w:lang w:val="fr-FR"/>
        </w:rPr>
        <w:t xml:space="preserve"> </w:t>
      </w:r>
    </w:p>
    <w:p w14:paraId="5E8B4948" w14:textId="77777777" w:rsidR="00892E22" w:rsidRPr="00BD0D2D" w:rsidRDefault="00043CCF" w:rsidP="00043CCF">
      <w:pPr>
        <w:rPr>
          <w:lang w:val="fr-FR"/>
        </w:rPr>
      </w:pPr>
      <w:r w:rsidRPr="00BD0D2D">
        <w:rPr>
          <w:noProof/>
          <w:lang w:val="fr-FR"/>
        </w:rPr>
        <w:t>=</w:t>
      </w:r>
      <w:r w:rsidRPr="00BD0D2D">
        <w:rPr>
          <w:lang w:val="fr-FR"/>
        </w:rPr>
        <w:t>Adoption de l'acte législatif</w:t>
      </w:r>
    </w:p>
    <w:p w14:paraId="2D7188CC" w14:textId="07B6CC04" w:rsidR="00043CCF" w:rsidRPr="00BD0D2D" w:rsidRDefault="00043CCF" w:rsidP="00043CCF">
      <w:pPr>
        <w:rPr>
          <w:lang w:val="fr-FR"/>
        </w:rPr>
      </w:pPr>
      <w:r w:rsidRPr="00BD0D2D">
        <w:rPr>
          <w:noProof/>
          <w:lang w:val="fr-FR"/>
        </w:rPr>
        <w:t>12316</w:t>
      </w:r>
      <w:r w:rsidRPr="00BD0D2D">
        <w:rPr>
          <w:lang w:val="fr-FR"/>
        </w:rPr>
        <w:t>/15 CODEC 1232 FSTR 62 FC 61 REGIO 75 SOC 534 EMPL 350 BUDGET 33 AGRISTR 63 PECHE 314 CADREFIN 57PE-CONS 50/15 FSTR 51 FC 50 REGIO 65 SOC 473 EMPL 312 BUDGET 26AGRISTR 59 PECHE 268 CADREFIN 46 CODEC 1083</w:t>
      </w:r>
    </w:p>
    <w:p w14:paraId="2D7188CD" w14:textId="77777777" w:rsidR="00043CCF" w:rsidRDefault="00043CCF" w:rsidP="00043CCF">
      <w:r>
        <w:rPr>
          <w:b/>
        </w:rPr>
        <w:t>Ansvarigt statsråd</w:t>
      </w:r>
      <w:r>
        <w:rPr>
          <w:b/>
        </w:rPr>
        <w:br/>
      </w:r>
      <w:r>
        <w:rPr>
          <w:noProof/>
        </w:rPr>
        <w:t>Sven Erik Bucht</w:t>
      </w:r>
    </w:p>
    <w:p w14:paraId="2D7188D0" w14:textId="77777777" w:rsidR="00043CCF" w:rsidRDefault="00043CCF" w:rsidP="00043CCF">
      <w:r w:rsidRPr="00B44CE2">
        <w:rPr>
          <w:b/>
        </w:rPr>
        <w:t>Annotering</w:t>
      </w:r>
      <w:r>
        <w:rPr>
          <w:b/>
        </w:rPr>
        <w:br/>
      </w:r>
      <w:r>
        <w:rPr>
          <w:b/>
          <w:bCs/>
        </w:rPr>
        <w:t xml:space="preserve">Avsikt med behandlingen i rådet: </w:t>
      </w:r>
      <w:r w:rsidRPr="00892E22">
        <w:rPr>
          <w:bCs/>
        </w:rPr>
        <w:t>Att anta föreslagen ändring av förordning 1303/2013 vad gäller särskilda åtgärder med anledning av krisen i Grekland</w:t>
      </w:r>
      <w:r>
        <w:rPr>
          <w:b/>
          <w:bCs/>
        </w:rPr>
        <w:t> </w:t>
      </w:r>
      <w:r>
        <w:t xml:space="preserve">  </w:t>
      </w:r>
    </w:p>
    <w:p w14:paraId="2D7188D1" w14:textId="77777777" w:rsidR="009B541C" w:rsidRDefault="00043CCF">
      <w:pPr>
        <w:spacing w:after="280" w:afterAutospacing="1"/>
      </w:pPr>
      <w:r>
        <w:rPr>
          <w:b/>
          <w:bCs/>
        </w:rPr>
        <w:t>Hur regeringen ställer sig till den blivande A-punkten:</w:t>
      </w:r>
      <w:r>
        <w:t xml:space="preserve"> Kan godtas </w:t>
      </w:r>
    </w:p>
    <w:p w14:paraId="2D7188D3" w14:textId="7EB064B1" w:rsidR="00043CCF" w:rsidRDefault="00043CCF">
      <w:pPr>
        <w:spacing w:after="280" w:afterAutospacing="1"/>
        <w:rPr>
          <w:noProof/>
        </w:rPr>
      </w:pPr>
      <w:r>
        <w:rPr>
          <w:b/>
          <w:bCs/>
        </w:rPr>
        <w:t xml:space="preserve">Bakgrund: </w:t>
      </w:r>
      <w:r w:rsidRPr="00892E22">
        <w:rPr>
          <w:bCs/>
        </w:rPr>
        <w:t>Som ett led i att hantera den ekonomiska krisen i Grekland har KOM tagit fram ett förslag som innebär vissa lättnader för Grekland i regelverket kring strukturfonder.</w:t>
      </w:r>
      <w:r>
        <w:rPr>
          <w:b/>
          <w:bCs/>
        </w:rPr>
        <w:t xml:space="preserve">  </w:t>
      </w:r>
    </w:p>
    <w:p w14:paraId="2D7188D4" w14:textId="77777777" w:rsidR="00043CCF" w:rsidRPr="00BD0D2D" w:rsidRDefault="00043CCF" w:rsidP="00043CCF">
      <w:pPr>
        <w:pStyle w:val="Rubrik1"/>
        <w:rPr>
          <w:lang w:val="fr-FR"/>
        </w:rPr>
      </w:pPr>
      <w:bookmarkStart w:id="5" w:name="_Toc431973495"/>
      <w:r w:rsidRPr="00BD0D2D">
        <w:rPr>
          <w:noProof/>
          <w:lang w:val="fr-FR"/>
        </w:rPr>
        <w:lastRenderedPageBreak/>
        <w:t>Règlement délégué (UE) …/... de la Commission, du 28.7.2015 complétant la directive 2002/87/CE du Parlement européen et du Conseil par des normes techniques de réglementation précisant les définitions de la concentration de risques et des transactions intragroupe et coordonnant leur surveillance complémentaire</w:t>
      </w:r>
      <w:bookmarkEnd w:id="5"/>
    </w:p>
    <w:p w14:paraId="140CF582" w14:textId="77777777" w:rsidR="00892E22" w:rsidRPr="00BD0D2D" w:rsidRDefault="00043CCF" w:rsidP="00043CCF">
      <w:pPr>
        <w:rPr>
          <w:lang w:val="fr-FR"/>
        </w:rPr>
      </w:pPr>
      <w:r w:rsidRPr="00BD0D2D">
        <w:rPr>
          <w:noProof/>
          <w:lang w:val="fr-FR"/>
        </w:rPr>
        <w:t>=</w:t>
      </w:r>
      <w:r w:rsidRPr="00BD0D2D">
        <w:rPr>
          <w:lang w:val="fr-FR"/>
        </w:rPr>
        <w:t>Intention de ne pas formuler d'objections à un acte délégué</w:t>
      </w:r>
    </w:p>
    <w:p w14:paraId="2D7188D5" w14:textId="22ED3C25" w:rsidR="00043CCF" w:rsidRPr="00BD0D2D" w:rsidRDefault="00043CCF" w:rsidP="00043CCF">
      <w:pPr>
        <w:rPr>
          <w:lang w:val="es-ES"/>
        </w:rPr>
      </w:pPr>
      <w:r w:rsidRPr="00BD0D2D">
        <w:rPr>
          <w:noProof/>
          <w:lang w:val="es-ES"/>
        </w:rPr>
        <w:t>12370</w:t>
      </w:r>
      <w:r w:rsidRPr="00BD0D2D">
        <w:rPr>
          <w:lang w:val="es-ES"/>
        </w:rPr>
        <w:t>/15 EF 179 ECOFIN 730 DELACT 123</w:t>
      </w:r>
      <w:r w:rsidR="0081221D" w:rsidRPr="00BD0D2D">
        <w:rPr>
          <w:lang w:val="es-ES"/>
        </w:rPr>
        <w:t xml:space="preserve"> </w:t>
      </w:r>
      <w:r w:rsidRPr="00BD0D2D">
        <w:rPr>
          <w:lang w:val="es-ES"/>
        </w:rPr>
        <w:t xml:space="preserve">11508/15 EF 165 ECOFIN 677 DELACT 109 </w:t>
      </w:r>
    </w:p>
    <w:p w14:paraId="2D7188D6" w14:textId="77777777" w:rsidR="00043CCF" w:rsidRDefault="00043CCF" w:rsidP="00043CCF">
      <w:r>
        <w:rPr>
          <w:b/>
        </w:rPr>
        <w:t>Ansvarigt statsråd</w:t>
      </w:r>
      <w:r>
        <w:rPr>
          <w:b/>
        </w:rPr>
        <w:br/>
      </w:r>
      <w:r>
        <w:rPr>
          <w:noProof/>
        </w:rPr>
        <w:t>Per Bolund</w:t>
      </w:r>
    </w:p>
    <w:p w14:paraId="2D7188DB" w14:textId="028B4DA0" w:rsidR="009B541C" w:rsidRDefault="00043CCF" w:rsidP="00892E22">
      <w:r w:rsidRPr="00B44CE2">
        <w:rPr>
          <w:b/>
        </w:rPr>
        <w:t>Annotering</w:t>
      </w:r>
      <w:r>
        <w:rPr>
          <w:b/>
        </w:rPr>
        <w:br/>
      </w:r>
      <w:r>
        <w:rPr>
          <w:b/>
          <w:bCs/>
        </w:rPr>
        <w:t>Avsikt med behandlingen i rådet:</w:t>
      </w:r>
      <w:r w:rsidR="00892E22">
        <w:rPr>
          <w:b/>
          <w:bCs/>
        </w:rPr>
        <w:t xml:space="preserve"> </w:t>
      </w:r>
      <w:r>
        <w:t>Rådet föreslås inte motsätta sig att kommissionen antar den delegerade akten.  </w:t>
      </w:r>
    </w:p>
    <w:p w14:paraId="2D7188DD" w14:textId="49E268C2" w:rsidR="009B541C" w:rsidRDefault="00043CCF">
      <w:pPr>
        <w:spacing w:after="280" w:afterAutospacing="1"/>
      </w:pPr>
      <w:r>
        <w:rPr>
          <w:b/>
          <w:bCs/>
        </w:rPr>
        <w:t>Hur regeringen ställer sig till den blivande A-punkten:</w:t>
      </w:r>
      <w:r>
        <w:t xml:space="preserve"> Regeringen avser inte motsätta sig förslaget. </w:t>
      </w:r>
    </w:p>
    <w:p w14:paraId="2D7188DF" w14:textId="3C5D1F43" w:rsidR="009B541C" w:rsidRDefault="00043CCF">
      <w:pPr>
        <w:spacing w:after="280" w:afterAutospacing="1"/>
      </w:pPr>
      <w:r>
        <w:rPr>
          <w:b/>
          <w:bCs/>
        </w:rPr>
        <w:t>Bakgrund:</w:t>
      </w:r>
      <w:r w:rsidR="00892E22">
        <w:rPr>
          <w:b/>
          <w:bCs/>
        </w:rPr>
        <w:t xml:space="preserve"> </w:t>
      </w:r>
      <w:r>
        <w:t>Enligt artikel 21a.1a i direktivet 2002/87/EG om extra tillsyn över kreditinstitut, försäkringsföretag och värdepappersföretag i ett finansiellt konglomerat ska de europeiska tillsynsmyndigheterna utarbeta förslag till tekniska tillsynsstandarder som specificerar definitioner och samordnar den extra tillsynen av riskkoncentration och transaktioner inom det finansiella konglomeratet. De europeiska tillsynsmyndigheterna har nu publicerat och skickat sitt slutliga förslag av dessa tekniska standarder till kommissionen för antagande och medlemsstaterna har möjlighet att motsätta sig att förslaget antas.</w:t>
      </w:r>
    </w:p>
    <w:p w14:paraId="2D7188E1" w14:textId="2CA7F8E3" w:rsidR="00043CCF" w:rsidRDefault="00043CCF">
      <w:pPr>
        <w:spacing w:after="280" w:afterAutospacing="1"/>
        <w:rPr>
          <w:noProof/>
        </w:rPr>
      </w:pPr>
      <w:r>
        <w:t>Kommissionen har i den delegerade aktens artikel 4, i förhållande till de europeiska tillsynsmyndigheternas förslag, gjort ett icke avsett skrivfel. Kommissionen har informerat medlemsstaterna att skrivfelet ska korrigeras så snabbt som möjligt. Rådet har därför tidigare förlängt tiden för övervägande med en månad. Europaparlamentet har samtidigt förlängt sin tid för övervägande med två månader. Eftersom skrivfelet ska korrigeras finns det inte anledning att motsätta sig den delegerade akten.</w:t>
      </w:r>
    </w:p>
    <w:p w14:paraId="32B3F804" w14:textId="77777777" w:rsidR="00043CCF" w:rsidRPr="00BD0D2D" w:rsidRDefault="00043CCF" w:rsidP="00043CCF">
      <w:pPr>
        <w:pStyle w:val="Rubrik1"/>
        <w:rPr>
          <w:lang w:val="fr-FR"/>
        </w:rPr>
      </w:pPr>
      <w:bookmarkStart w:id="6" w:name="_Toc431973496"/>
      <w:r w:rsidRPr="00BD0D2D">
        <w:rPr>
          <w:noProof/>
          <w:lang w:val="fr-FR"/>
        </w:rPr>
        <w:t>Proposition de virement de crédits n° DEC 29/2015 à l'intérieur de la section III - Commission - du budget général pour l'exercice 2015</w:t>
      </w:r>
      <w:bookmarkEnd w:id="6"/>
    </w:p>
    <w:p w14:paraId="2D7188E4" w14:textId="6E2A02A0" w:rsidR="00043CCF" w:rsidRPr="00BD0D2D" w:rsidRDefault="00043CCF" w:rsidP="00043CCF">
      <w:r w:rsidRPr="00BD0D2D">
        <w:rPr>
          <w:noProof/>
        </w:rPr>
        <w:t>12509</w:t>
      </w:r>
      <w:r w:rsidRPr="00BD0D2D">
        <w:t>/15 FIN 654 INST 340 PE-L 57</w:t>
      </w:r>
    </w:p>
    <w:p w14:paraId="2D7188E5" w14:textId="77777777" w:rsidR="00043CCF" w:rsidRDefault="00043CCF" w:rsidP="00043CCF">
      <w:r>
        <w:rPr>
          <w:b/>
        </w:rPr>
        <w:t>Ansvarigt statsråd</w:t>
      </w:r>
      <w:r>
        <w:rPr>
          <w:b/>
        </w:rPr>
        <w:br/>
      </w:r>
      <w:r>
        <w:rPr>
          <w:noProof/>
        </w:rPr>
        <w:t>Magdalena Andersson</w:t>
      </w:r>
    </w:p>
    <w:p w14:paraId="2D7188E9" w14:textId="6F535BDB" w:rsidR="009B541C" w:rsidRDefault="00043CCF" w:rsidP="00043CCF">
      <w:r w:rsidRPr="00B44CE2">
        <w:rPr>
          <w:b/>
        </w:rPr>
        <w:t>Annotering</w:t>
      </w:r>
      <w:r>
        <w:rPr>
          <w:b/>
        </w:rPr>
        <w:br/>
      </w:r>
      <w:r>
        <w:rPr>
          <w:b/>
          <w:bCs/>
        </w:rPr>
        <w:t>Avsikt med behandlingen i rådet:</w:t>
      </w:r>
      <w:r>
        <w:t xml:space="preserve"> Rådet föreslås godkänna överföringen och informera Europarparlamentet om detta. </w:t>
      </w:r>
    </w:p>
    <w:p w14:paraId="2D7188EA" w14:textId="44630B7C" w:rsidR="009B541C" w:rsidRDefault="00043CCF">
      <w:pPr>
        <w:spacing w:after="280" w:afterAutospacing="1"/>
      </w:pPr>
      <w:r>
        <w:rPr>
          <w:b/>
          <w:bCs/>
        </w:rPr>
        <w:t>Hur regeringen ställer sig till den blivande A-punkten:</w:t>
      </w:r>
      <w:r>
        <w:t xml:space="preserve"> Regeringen kan godkänna överföringen.</w:t>
      </w:r>
    </w:p>
    <w:p w14:paraId="2D7188EC" w14:textId="7BF04613" w:rsidR="00043CCF" w:rsidRDefault="00043CCF">
      <w:pPr>
        <w:spacing w:after="280" w:afterAutospacing="1"/>
        <w:rPr>
          <w:noProof/>
        </w:rPr>
      </w:pPr>
      <w:r>
        <w:rPr>
          <w:b/>
          <w:bCs/>
        </w:rPr>
        <w:t xml:space="preserve">Bakgrund: </w:t>
      </w:r>
      <w:r>
        <w:t xml:space="preserve">KOM föreslår en gång per år en s.k. global överföring av betalningsanslag under innevarande budgetår mellan ett stort antal anslag och flertalet rubriker. Syftet med förslaget </w:t>
      </w:r>
      <w:r>
        <w:lastRenderedPageBreak/>
        <w:t xml:space="preserve">till global överföring är att justera anslagsnivåerna för betalningsbemyndigandena utifrån uppdaterade prognoser sedan årsbudgeten beslutades i december föregående år. Överföringens syfte är att utnyttja tillgängliga anslag från program som förväntas ha underutnyttjats vid årets slut för att täcka de betalningsbehov som uppstått inom program och åtgärder där anslagen har utnyttjats snabbare än planerat. Överföringarna av betalningsanslag kan göras mellan olika rubriker och är på det hela taget budgetneutral. </w:t>
      </w:r>
      <w:proofErr w:type="gramStart"/>
      <w:r>
        <w:t>KOM</w:t>
      </w:r>
      <w:proofErr w:type="gramEnd"/>
      <w:r>
        <w:t xml:space="preserve"> </w:t>
      </w:r>
      <w:proofErr w:type="gramStart"/>
      <w:r>
        <w:t>föreslår</w:t>
      </w:r>
      <w:proofErr w:type="gramEnd"/>
      <w:r>
        <w:t xml:space="preserve"> i år att totalt 424 miljoner euro överförs från totalt 47 anslag till totalt 26 anslag.</w:t>
      </w:r>
    </w:p>
    <w:p w14:paraId="2D7188ED" w14:textId="58488659" w:rsidR="00043CCF" w:rsidRPr="00BD0D2D" w:rsidRDefault="00043CCF" w:rsidP="00043CCF">
      <w:pPr>
        <w:pStyle w:val="Rubrik1"/>
        <w:rPr>
          <w:lang w:val="fr-FR"/>
        </w:rPr>
      </w:pPr>
      <w:bookmarkStart w:id="7" w:name="_Toc431973497"/>
      <w:r w:rsidRPr="00BD0D2D">
        <w:rPr>
          <w:noProof/>
          <w:lang w:val="fr-FR"/>
        </w:rPr>
        <w:t>Gestion de la crise des réfugiés : mesures budgétaires immédiats au titre de l'agenda européen en matière de migration</w:t>
      </w:r>
      <w:r w:rsidRPr="00BD0D2D">
        <w:rPr>
          <w:noProof/>
          <w:lang w:val="fr-FR"/>
        </w:rPr>
        <w:br/>
        <w:t>–Projet de budget rectificatif nº 7 au budget général pour 2015</w:t>
      </w:r>
      <w:bookmarkEnd w:id="7"/>
    </w:p>
    <w:p w14:paraId="2D7188EE" w14:textId="54A24997" w:rsidR="00043CCF" w:rsidRPr="00BD0D2D" w:rsidRDefault="00043CCF" w:rsidP="00043CCF">
      <w:r w:rsidRPr="00BD0D2D">
        <w:rPr>
          <w:noProof/>
        </w:rPr>
        <w:t>12506</w:t>
      </w:r>
      <w:r w:rsidRPr="00BD0D2D">
        <w:t>/15 FIN 651 PE-L 56</w:t>
      </w:r>
    </w:p>
    <w:p w14:paraId="2D7188EF" w14:textId="77777777" w:rsidR="00043CCF" w:rsidRDefault="00043CCF" w:rsidP="00043CCF">
      <w:r>
        <w:rPr>
          <w:b/>
        </w:rPr>
        <w:t>Ansvarigt statsråd</w:t>
      </w:r>
      <w:r>
        <w:rPr>
          <w:b/>
        </w:rPr>
        <w:br/>
      </w:r>
      <w:r>
        <w:rPr>
          <w:noProof/>
        </w:rPr>
        <w:t>Magdalena Andersson</w:t>
      </w:r>
    </w:p>
    <w:p w14:paraId="2D7188F3" w14:textId="74C1812C" w:rsidR="009B541C" w:rsidRDefault="00043CCF" w:rsidP="00892E22">
      <w:r w:rsidRPr="00B44CE2">
        <w:rPr>
          <w:b/>
        </w:rPr>
        <w:t>Annotering</w:t>
      </w:r>
      <w:r>
        <w:rPr>
          <w:b/>
        </w:rPr>
        <w:br/>
      </w:r>
      <w:r>
        <w:rPr>
          <w:b/>
          <w:bCs/>
        </w:rPr>
        <w:t>Avsikt med behandlingen i rådet:</w:t>
      </w:r>
      <w:r>
        <w:t xml:space="preserve"> Rådet föreslås godkänna rådets position om ändringsbudget 7/2015, att </w:t>
      </w:r>
      <w:proofErr w:type="spellStart"/>
      <w:r>
        <w:t>flexibilitetsinstrsumentet</w:t>
      </w:r>
      <w:proofErr w:type="spellEnd"/>
      <w:r>
        <w:t xml:space="preserve"> mobiliseras och att reserven för katastrofbistånd mobiliseras. Rådet föreslås godkänna att ordinarie 8-veckors period för konsultation av nationella parlament förkortas. Rådet föreslås vidare godkänna att ordförandeskapet skickar över rådets position om ändringsbudget 7/2015 till Europaparlamentet samt godkänna att rådets position publiceras i </w:t>
      </w:r>
      <w:proofErr w:type="spellStart"/>
      <w:r>
        <w:t>Official</w:t>
      </w:r>
      <w:proofErr w:type="spellEnd"/>
      <w:r>
        <w:t xml:space="preserve"> Journal </w:t>
      </w:r>
      <w:proofErr w:type="spellStart"/>
      <w:r>
        <w:t>of</w:t>
      </w:r>
      <w:proofErr w:type="spellEnd"/>
      <w:r>
        <w:t xml:space="preserve"> the </w:t>
      </w:r>
      <w:proofErr w:type="spellStart"/>
      <w:r>
        <w:t>European</w:t>
      </w:r>
      <w:proofErr w:type="spellEnd"/>
      <w:r>
        <w:t xml:space="preserve"> Union.</w:t>
      </w:r>
    </w:p>
    <w:p w14:paraId="2D7188F4" w14:textId="77777777" w:rsidR="009B541C" w:rsidRDefault="00043CCF">
      <w:pPr>
        <w:spacing w:after="280" w:afterAutospacing="1"/>
      </w:pPr>
      <w:r>
        <w:rPr>
          <w:b/>
          <w:bCs/>
        </w:rPr>
        <w:t xml:space="preserve">Hur regeringen ställer sig till den blivande A-punkten: </w:t>
      </w:r>
      <w:r>
        <w:t>Regeringen kan godkänna förslagen.</w:t>
      </w:r>
    </w:p>
    <w:p w14:paraId="2D7188F6" w14:textId="58C3F4D2" w:rsidR="00043CCF" w:rsidRDefault="00043CCF">
      <w:pPr>
        <w:spacing w:after="280" w:afterAutospacing="1"/>
        <w:rPr>
          <w:noProof/>
        </w:rPr>
      </w:pPr>
      <w:r>
        <w:rPr>
          <w:b/>
          <w:bCs/>
        </w:rPr>
        <w:t>Bakgrund:</w:t>
      </w:r>
      <w:r>
        <w:t xml:space="preserve"> Kommissionen presenterade den 30 september 2015 förslag till en ändringsbudget om migration (ÄB 7) för att finansiera ett antal migrationsrelaterade åtgärder under 2015. Bl.a. tillförs totalt 100 miljoner euro till Fonden för asyl, migration och integration (AMIF) och Fonden för inre säkerhet (ISF) och 120 personer nyanställs vid EU-myndigheterna </w:t>
      </w:r>
      <w:proofErr w:type="spellStart"/>
      <w:r>
        <w:t>Frontex</w:t>
      </w:r>
      <w:proofErr w:type="spellEnd"/>
      <w:r>
        <w:t>, Europol och EASO. EU:s årsbudget för 2015 ökar med totalt 330 miljoner euro i åtaganden, bl.a. mobiliseras flexibilitetsinstrumentet och reserven för katastrofbistånd. Betalningsanslagen finansieras genom omprioritering och är utgiftsneutrala. Därmed påverkas inte den svenska EU-avgiften för 2015.</w:t>
      </w:r>
    </w:p>
    <w:p w14:paraId="2D7188F7" w14:textId="7B57915D" w:rsidR="00043CCF" w:rsidRPr="00BD0D2D" w:rsidRDefault="00043CCF" w:rsidP="00043CCF">
      <w:pPr>
        <w:pStyle w:val="Rubrik1"/>
        <w:rPr>
          <w:lang w:val="fr-FR"/>
        </w:rPr>
      </w:pPr>
      <w:bookmarkStart w:id="8" w:name="_Toc431973498"/>
      <w:r w:rsidRPr="00BD0D2D">
        <w:rPr>
          <w:noProof/>
          <w:lang w:val="fr-FR"/>
        </w:rPr>
        <w:t>Gestion de la crise des réfugiés : mesures budgétaires immédiats au titre de l'agenda européen en matière de migration</w:t>
      </w:r>
      <w:r w:rsidRPr="00BD0D2D">
        <w:rPr>
          <w:noProof/>
          <w:lang w:val="fr-FR"/>
        </w:rPr>
        <w:br/>
        <w:t>–Projet de budget rectificatif n° 7 au budget général pour 2015</w:t>
      </w:r>
      <w:bookmarkEnd w:id="8"/>
    </w:p>
    <w:p w14:paraId="246571E3" w14:textId="77777777" w:rsidR="00892E22" w:rsidRPr="00BD0D2D" w:rsidRDefault="00043CCF" w:rsidP="00043CCF">
      <w:pPr>
        <w:rPr>
          <w:lang w:val="fr-FR"/>
        </w:rPr>
      </w:pPr>
      <w:r w:rsidRPr="00BD0D2D">
        <w:rPr>
          <w:noProof/>
          <w:lang w:val="fr-FR"/>
        </w:rPr>
        <w:t>–</w:t>
      </w:r>
      <w:r w:rsidRPr="00BD0D2D">
        <w:rPr>
          <w:lang w:val="fr-FR"/>
        </w:rPr>
        <w:t>Informations destinées aux parlements nationaux</w:t>
      </w:r>
    </w:p>
    <w:p w14:paraId="2D7188F8" w14:textId="1172CDC9" w:rsidR="00043CCF" w:rsidRPr="00BD0D2D" w:rsidRDefault="00043CCF" w:rsidP="00043CCF">
      <w:pPr>
        <w:rPr>
          <w:lang w:val="fr-FR"/>
        </w:rPr>
      </w:pPr>
      <w:r w:rsidRPr="00BD0D2D">
        <w:rPr>
          <w:noProof/>
          <w:lang w:val="fr-FR"/>
        </w:rPr>
        <w:t>12507</w:t>
      </w:r>
      <w:r w:rsidRPr="00BD0D2D">
        <w:rPr>
          <w:lang w:val="fr-FR"/>
        </w:rPr>
        <w:t>/15 FIN 652 INST 339</w:t>
      </w:r>
    </w:p>
    <w:p w14:paraId="2D7188F9" w14:textId="77777777" w:rsidR="00043CCF" w:rsidRDefault="00043CCF" w:rsidP="00043CCF">
      <w:r>
        <w:rPr>
          <w:b/>
        </w:rPr>
        <w:t>Ansvarigt statsråd</w:t>
      </w:r>
      <w:r>
        <w:rPr>
          <w:b/>
        </w:rPr>
        <w:br/>
      </w:r>
      <w:r>
        <w:rPr>
          <w:noProof/>
        </w:rPr>
        <w:t>Magdalena Andersson</w:t>
      </w:r>
    </w:p>
    <w:p w14:paraId="2D7188FD" w14:textId="3B6BAA2F" w:rsidR="009B541C" w:rsidRDefault="00043CCF" w:rsidP="00892E22">
      <w:r w:rsidRPr="00B44CE2">
        <w:rPr>
          <w:b/>
        </w:rPr>
        <w:lastRenderedPageBreak/>
        <w:t>Annotering</w:t>
      </w:r>
      <w:r>
        <w:rPr>
          <w:b/>
        </w:rPr>
        <w:br/>
      </w:r>
      <w:r>
        <w:rPr>
          <w:b/>
          <w:bCs/>
        </w:rPr>
        <w:t>Avsikt med behandlingen i rådet:</w:t>
      </w:r>
      <w:r>
        <w:t xml:space="preserve"> Rådet föreslås godkänna rådets position om ändringsbudget 7/2015, att </w:t>
      </w:r>
      <w:proofErr w:type="spellStart"/>
      <w:r>
        <w:t>flexibilitetsinstrsumentet</w:t>
      </w:r>
      <w:proofErr w:type="spellEnd"/>
      <w:r>
        <w:t xml:space="preserve"> mobiliseras och att reserven för katastrofbistånd mobiliseras. Rådet föreslås godkänna att ordinarie 8-veckors period för konsultation av nationella parlament förkortas. Rådet föreslås vidare godkänna att ordförandeskapet skickar över rådets position om ändringsbudget 7/2015 till Europaparlamentet samt godkänna att rådets position publiceras i </w:t>
      </w:r>
      <w:proofErr w:type="spellStart"/>
      <w:r>
        <w:t>Official</w:t>
      </w:r>
      <w:proofErr w:type="spellEnd"/>
      <w:r>
        <w:t xml:space="preserve"> Journal </w:t>
      </w:r>
      <w:proofErr w:type="spellStart"/>
      <w:r>
        <w:t>of</w:t>
      </w:r>
      <w:proofErr w:type="spellEnd"/>
      <w:r>
        <w:t xml:space="preserve"> the </w:t>
      </w:r>
      <w:proofErr w:type="spellStart"/>
      <w:r>
        <w:t>European</w:t>
      </w:r>
      <w:proofErr w:type="spellEnd"/>
      <w:r>
        <w:t xml:space="preserve"> Union.</w:t>
      </w:r>
    </w:p>
    <w:p w14:paraId="2D7188FE" w14:textId="77777777" w:rsidR="009B541C" w:rsidRDefault="00043CCF">
      <w:pPr>
        <w:spacing w:after="280" w:afterAutospacing="1"/>
      </w:pPr>
      <w:r>
        <w:rPr>
          <w:b/>
          <w:bCs/>
        </w:rPr>
        <w:t xml:space="preserve">Hur regeringen ställer sig till den blivande A-punkten: </w:t>
      </w:r>
      <w:r>
        <w:t>Regeringen kan godkänna förslagen.</w:t>
      </w:r>
    </w:p>
    <w:p w14:paraId="2D7188FF" w14:textId="77777777" w:rsidR="009B541C" w:rsidRDefault="00043CCF">
      <w:pPr>
        <w:spacing w:after="280" w:afterAutospacing="1"/>
      </w:pPr>
      <w:r>
        <w:rPr>
          <w:b/>
          <w:bCs/>
        </w:rPr>
        <w:t xml:space="preserve">Bakgrund: </w:t>
      </w:r>
      <w:r>
        <w:t xml:space="preserve">Kommissionen presenterade den 30 september 2015 förslag till en ändringsbudget om migration (ÄB 7) för att finansiera ett antal migrationsrelaterade åtgärder under 2015. Bl.a. tillförs totalt 100 miljoner euro till Fonden för asyl, migration och integration (AMIF) och Fonden för inre säkerhet (ISF) och 120 personer nyanställs vid EU-myndigheterna </w:t>
      </w:r>
      <w:proofErr w:type="spellStart"/>
      <w:r>
        <w:t>Frontex</w:t>
      </w:r>
      <w:proofErr w:type="spellEnd"/>
      <w:r>
        <w:t>, Europol och EASO. EU:s årsbudget för 2015 ökar med totalt 330 miljoner euro i åtaganden, bl.a. mobiliseras flexibilitetsinstrumentet och reserven för katastrofbistånd. Betalningsanslagen finansieras genom omprioritering och är utgiftsneutrala. Därmed påverkas inte den svenska EU-avgiften för 2015.</w:t>
      </w:r>
    </w:p>
    <w:p w14:paraId="2D718901" w14:textId="512D89BC" w:rsidR="00043CCF" w:rsidRPr="00BD0D2D" w:rsidRDefault="00043CCF" w:rsidP="00043CCF">
      <w:pPr>
        <w:pStyle w:val="Rubrik1"/>
        <w:rPr>
          <w:lang w:val="fr-FR"/>
        </w:rPr>
      </w:pPr>
      <w:bookmarkStart w:id="9" w:name="_Toc431973499"/>
      <w:r w:rsidRPr="00BD0D2D">
        <w:rPr>
          <w:noProof/>
          <w:lang w:val="fr-FR"/>
        </w:rPr>
        <w:t>Gestion de la crise des réfugiés : mesures budgétaires immédiats au titre de l'agenda européen en matière de migration</w:t>
      </w:r>
      <w:r w:rsidRPr="00BD0D2D">
        <w:rPr>
          <w:noProof/>
          <w:lang w:val="fr-FR"/>
        </w:rPr>
        <w:br/>
        <w:t>–Proposition de décision du Parlement européen et du Conseil relative à la mobilisation de l'instrument de flexibilité</w:t>
      </w:r>
      <w:bookmarkEnd w:id="9"/>
    </w:p>
    <w:p w14:paraId="2D718902" w14:textId="7EB357C6" w:rsidR="00043CCF" w:rsidRPr="00BD0D2D" w:rsidRDefault="00043CCF" w:rsidP="00043CCF">
      <w:r w:rsidRPr="00BD0D2D">
        <w:rPr>
          <w:noProof/>
        </w:rPr>
        <w:t>12508</w:t>
      </w:r>
      <w:r w:rsidRPr="00BD0D2D">
        <w:t>/15 FIN 653</w:t>
      </w:r>
    </w:p>
    <w:p w14:paraId="2D718903" w14:textId="77777777" w:rsidR="00043CCF" w:rsidRDefault="00043CCF" w:rsidP="00043CCF">
      <w:r>
        <w:rPr>
          <w:b/>
        </w:rPr>
        <w:t>Ansvarigt statsråd</w:t>
      </w:r>
      <w:r>
        <w:rPr>
          <w:b/>
        </w:rPr>
        <w:br/>
      </w:r>
      <w:r>
        <w:rPr>
          <w:noProof/>
        </w:rPr>
        <w:t>Magdalena Andersson</w:t>
      </w:r>
    </w:p>
    <w:p w14:paraId="2D718907" w14:textId="2C1F5B0C" w:rsidR="009B541C" w:rsidRDefault="00043CCF" w:rsidP="00892E22">
      <w:r w:rsidRPr="00B44CE2">
        <w:rPr>
          <w:b/>
        </w:rPr>
        <w:t>Annotering</w:t>
      </w:r>
      <w:r>
        <w:rPr>
          <w:b/>
        </w:rPr>
        <w:br/>
      </w:r>
      <w:r>
        <w:rPr>
          <w:b/>
          <w:bCs/>
        </w:rPr>
        <w:t>Avsikt med behandlingen i rådet:</w:t>
      </w:r>
      <w:r>
        <w:t xml:space="preserve"> Rådet föreslås godkänna rådets position om ändringsbudget 7/2015, att </w:t>
      </w:r>
      <w:proofErr w:type="spellStart"/>
      <w:r>
        <w:t>flexibilitetsinstrsumentet</w:t>
      </w:r>
      <w:proofErr w:type="spellEnd"/>
      <w:r>
        <w:t xml:space="preserve"> mobiliseras och att reserven för katastrofbistånd mobiliseras. Rådet föreslås godkänna att ordinarie 8-veckors period för konsultation av nationella parlament förkortas. Rådet föreslås vidare godkänna att ordförandeskapet skickar över rådets position om ändringsbudget 7/2015 till Europaparlamentet samt godkänna att rådets position publiceras i </w:t>
      </w:r>
      <w:proofErr w:type="spellStart"/>
      <w:r>
        <w:t>Official</w:t>
      </w:r>
      <w:proofErr w:type="spellEnd"/>
      <w:r>
        <w:t xml:space="preserve"> Journal </w:t>
      </w:r>
      <w:proofErr w:type="spellStart"/>
      <w:r>
        <w:t>of</w:t>
      </w:r>
      <w:proofErr w:type="spellEnd"/>
      <w:r>
        <w:t xml:space="preserve"> the </w:t>
      </w:r>
      <w:proofErr w:type="spellStart"/>
      <w:r>
        <w:t>European</w:t>
      </w:r>
      <w:proofErr w:type="spellEnd"/>
      <w:r>
        <w:t xml:space="preserve"> Union.</w:t>
      </w:r>
    </w:p>
    <w:p w14:paraId="2D718908" w14:textId="77777777" w:rsidR="009B541C" w:rsidRDefault="00043CCF">
      <w:pPr>
        <w:spacing w:after="280" w:afterAutospacing="1"/>
      </w:pPr>
      <w:r>
        <w:rPr>
          <w:b/>
          <w:bCs/>
        </w:rPr>
        <w:t>Hur regeringen ställer sig till den blivande A-punkten:</w:t>
      </w:r>
      <w:r>
        <w:t xml:space="preserve"> Regeringen kan godkänna förslagen.</w:t>
      </w:r>
    </w:p>
    <w:p w14:paraId="2D71890A" w14:textId="4719D9C7" w:rsidR="00043CCF" w:rsidRDefault="00043CCF">
      <w:pPr>
        <w:spacing w:after="280" w:afterAutospacing="1"/>
        <w:rPr>
          <w:noProof/>
        </w:rPr>
      </w:pPr>
      <w:r>
        <w:rPr>
          <w:b/>
          <w:bCs/>
        </w:rPr>
        <w:t>Bakgrund:</w:t>
      </w:r>
      <w:r>
        <w:t xml:space="preserve"> Kommissionen presenterade den 30 september 2015 förslag till en ändringsbudget om migration (ÄB 7) för att finansiera ett antal migrationsrelaterade åtgärder under 2015. Bl.a. tillförs totalt 100 miljoner euro till Fonden för asyl, migration och integration (AMIF) och Fonden för inre säkerhet (ISF) och 120 personer nyanställs vid EU-myndigheterna </w:t>
      </w:r>
      <w:proofErr w:type="spellStart"/>
      <w:r>
        <w:t>Frontex</w:t>
      </w:r>
      <w:proofErr w:type="spellEnd"/>
      <w:r>
        <w:t xml:space="preserve">, Europol och EASO. EU:s årsbudget för 2015 ökar med totalt 330 miljoner euro i åtaganden, bl.a. mobiliseras flexibilitetsinstrumentet och reserven för katastrofbistånd. </w:t>
      </w:r>
      <w:r>
        <w:lastRenderedPageBreak/>
        <w:t>Betalningsanslagen finansieras genom omprioritering och är utgiftsneutrala. Därmed påverkas inte den svenska EU-avgiften för 2015.</w:t>
      </w:r>
    </w:p>
    <w:p w14:paraId="2D71890B" w14:textId="19E204EE" w:rsidR="00043CCF" w:rsidRPr="00BD0D2D" w:rsidRDefault="00043CCF" w:rsidP="00043CCF">
      <w:pPr>
        <w:pStyle w:val="Rubrik1"/>
        <w:rPr>
          <w:lang w:val="fr-FR"/>
        </w:rPr>
      </w:pPr>
      <w:bookmarkStart w:id="10" w:name="_Toc431973500"/>
      <w:r w:rsidRPr="00BD0D2D">
        <w:rPr>
          <w:noProof/>
          <w:lang w:val="fr-FR"/>
        </w:rPr>
        <w:t>Gestion de la crise des réfugiés : mesures budgétaires immédiats au titre de l'agenda européen en matière de migration</w:t>
      </w:r>
      <w:r w:rsidRPr="00BD0D2D">
        <w:rPr>
          <w:noProof/>
          <w:lang w:val="fr-FR"/>
        </w:rPr>
        <w:br/>
        <w:t>–Proposition de virement de crédits n° DEC 32/2015 à l'intérieur de la section III - Commission - du budget général pour l'exercice 2015</w:t>
      </w:r>
      <w:bookmarkEnd w:id="10"/>
    </w:p>
    <w:p w14:paraId="2D71890C" w14:textId="54BBAA0B" w:rsidR="00043CCF" w:rsidRPr="00BD0D2D" w:rsidRDefault="00043CCF" w:rsidP="00043CCF">
      <w:r w:rsidRPr="00BD0D2D">
        <w:rPr>
          <w:noProof/>
        </w:rPr>
        <w:t>12510</w:t>
      </w:r>
      <w:r w:rsidRPr="00BD0D2D">
        <w:t>/15 FIN 655 INST 341 PE-L 58</w:t>
      </w:r>
    </w:p>
    <w:p w14:paraId="2D71890D" w14:textId="77777777" w:rsidR="00043CCF" w:rsidRDefault="00043CCF" w:rsidP="00043CCF">
      <w:r>
        <w:rPr>
          <w:b/>
        </w:rPr>
        <w:t>Ansvarigt statsråd</w:t>
      </w:r>
      <w:r>
        <w:rPr>
          <w:b/>
        </w:rPr>
        <w:br/>
      </w:r>
      <w:r>
        <w:rPr>
          <w:noProof/>
        </w:rPr>
        <w:t>Magdalena Andersson</w:t>
      </w:r>
    </w:p>
    <w:p w14:paraId="2D718910" w14:textId="77777777" w:rsidR="00043CCF" w:rsidRDefault="00043CCF" w:rsidP="00043CCF">
      <w:r w:rsidRPr="00B44CE2">
        <w:rPr>
          <w:b/>
        </w:rPr>
        <w:t>Annotering</w:t>
      </w:r>
      <w:r>
        <w:rPr>
          <w:b/>
        </w:rPr>
        <w:br/>
      </w:r>
      <w:r>
        <w:rPr>
          <w:b/>
          <w:bCs/>
        </w:rPr>
        <w:t>Avsikt med behandlingen i rådet:</w:t>
      </w:r>
      <w:r>
        <w:t xml:space="preserve"> Rådet föreslås godkänna rådets position om ändringsbudget 7/2015, att </w:t>
      </w:r>
      <w:proofErr w:type="spellStart"/>
      <w:r>
        <w:t>flexibilitetsinstrsumentet</w:t>
      </w:r>
      <w:proofErr w:type="spellEnd"/>
      <w:r>
        <w:t xml:space="preserve"> mobiliseras och att reserven för katastrofbistånd mobiliseras. Rådet föreslås godkänna att ordinarie 8-veckors period för konsultation av nationella parlament förkortas. Rådet föreslås vidare godkänna att ordförandeskapet skickar över rådets position om ändringsbudget 7/2015 till Europaparlamentet samt godkänna att rådets position publiceras i </w:t>
      </w:r>
      <w:proofErr w:type="spellStart"/>
      <w:r>
        <w:t>Official</w:t>
      </w:r>
      <w:proofErr w:type="spellEnd"/>
      <w:r>
        <w:t xml:space="preserve"> Journal </w:t>
      </w:r>
      <w:proofErr w:type="spellStart"/>
      <w:r>
        <w:t>of</w:t>
      </w:r>
      <w:proofErr w:type="spellEnd"/>
      <w:r>
        <w:t xml:space="preserve"> the </w:t>
      </w:r>
      <w:proofErr w:type="spellStart"/>
      <w:r>
        <w:t>European</w:t>
      </w:r>
      <w:proofErr w:type="spellEnd"/>
      <w:r>
        <w:t xml:space="preserve"> Union. </w:t>
      </w:r>
    </w:p>
    <w:p w14:paraId="2D718911" w14:textId="77777777" w:rsidR="009B541C" w:rsidRDefault="00043CCF">
      <w:pPr>
        <w:spacing w:after="280" w:afterAutospacing="1"/>
      </w:pPr>
      <w:r>
        <w:rPr>
          <w:b/>
          <w:bCs/>
        </w:rPr>
        <w:t>Hur regeringen ställer sig till den blivande A-punkten:</w:t>
      </w:r>
      <w:r>
        <w:t xml:space="preserve"> Regeringen kan godkänna förslagen. </w:t>
      </w:r>
    </w:p>
    <w:p w14:paraId="2D718914" w14:textId="5EA3730A" w:rsidR="00043CCF" w:rsidRDefault="00043CCF">
      <w:pPr>
        <w:spacing w:after="280" w:afterAutospacing="1"/>
        <w:rPr>
          <w:noProof/>
        </w:rPr>
      </w:pPr>
      <w:r>
        <w:rPr>
          <w:b/>
          <w:bCs/>
        </w:rPr>
        <w:t xml:space="preserve">Bakgrund: </w:t>
      </w:r>
      <w:r>
        <w:t xml:space="preserve">Kommissionen presenterade den 30 september 2015 förslag till en ändringsbudget om migration (ÄB 7) för att finansiera ett antal migrationsrelaterade åtgärder under 2015. Bl.a. tillförs totalt 100 miljoner euro till Fonden för asyl, migration och integration (AMIF) och Fonden för inre säkerhet (ISF) och 120 personer nyanställs vid EU-myndigheterna </w:t>
      </w:r>
      <w:proofErr w:type="spellStart"/>
      <w:r>
        <w:t>Frontex</w:t>
      </w:r>
      <w:proofErr w:type="spellEnd"/>
      <w:r>
        <w:t>, Europol och EASO. EU:s årsbudget för 2015 ökar med totalt 330 miljoner euro i åtaganden, bl.a. mobiliseras flexibilitetsinstrumentet och reserven för katastrofbistånd. Betalningsanslagen finansieras genom omprioritering och är utgiftsneutrala. Därmed påverkas inte den svenska EU-avgiften för 2015.</w:t>
      </w:r>
    </w:p>
    <w:p w14:paraId="2D718915" w14:textId="77777777" w:rsidR="00043CCF" w:rsidRPr="00BD0D2D" w:rsidRDefault="00043CCF" w:rsidP="00043CCF">
      <w:pPr>
        <w:pStyle w:val="Rubrik1"/>
        <w:rPr>
          <w:lang w:val="fr-FR"/>
        </w:rPr>
      </w:pPr>
      <w:bookmarkStart w:id="11" w:name="_Toc431973501"/>
      <w:r w:rsidRPr="00BD0D2D">
        <w:rPr>
          <w:noProof/>
          <w:lang w:val="fr-FR"/>
        </w:rPr>
        <w:t>Relevés mensuels des actes adoptés par le Conseil par procédure écrite</w:t>
      </w:r>
      <w:r w:rsidRPr="00BD0D2D">
        <w:rPr>
          <w:noProof/>
          <w:lang w:val="fr-FR"/>
        </w:rPr>
        <w:br/>
        <w:t>–juin 2015</w:t>
      </w:r>
      <w:bookmarkEnd w:id="11"/>
      <w:r w:rsidRPr="00BD0D2D">
        <w:rPr>
          <w:noProof/>
          <w:lang w:val="fr-FR"/>
        </w:rPr>
        <w:t xml:space="preserve"> </w:t>
      </w:r>
    </w:p>
    <w:p w14:paraId="2D718916" w14:textId="0AB7C99A" w:rsidR="00043CCF" w:rsidRPr="00BD0D2D" w:rsidRDefault="00043CCF" w:rsidP="00043CCF">
      <w:r w:rsidRPr="00BD0D2D">
        <w:rPr>
          <w:noProof/>
        </w:rPr>
        <w:t>12564</w:t>
      </w:r>
      <w:r w:rsidRPr="00BD0D2D">
        <w:t>/15 RPE 10</w:t>
      </w:r>
    </w:p>
    <w:p w14:paraId="2D718917" w14:textId="77777777" w:rsidR="00043CCF" w:rsidRDefault="00043CCF" w:rsidP="00043CCF">
      <w:r>
        <w:rPr>
          <w:b/>
        </w:rPr>
        <w:t>Ansvarigt statsråd</w:t>
      </w:r>
      <w:r>
        <w:rPr>
          <w:b/>
        </w:rPr>
        <w:br/>
      </w:r>
      <w:r>
        <w:rPr>
          <w:noProof/>
        </w:rPr>
        <w:t>Stefan Löfven</w:t>
      </w:r>
    </w:p>
    <w:p w14:paraId="2D71891A" w14:textId="77777777" w:rsidR="00043CCF" w:rsidRDefault="00043CCF" w:rsidP="00043CCF">
      <w:r w:rsidRPr="00B44CE2">
        <w:rPr>
          <w:b/>
        </w:rPr>
        <w:t>Annotering</w:t>
      </w:r>
      <w:r>
        <w:rPr>
          <w:b/>
        </w:rPr>
        <w:br/>
      </w:r>
      <w:r>
        <w:t>Föranleder ingen annotering.</w:t>
      </w:r>
    </w:p>
    <w:p w14:paraId="2D71891B" w14:textId="77777777" w:rsidR="00043CCF" w:rsidRPr="00BD0D2D" w:rsidRDefault="00043CCF" w:rsidP="00043CCF">
      <w:pPr>
        <w:pStyle w:val="Rubrik1"/>
        <w:rPr>
          <w:lang w:val="fr-FR"/>
        </w:rPr>
      </w:pPr>
      <w:bookmarkStart w:id="12" w:name="_Toc431973502"/>
      <w:r w:rsidRPr="00BD0D2D">
        <w:rPr>
          <w:noProof/>
          <w:lang w:val="fr-FR"/>
        </w:rPr>
        <w:t>Relevés mensuels des actes adoptés par le Conseil par procédure écrite</w:t>
      </w:r>
      <w:r w:rsidRPr="00BD0D2D">
        <w:rPr>
          <w:noProof/>
          <w:lang w:val="fr-FR"/>
        </w:rPr>
        <w:br/>
        <w:t>–juillet 2015</w:t>
      </w:r>
      <w:bookmarkEnd w:id="12"/>
    </w:p>
    <w:p w14:paraId="2D71891C" w14:textId="4028097C" w:rsidR="00043CCF" w:rsidRPr="00BD0D2D" w:rsidRDefault="00043CCF" w:rsidP="00043CCF">
      <w:r w:rsidRPr="00BD0D2D">
        <w:rPr>
          <w:noProof/>
        </w:rPr>
        <w:t>12565</w:t>
      </w:r>
      <w:r w:rsidRPr="00BD0D2D">
        <w:t>/15 RPE 11</w:t>
      </w:r>
    </w:p>
    <w:p w14:paraId="2D71891D" w14:textId="77777777" w:rsidR="00043CCF" w:rsidRDefault="00043CCF" w:rsidP="00043CCF">
      <w:r>
        <w:rPr>
          <w:b/>
        </w:rPr>
        <w:lastRenderedPageBreak/>
        <w:t>Ansvarigt statsråd</w:t>
      </w:r>
      <w:r>
        <w:rPr>
          <w:b/>
        </w:rPr>
        <w:br/>
      </w:r>
      <w:r>
        <w:rPr>
          <w:noProof/>
        </w:rPr>
        <w:t>Stefan Löfven</w:t>
      </w:r>
    </w:p>
    <w:p w14:paraId="2D718920" w14:textId="77777777" w:rsidR="00043CCF" w:rsidRDefault="00043CCF" w:rsidP="00043CCF">
      <w:r w:rsidRPr="00B44CE2">
        <w:rPr>
          <w:b/>
        </w:rPr>
        <w:t>Annotering</w:t>
      </w:r>
      <w:r>
        <w:rPr>
          <w:b/>
        </w:rPr>
        <w:br/>
      </w:r>
      <w:r>
        <w:t>Föranleder ingen annotering.</w:t>
      </w:r>
    </w:p>
    <w:p w14:paraId="2D718921" w14:textId="77777777" w:rsidR="00043CCF" w:rsidRPr="00BD0D2D" w:rsidRDefault="00043CCF" w:rsidP="00043CCF">
      <w:pPr>
        <w:pStyle w:val="Rubrik1"/>
        <w:rPr>
          <w:lang w:val="fr-FR"/>
        </w:rPr>
      </w:pPr>
      <w:bookmarkStart w:id="13" w:name="_Toc431973503"/>
      <w:r w:rsidRPr="00BD0D2D">
        <w:rPr>
          <w:noProof/>
          <w:lang w:val="fr-FR"/>
        </w:rPr>
        <w:t>Relevés mensuels des actes adoptés par le Conseil par procédure écrite</w:t>
      </w:r>
      <w:r w:rsidRPr="00BD0D2D">
        <w:rPr>
          <w:noProof/>
          <w:lang w:val="fr-FR"/>
        </w:rPr>
        <w:br/>
        <w:t>–août 2015</w:t>
      </w:r>
      <w:bookmarkEnd w:id="13"/>
      <w:r w:rsidRPr="00BD0D2D">
        <w:rPr>
          <w:noProof/>
          <w:lang w:val="fr-FR"/>
        </w:rPr>
        <w:t xml:space="preserve"> </w:t>
      </w:r>
    </w:p>
    <w:p w14:paraId="2D718922" w14:textId="7ECBC53D" w:rsidR="00043CCF" w:rsidRPr="00BD0D2D" w:rsidRDefault="00043CCF" w:rsidP="00043CCF">
      <w:r w:rsidRPr="00BD0D2D">
        <w:rPr>
          <w:noProof/>
        </w:rPr>
        <w:t>12566</w:t>
      </w:r>
      <w:r w:rsidRPr="00BD0D2D">
        <w:t>/15 RPE 12</w:t>
      </w:r>
    </w:p>
    <w:p w14:paraId="2D718923" w14:textId="77777777" w:rsidR="00043CCF" w:rsidRDefault="00043CCF" w:rsidP="00043CCF">
      <w:r>
        <w:rPr>
          <w:b/>
        </w:rPr>
        <w:t>Ansvarigt statsråd</w:t>
      </w:r>
      <w:r>
        <w:rPr>
          <w:b/>
        </w:rPr>
        <w:br/>
      </w:r>
      <w:r>
        <w:rPr>
          <w:noProof/>
        </w:rPr>
        <w:t>Stefan Löfven</w:t>
      </w:r>
    </w:p>
    <w:p w14:paraId="2D718926" w14:textId="77777777" w:rsidR="00043CCF" w:rsidRDefault="00043CCF" w:rsidP="00043CCF">
      <w:r w:rsidRPr="00B44CE2">
        <w:rPr>
          <w:b/>
        </w:rPr>
        <w:t>Annotering</w:t>
      </w:r>
      <w:r>
        <w:rPr>
          <w:b/>
        </w:rPr>
        <w:br/>
      </w:r>
      <w:r>
        <w:t>Föranleder ingen annotering.</w:t>
      </w:r>
    </w:p>
    <w:p w14:paraId="2D718927" w14:textId="77777777" w:rsidR="00043CCF" w:rsidRPr="00BD0D2D" w:rsidRDefault="00043CCF" w:rsidP="00043CCF">
      <w:pPr>
        <w:pStyle w:val="Rubrik1"/>
        <w:rPr>
          <w:lang w:val="fr-FR"/>
        </w:rPr>
      </w:pPr>
      <w:bookmarkStart w:id="14" w:name="_Toc431973504"/>
      <w:r w:rsidRPr="00BD0D2D">
        <w:rPr>
          <w:noProof/>
          <w:lang w:val="fr-FR"/>
        </w:rPr>
        <w:t>Projet de décision du Conseil portant nomination de deux membres espagnols et de trois suppléants espagnols du Comité des régions</w:t>
      </w:r>
      <w:bookmarkEnd w:id="14"/>
      <w:r w:rsidRPr="00BD0D2D">
        <w:rPr>
          <w:noProof/>
          <w:lang w:val="fr-FR"/>
        </w:rPr>
        <w:t xml:space="preserve"> </w:t>
      </w:r>
    </w:p>
    <w:p w14:paraId="4E918F34" w14:textId="77777777" w:rsidR="00892E22" w:rsidRPr="00BD0D2D" w:rsidRDefault="00043CCF" w:rsidP="00043CCF">
      <w:pPr>
        <w:rPr>
          <w:lang w:val="fr-FR"/>
        </w:rPr>
      </w:pPr>
      <w:r w:rsidRPr="00BD0D2D">
        <w:rPr>
          <w:noProof/>
          <w:lang w:val="fr-FR"/>
        </w:rPr>
        <w:t>–</w:t>
      </w:r>
      <w:r w:rsidRPr="00BD0D2D">
        <w:rPr>
          <w:lang w:val="fr-FR"/>
        </w:rPr>
        <w:t xml:space="preserve"> Examen du projet de Décision</w:t>
      </w:r>
    </w:p>
    <w:p w14:paraId="2D718928" w14:textId="12FC2B22" w:rsidR="00043CCF" w:rsidRPr="00BD0D2D" w:rsidRDefault="00043CCF" w:rsidP="00043CCF">
      <w:pPr>
        <w:rPr>
          <w:lang w:val="fr-FR"/>
        </w:rPr>
      </w:pPr>
      <w:r w:rsidRPr="00BD0D2D">
        <w:rPr>
          <w:noProof/>
          <w:lang w:val="fr-FR"/>
        </w:rPr>
        <w:t>12462</w:t>
      </w:r>
      <w:r w:rsidRPr="00BD0D2D">
        <w:rPr>
          <w:lang w:val="fr-FR"/>
        </w:rPr>
        <w:t>/15 CDR 94</w:t>
      </w:r>
      <w:r w:rsidR="0081221D" w:rsidRPr="00BD0D2D">
        <w:rPr>
          <w:lang w:val="fr-FR"/>
        </w:rPr>
        <w:t xml:space="preserve"> </w:t>
      </w:r>
      <w:r w:rsidRPr="00BD0D2D">
        <w:rPr>
          <w:lang w:val="fr-FR"/>
        </w:rPr>
        <w:t>12453/15 CDR 92</w:t>
      </w:r>
    </w:p>
    <w:p w14:paraId="2D718929" w14:textId="77777777" w:rsidR="00043CCF" w:rsidRDefault="00043CCF" w:rsidP="00043CCF">
      <w:r>
        <w:rPr>
          <w:b/>
        </w:rPr>
        <w:t>Ansvarigt statsråd</w:t>
      </w:r>
      <w:r>
        <w:rPr>
          <w:b/>
        </w:rPr>
        <w:br/>
      </w:r>
      <w:r>
        <w:rPr>
          <w:noProof/>
        </w:rPr>
        <w:t>Ardalan Shekarabi</w:t>
      </w:r>
    </w:p>
    <w:p w14:paraId="2D71892C" w14:textId="77777777" w:rsidR="00043CCF" w:rsidRDefault="00043CCF" w:rsidP="00043CCF">
      <w:r w:rsidRPr="00B44CE2">
        <w:rPr>
          <w:b/>
        </w:rPr>
        <w:t>Annotering</w:t>
      </w:r>
      <w:r>
        <w:rPr>
          <w:b/>
        </w:rPr>
        <w:br/>
      </w:r>
      <w:r>
        <w:t>Föranleder ingen annotering.</w:t>
      </w:r>
    </w:p>
    <w:p w14:paraId="2D71892D" w14:textId="77777777" w:rsidR="00043CCF" w:rsidRPr="00BD0D2D" w:rsidRDefault="00043CCF" w:rsidP="00043CCF">
      <w:pPr>
        <w:pStyle w:val="Rubrik1"/>
        <w:rPr>
          <w:lang w:val="fr-FR"/>
        </w:rPr>
      </w:pPr>
      <w:bookmarkStart w:id="15" w:name="_Toc431973505"/>
      <w:r w:rsidRPr="00BD0D2D">
        <w:rPr>
          <w:noProof/>
          <w:lang w:val="fr-FR"/>
        </w:rPr>
        <w:t>Recommandation au Conseil concernant l'utilisation de dispositifs cryptographiques destinés à protéger les liaisons électroniques dans le contexte du projet GALILEO</w:t>
      </w:r>
      <w:bookmarkEnd w:id="15"/>
    </w:p>
    <w:p w14:paraId="2D71892E" w14:textId="40D1C4F3" w:rsidR="00043CCF" w:rsidRPr="00BD0D2D" w:rsidRDefault="00043CCF" w:rsidP="00043CCF">
      <w:r w:rsidRPr="00BD0D2D">
        <w:rPr>
          <w:noProof/>
        </w:rPr>
        <w:t>12480</w:t>
      </w:r>
      <w:r w:rsidRPr="00BD0D2D">
        <w:t>/15 CSCI 54 CSC 198 RESTREINT UE</w:t>
      </w:r>
    </w:p>
    <w:p w14:paraId="2D71892F" w14:textId="77777777" w:rsidR="00043CCF" w:rsidRDefault="00043CCF" w:rsidP="00043CCF">
      <w:r>
        <w:rPr>
          <w:b/>
        </w:rPr>
        <w:t>Ansvarigt statsråd</w:t>
      </w:r>
      <w:r>
        <w:rPr>
          <w:b/>
        </w:rPr>
        <w:br/>
      </w:r>
      <w:r>
        <w:rPr>
          <w:noProof/>
        </w:rPr>
        <w:t>Margot Wallström</w:t>
      </w:r>
    </w:p>
    <w:p w14:paraId="2D718933" w14:textId="006E139D" w:rsidR="009B541C" w:rsidRDefault="00043CCF" w:rsidP="00892E22">
      <w:r w:rsidRPr="00B44CE2">
        <w:rPr>
          <w:b/>
        </w:rPr>
        <w:t>Annotering</w:t>
      </w:r>
      <w:r>
        <w:rPr>
          <w:b/>
        </w:rPr>
        <w:br/>
      </w:r>
      <w:r>
        <w:rPr>
          <w:b/>
          <w:bCs/>
        </w:rPr>
        <w:t>Avsikt med behandlingen i rådet.</w:t>
      </w:r>
      <w:r>
        <w:t xml:space="preserve"> Rådet föreslås på rekommendation av dess säkerhetskommitté (informationssäkring) (12480/15 RUE/EUR) att </w:t>
      </w:r>
      <w:proofErr w:type="spellStart"/>
      <w:r>
        <w:t>interimsgodkänna</w:t>
      </w:r>
      <w:proofErr w:type="spellEnd"/>
      <w:r>
        <w:t xml:space="preserve"> användningen av den franska kryptoprodukten Galileo </w:t>
      </w:r>
      <w:proofErr w:type="spellStart"/>
      <w:r>
        <w:t>Ground</w:t>
      </w:r>
      <w:proofErr w:type="spellEnd"/>
      <w:r>
        <w:t xml:space="preserve"> </w:t>
      </w:r>
      <w:proofErr w:type="spellStart"/>
      <w:r>
        <w:t>Reciever</w:t>
      </w:r>
      <w:proofErr w:type="spellEnd"/>
      <w:r>
        <w:t xml:space="preserve"> </w:t>
      </w:r>
      <w:proofErr w:type="spellStart"/>
      <w:r>
        <w:t>Chain</w:t>
      </w:r>
      <w:proofErr w:type="spellEnd"/>
      <w:r>
        <w:t xml:space="preserve"> PRS (Galileo GRCP) FOC version för att skydda säkerhetsskyddsklassificerade EU-uppgifter på en säkerhetskyddsklassificeringsnivå upp till och inklusive SECRET UE/EU SECRET i enlighet med artikel 10.6 och paragraf 27 (Annex IV). Kryptoprodukten kommer </w:t>
      </w:r>
      <w:proofErr w:type="gramStart"/>
      <w:r>
        <w:t>nyttjas</w:t>
      </w:r>
      <w:proofErr w:type="gramEnd"/>
      <w:r>
        <w:t xml:space="preserve"> att av Galileoprogrammets markstationer för mottagande av Galileo Public </w:t>
      </w:r>
      <w:proofErr w:type="spellStart"/>
      <w:r>
        <w:t>Regulated</w:t>
      </w:r>
      <w:proofErr w:type="spellEnd"/>
      <w:r>
        <w:t xml:space="preserve"> Service signaler. Detta interimistiska godkännande gäller endast inom specificerat ändamål till och med 30 juni 2016.</w:t>
      </w:r>
    </w:p>
    <w:p w14:paraId="2D718934" w14:textId="19F31500" w:rsidR="009B541C" w:rsidRDefault="00043CCF">
      <w:pPr>
        <w:spacing w:after="280" w:afterAutospacing="1"/>
      </w:pPr>
      <w:r>
        <w:rPr>
          <w:b/>
          <w:bCs/>
        </w:rPr>
        <w:t>Hur regeringen ställer sig till den blivande A-punkten:</w:t>
      </w:r>
      <w:r>
        <w:t xml:space="preserve"> Regeringen avser rösta ja till Rådet att </w:t>
      </w:r>
      <w:proofErr w:type="spellStart"/>
      <w:r>
        <w:t>interimsgodkänna</w:t>
      </w:r>
      <w:proofErr w:type="spellEnd"/>
      <w:r>
        <w:t xml:space="preserve"> användningen av den franska kryptoprodukten Galileo </w:t>
      </w:r>
      <w:proofErr w:type="spellStart"/>
      <w:r>
        <w:t>Ground</w:t>
      </w:r>
      <w:proofErr w:type="spellEnd"/>
      <w:r>
        <w:t xml:space="preserve"> </w:t>
      </w:r>
      <w:proofErr w:type="spellStart"/>
      <w:r>
        <w:t>Reciever</w:t>
      </w:r>
      <w:proofErr w:type="spellEnd"/>
      <w:r>
        <w:t xml:space="preserve"> </w:t>
      </w:r>
      <w:proofErr w:type="spellStart"/>
      <w:r>
        <w:t>Chain</w:t>
      </w:r>
      <w:proofErr w:type="spellEnd"/>
      <w:r>
        <w:t xml:space="preserve"> PRS (Galileo GRCP) FOC version för att skydda säkerhetsskyddsklassificerade EU-</w:t>
      </w:r>
      <w:r>
        <w:lastRenderedPageBreak/>
        <w:t>uppgifter på en säkerhetskyddsklassificeringsnivå upp till och inklusive SECRET UE/EU SECRET i enlighet med Artikel 10.6 och paragraf 27 (Annex IV). Detta interimistiska godkännande gäller endast inom specificerat ändamål och till och med 30 juni 2016.</w:t>
      </w:r>
    </w:p>
    <w:p w14:paraId="1AF513D5" w14:textId="77777777" w:rsidR="00892E22" w:rsidRDefault="00043CCF">
      <w:pPr>
        <w:spacing w:after="280" w:afterAutospacing="1"/>
      </w:pPr>
      <w:r>
        <w:rPr>
          <w:b/>
          <w:bCs/>
        </w:rPr>
        <w:t>Bakgrund:</w:t>
      </w:r>
      <w:r>
        <w:t xml:space="preserve"> I rådets säkerhetsbestämmelser (artikel 10.6) står följande att läsa: "Om de säkerhetsskyddsklassificerade EU-uppgifterna skyddas med hjälp av kryptoprodukter, ska sådana produkter godkännas på följande sätt:</w:t>
      </w:r>
    </w:p>
    <w:p w14:paraId="2D718935" w14:textId="4706A181" w:rsidR="009B541C" w:rsidRDefault="00043CCF">
      <w:pPr>
        <w:spacing w:after="280" w:afterAutospacing="1"/>
      </w:pPr>
      <w:proofErr w:type="spellStart"/>
      <w:r>
        <w:t>Konfidentialiteten</w:t>
      </w:r>
      <w:proofErr w:type="spellEnd"/>
      <w:r>
        <w:t xml:space="preserve"> för uppgifter på säkerhetsskyddsklassificeringsnivån SECRET UE/EU SECRET och högre ska skyddas genom kryptoprodukter som har godkänts av rådet i egenskap av kryptogodkännande myndighet på rekommendation av säkerhetskommittén.</w:t>
      </w:r>
    </w:p>
    <w:p w14:paraId="2D718937" w14:textId="2A618BB3" w:rsidR="00043CCF" w:rsidRDefault="00043CCF">
      <w:pPr>
        <w:spacing w:after="280" w:afterAutospacing="1"/>
        <w:rPr>
          <w:noProof/>
        </w:rPr>
      </w:pPr>
      <w:r>
        <w:t>Detta interimistiska godkännande är under förutsättning att:</w:t>
      </w:r>
      <w:r>
        <w:br/>
        <w:t>a) godkännandet är giltigt tom 30 juni 2016.</w:t>
      </w:r>
      <w:r>
        <w:br/>
        <w:t>b) godkännandet inte ses som ett prejudikat för framtida beslut gällande EUs skydd av EU säkerhetsskyddsklassificerade information (EUCI) i elektronisk form – och i synnerhet gällande det elektroniska transmissionsskyddet av EUCI inom EU.</w:t>
      </w:r>
      <w:r>
        <w:br/>
        <w:t xml:space="preserve">c) kryptoprodukten får endast </w:t>
      </w:r>
      <w:proofErr w:type="gramStart"/>
      <w:r>
        <w:t>nyttjas</w:t>
      </w:r>
      <w:proofErr w:type="gramEnd"/>
      <w:r>
        <w:t xml:space="preserve"> för det specificerade ändamålet och i den specificerade versionen.</w:t>
      </w:r>
      <w:r>
        <w:br/>
        <w:t>d) Evaluerarens rekommendationer gällande produkten ska följas.</w:t>
      </w:r>
      <w:r>
        <w:br/>
        <w:t xml:space="preserve">e) transmissionen gäller endast information säkerhetsskyddsklassificerad upp till och inklusive SECRET UE/EU SECRET, </w:t>
      </w:r>
      <w:proofErr w:type="gramStart"/>
      <w:r>
        <w:t>ej</w:t>
      </w:r>
      <w:proofErr w:type="gramEnd"/>
      <w:r>
        <w:t xml:space="preserve"> högre.</w:t>
      </w:r>
    </w:p>
    <w:p w14:paraId="2D718938" w14:textId="77777777" w:rsidR="00043CCF" w:rsidRPr="00BD0D2D" w:rsidRDefault="00043CCF" w:rsidP="00043CCF">
      <w:pPr>
        <w:pStyle w:val="Rubrik1"/>
        <w:rPr>
          <w:lang w:val="fr-FR"/>
        </w:rPr>
      </w:pPr>
      <w:bookmarkStart w:id="16" w:name="_Toc431973506"/>
      <w:r w:rsidRPr="00BD0D2D">
        <w:rPr>
          <w:noProof/>
          <w:lang w:val="fr-FR"/>
        </w:rPr>
        <w:t>Projet de décision du Conseil établissant la position à prendre au nom de l'Union européenne au sein du Conseil des aspects des droits de propriété intellectuelle qui touchent au commerce et du Conseil général de l'Organisation mondiale du commerce au sujet de la demande des pays les moins avancés membres relative à une prorogation de la période de transition prévue à l'article 66, paragraphe 1, de l'accord sur les aspects des droits de propriété intellectuelle qui touchent au commerce pour certaines obligations en ce qui concerne les produits pharmaceutiques, et à une dérogation aux obligations énoncées à l'article 70, paragraphes 8 et 9, dudit accord</w:t>
      </w:r>
      <w:bookmarkEnd w:id="16"/>
    </w:p>
    <w:p w14:paraId="5FE803B3" w14:textId="77777777" w:rsidR="00892E22" w:rsidRDefault="00043CCF" w:rsidP="00043CCF">
      <w:pPr>
        <w:rPr>
          <w:lang w:val="en-US"/>
        </w:rPr>
      </w:pPr>
      <w:r>
        <w:rPr>
          <w:noProof/>
          <w:lang w:val="en-US"/>
        </w:rPr>
        <w:t>=</w:t>
      </w:r>
      <w:r>
        <w:rPr>
          <w:lang w:val="en-US"/>
        </w:rPr>
        <w:t>Adoption</w:t>
      </w:r>
    </w:p>
    <w:p w14:paraId="2D718939" w14:textId="3C8A967F" w:rsidR="00043CCF" w:rsidRDefault="00043CCF" w:rsidP="00043CCF">
      <w:pPr>
        <w:rPr>
          <w:lang w:val="en-US"/>
        </w:rPr>
      </w:pPr>
      <w:r>
        <w:rPr>
          <w:noProof/>
          <w:lang w:val="en-US"/>
        </w:rPr>
        <w:t>11939</w:t>
      </w:r>
      <w:r>
        <w:rPr>
          <w:lang w:val="en-US"/>
        </w:rPr>
        <w:t>/15 WTO 186 PI 59</w:t>
      </w:r>
      <w:r w:rsidR="0081221D">
        <w:rPr>
          <w:lang w:val="en-US"/>
        </w:rPr>
        <w:t xml:space="preserve"> </w:t>
      </w:r>
      <w:r>
        <w:rPr>
          <w:lang w:val="en-US"/>
        </w:rPr>
        <w:t>11916/15 WTO 185 PI 57</w:t>
      </w:r>
    </w:p>
    <w:p w14:paraId="2D71893A" w14:textId="77777777" w:rsidR="00043CCF" w:rsidRDefault="00043CCF" w:rsidP="00043CCF">
      <w:r>
        <w:rPr>
          <w:b/>
        </w:rPr>
        <w:t>Ansvarigt statsråd</w:t>
      </w:r>
      <w:r>
        <w:rPr>
          <w:b/>
        </w:rPr>
        <w:br/>
      </w:r>
      <w:r>
        <w:rPr>
          <w:noProof/>
        </w:rPr>
        <w:t>Mikael Damberg</w:t>
      </w:r>
    </w:p>
    <w:p w14:paraId="2D71893D" w14:textId="77777777" w:rsidR="00043CCF" w:rsidRDefault="00043CCF" w:rsidP="00043CCF">
      <w:r w:rsidRPr="00B44CE2">
        <w:rPr>
          <w:b/>
        </w:rPr>
        <w:t>Annotering</w:t>
      </w:r>
      <w:r>
        <w:rPr>
          <w:b/>
        </w:rPr>
        <w:br/>
      </w:r>
      <w:r>
        <w:rPr>
          <w:b/>
          <w:bCs/>
        </w:rPr>
        <w:t>Avsikt med behandlingen i rådet:</w:t>
      </w:r>
      <w:r>
        <w:t xml:space="preserve"> Rådet ska fatta ett rådsbeslut </w:t>
      </w:r>
    </w:p>
    <w:p w14:paraId="2D71893E" w14:textId="77777777" w:rsidR="009B541C" w:rsidRDefault="00043CCF">
      <w:pPr>
        <w:spacing w:after="280" w:afterAutospacing="1"/>
      </w:pPr>
      <w:r>
        <w:rPr>
          <w:b/>
          <w:bCs/>
        </w:rPr>
        <w:t>Hur regeringen ställer sig till den blivande A-punkten:</w:t>
      </w:r>
      <w:r>
        <w:t xml:space="preserve"> Regeringen avser att rösta ja. </w:t>
      </w:r>
    </w:p>
    <w:p w14:paraId="2D718941" w14:textId="736BC625" w:rsidR="00043CCF" w:rsidRDefault="00043CCF">
      <w:pPr>
        <w:spacing w:after="280" w:afterAutospacing="1"/>
        <w:rPr>
          <w:noProof/>
        </w:rPr>
      </w:pPr>
      <w:r>
        <w:rPr>
          <w:b/>
          <w:bCs/>
        </w:rPr>
        <w:t xml:space="preserve">Bakgrund: </w:t>
      </w:r>
      <w:r>
        <w:t xml:space="preserve">Vid </w:t>
      </w:r>
      <w:proofErr w:type="spellStart"/>
      <w:r>
        <w:t>TRIPs</w:t>
      </w:r>
      <w:proofErr w:type="spellEnd"/>
      <w:r>
        <w:t xml:space="preserve">-rådet i WTO i februari krävde Bangladesh på MUL:s vägnar en förlängning av det s.k. läkemedelsundantaget för </w:t>
      </w:r>
      <w:proofErr w:type="spellStart"/>
      <w:r>
        <w:t>TRIPs</w:t>
      </w:r>
      <w:proofErr w:type="spellEnd"/>
      <w:r>
        <w:t xml:space="preserve"> för MUL. Detta förlängda undantag var ett viktigt komplement till det allmänna undantag från att tillämpa </w:t>
      </w:r>
      <w:proofErr w:type="spellStart"/>
      <w:r>
        <w:t>TRIPs-avtalet</w:t>
      </w:r>
      <w:proofErr w:type="spellEnd"/>
      <w:r>
        <w:t xml:space="preserve"> som MUL redan </w:t>
      </w:r>
      <w:proofErr w:type="gramStart"/>
      <w:r>
        <w:t>åtnjuter</w:t>
      </w:r>
      <w:proofErr w:type="gramEnd"/>
      <w:r>
        <w:t xml:space="preserve"> till och med 2021, och MUL ansåg att de behövdes för att åtgärda hälsotillståndet i många MUL (bl.a. HIV). Den förlängda övergångsperioden och undantagen </w:t>
      </w:r>
      <w:r>
        <w:lastRenderedPageBreak/>
        <w:t xml:space="preserve">borde dessutom gälla så länge berörda länder hade MUL-status. </w:t>
      </w:r>
      <w:proofErr w:type="gramStart"/>
      <w:r>
        <w:t>KOM</w:t>
      </w:r>
      <w:proofErr w:type="gramEnd"/>
      <w:r>
        <w:t xml:space="preserve"> </w:t>
      </w:r>
      <w:proofErr w:type="gramStart"/>
      <w:r>
        <w:t>har</w:t>
      </w:r>
      <w:proofErr w:type="gramEnd"/>
      <w:r>
        <w:t xml:space="preserve"> föreslagit att MUL:s begäran skall bifallas vid </w:t>
      </w:r>
      <w:proofErr w:type="spellStart"/>
      <w:r>
        <w:t>TRIPs</w:t>
      </w:r>
      <w:proofErr w:type="spellEnd"/>
      <w:r>
        <w:t xml:space="preserve">-rådet i oktober, med motiveringen att det skulle ge stora politiska vinster och knappast kosta EU:s läkemedelsindustri något. </w:t>
      </w:r>
    </w:p>
    <w:p w14:paraId="2D718942" w14:textId="77777777" w:rsidR="00043CCF" w:rsidRDefault="00043CCF" w:rsidP="00043CCF">
      <w:pPr>
        <w:pStyle w:val="Rubrik1"/>
      </w:pPr>
      <w:bookmarkStart w:id="17" w:name="_Toc431973507"/>
      <w:r>
        <w:rPr>
          <w:noProof/>
        </w:rPr>
        <w:t>Relations avec le Kazakhstan</w:t>
      </w:r>
      <w:bookmarkEnd w:id="17"/>
    </w:p>
    <w:p w14:paraId="26BE94DE" w14:textId="77777777" w:rsidR="00892E22" w:rsidRPr="00BD0D2D" w:rsidRDefault="00043CCF" w:rsidP="00043CCF">
      <w:pPr>
        <w:rPr>
          <w:lang w:val="fr-FR"/>
        </w:rPr>
      </w:pPr>
      <w:r w:rsidRPr="00BD0D2D">
        <w:rPr>
          <w:noProof/>
          <w:lang w:val="fr-FR"/>
        </w:rPr>
        <w:t>–</w:t>
      </w:r>
      <w:r w:rsidRPr="00BD0D2D">
        <w:rPr>
          <w:lang w:val="fr-FR"/>
        </w:rPr>
        <w:t>Décision du Conseil relative à la signature, au nom de l'Union Européenne, et à l'application provisoire de l'accord de partenariat et de coopération renforcé</w:t>
      </w:r>
      <w:r w:rsidRPr="00BD0D2D">
        <w:rPr>
          <w:lang w:val="fr-FR"/>
        </w:rPr>
        <w:br/>
        <w:t>entre l'Union Européenne et ses États membres, d'une part, et la République du Kazakhstan, d'autre part</w:t>
      </w:r>
    </w:p>
    <w:p w14:paraId="2D718943" w14:textId="6B8BC53A" w:rsidR="00043CCF" w:rsidRPr="00BD0D2D" w:rsidRDefault="00043CCF" w:rsidP="00043CCF">
      <w:pPr>
        <w:rPr>
          <w:lang w:val="fr-FR"/>
        </w:rPr>
      </w:pPr>
      <w:r w:rsidRPr="00BD0D2D">
        <w:rPr>
          <w:noProof/>
          <w:lang w:val="fr-FR"/>
        </w:rPr>
        <w:t>12415</w:t>
      </w:r>
      <w:r w:rsidRPr="00BD0D2D">
        <w:rPr>
          <w:lang w:val="fr-FR"/>
        </w:rPr>
        <w:t>/1/15 REV 1 COEST 289</w:t>
      </w:r>
      <w:r w:rsidR="00053683" w:rsidRPr="00BD0D2D">
        <w:rPr>
          <w:lang w:val="fr-FR"/>
        </w:rPr>
        <w:t xml:space="preserve"> </w:t>
      </w:r>
      <w:r w:rsidRPr="00BD0D2D">
        <w:rPr>
          <w:lang w:val="fr-FR"/>
        </w:rPr>
        <w:t>9445/15 COEST 162</w:t>
      </w:r>
      <w:r w:rsidR="00053683" w:rsidRPr="00BD0D2D">
        <w:rPr>
          <w:lang w:val="fr-FR"/>
        </w:rPr>
        <w:t xml:space="preserve"> </w:t>
      </w:r>
      <w:r w:rsidRPr="00BD0D2D">
        <w:rPr>
          <w:lang w:val="fr-FR"/>
        </w:rPr>
        <w:t>9452/15 COEST 163+ COR 1+ COR 2 (</w:t>
      </w:r>
      <w:proofErr w:type="spellStart"/>
      <w:r w:rsidRPr="00BD0D2D">
        <w:rPr>
          <w:lang w:val="fr-FR"/>
        </w:rPr>
        <w:t>pl</w:t>
      </w:r>
      <w:proofErr w:type="spellEnd"/>
      <w:r w:rsidRPr="00BD0D2D">
        <w:rPr>
          <w:lang w:val="fr-FR"/>
        </w:rPr>
        <w:t>)</w:t>
      </w:r>
    </w:p>
    <w:p w14:paraId="2D718944" w14:textId="77777777" w:rsidR="00043CCF" w:rsidRDefault="00043CCF" w:rsidP="00043CCF">
      <w:r>
        <w:rPr>
          <w:b/>
        </w:rPr>
        <w:t>Ansvarigt statsråd</w:t>
      </w:r>
      <w:r>
        <w:rPr>
          <w:b/>
        </w:rPr>
        <w:br/>
      </w:r>
      <w:r>
        <w:rPr>
          <w:noProof/>
        </w:rPr>
        <w:t>Margot Wallström</w:t>
      </w:r>
    </w:p>
    <w:p w14:paraId="2D718946" w14:textId="77777777" w:rsidR="00043CCF" w:rsidRPr="00643D86" w:rsidRDefault="00043CCF" w:rsidP="00043CCF">
      <w:r w:rsidRPr="00643D86">
        <w:rPr>
          <w:b/>
        </w:rPr>
        <w:t>Tidigare behandling vid rådsmöte</w:t>
      </w:r>
      <w:r>
        <w:rPr>
          <w:b/>
        </w:rPr>
        <w:br/>
      </w:r>
      <w:r>
        <w:rPr>
          <w:noProof/>
        </w:rPr>
        <w:t>2011-05-23</w:t>
      </w:r>
    </w:p>
    <w:p w14:paraId="2D71894A" w14:textId="090F8261" w:rsidR="009B541C" w:rsidRDefault="00043CCF" w:rsidP="00053683">
      <w:r w:rsidRPr="00B44CE2">
        <w:rPr>
          <w:b/>
        </w:rPr>
        <w:t>Annotering</w:t>
      </w:r>
      <w:r>
        <w:rPr>
          <w:b/>
        </w:rPr>
        <w:br/>
      </w:r>
      <w:r>
        <w:rPr>
          <w:b/>
          <w:bCs/>
        </w:rPr>
        <w:t xml:space="preserve">Avsikt med behandlingen i </w:t>
      </w:r>
      <w:proofErr w:type="spellStart"/>
      <w:proofErr w:type="gramStart"/>
      <w:r>
        <w:rPr>
          <w:b/>
          <w:bCs/>
        </w:rPr>
        <w:t>rådet</w:t>
      </w:r>
      <w:r>
        <w:t>:Behandlingen</w:t>
      </w:r>
      <w:proofErr w:type="spellEnd"/>
      <w:proofErr w:type="gramEnd"/>
      <w:r>
        <w:t xml:space="preserve"> i rådet avser ett beslut om undertecknande från EU:s sida och provisorisk tillämpning av Partnerskaps och samarbetsavtalet mellan EU och medlemsstaterna å ena sidan och Kazakstan å andra sidan. </w:t>
      </w:r>
    </w:p>
    <w:p w14:paraId="2D71894C" w14:textId="5EAC50EF" w:rsidR="009B541C" w:rsidRDefault="00043CCF">
      <w:pPr>
        <w:spacing w:after="280" w:afterAutospacing="1"/>
      </w:pPr>
      <w:r>
        <w:rPr>
          <w:b/>
          <w:bCs/>
        </w:rPr>
        <w:t xml:space="preserve">Hur regeringen ställer sig till den blivande A-punkten: </w:t>
      </w:r>
      <w:r>
        <w:t>Regeringen avser rösta ja.</w:t>
      </w:r>
    </w:p>
    <w:p w14:paraId="2D71894E" w14:textId="702A1CD6" w:rsidR="009B541C" w:rsidRDefault="00043CCF">
      <w:pPr>
        <w:spacing w:after="280" w:afterAutospacing="1"/>
      </w:pPr>
      <w:r>
        <w:rPr>
          <w:b/>
          <w:bCs/>
        </w:rPr>
        <w:t>Bakgrund:</w:t>
      </w:r>
      <w:r w:rsidR="00892E22">
        <w:rPr>
          <w:b/>
          <w:bCs/>
        </w:rPr>
        <w:t xml:space="preserve"> </w:t>
      </w:r>
      <w:r>
        <w:t>Diskussionerna om ett utökat Partnerskaps- och samarbetsavtal med Kazakstan inleddes i augusti 2010. Den nionde förhandlingsrundan genomfördes i Astana 9-11 september 2014 och avslutades 9 oktober 2014. Texterna har därefter genomgått en juridisk granskning och är paraferade. En diskussion har förts om huruvida avtalet ska gälla enbart mellan EU och Kazakstan eller om det ska vara ett blandat avtal, dvs. ett avtal där även medlemsstaterna ingår som parter. Det bestämdes att det ska vara ett blandat avtal eftersom avtalet omfattar områden där befogenheten är delad mellan EU och medlemsstaterna.</w:t>
      </w:r>
    </w:p>
    <w:p w14:paraId="2D718950" w14:textId="354447C7" w:rsidR="00043CCF" w:rsidRDefault="00043CCF">
      <w:pPr>
        <w:spacing w:after="280" w:afterAutospacing="1"/>
        <w:rPr>
          <w:noProof/>
        </w:rPr>
      </w:pPr>
      <w:r>
        <w:t xml:space="preserve">Behandlingen i rådet avser i detta skede beslut om undertecknande från EU:s sida samt provisorisk tillämpning av avtalet. Medlemsstaterna kommer att underteckna avtalet vid ett senare skede. </w:t>
      </w:r>
    </w:p>
    <w:p w14:paraId="2D718951" w14:textId="77777777" w:rsidR="00043CCF" w:rsidRPr="00BD0D2D" w:rsidRDefault="00043CCF" w:rsidP="00043CCF">
      <w:pPr>
        <w:pStyle w:val="Rubrik1"/>
        <w:rPr>
          <w:lang w:val="fr-FR"/>
        </w:rPr>
      </w:pPr>
      <w:bookmarkStart w:id="18" w:name="_Toc431973508"/>
      <w:r w:rsidRPr="00BD0D2D">
        <w:rPr>
          <w:noProof/>
          <w:lang w:val="fr-FR"/>
        </w:rPr>
        <w:t>Adoption d'une Décision du Conseil établissant la position à prendre au nom de l'Union européenne au sein du comité mixte institué par l'accord entre l'Union européenne et la République d'Arménie visant à faciliter la délivrance de visas, concernant l'adoption de son règlement intérieur</w:t>
      </w:r>
      <w:bookmarkEnd w:id="18"/>
    </w:p>
    <w:p w14:paraId="2D718952" w14:textId="692197B7" w:rsidR="00043CCF" w:rsidRPr="00BD0D2D" w:rsidRDefault="00043CCF" w:rsidP="00043CCF">
      <w:r w:rsidRPr="00BD0D2D">
        <w:rPr>
          <w:noProof/>
        </w:rPr>
        <w:t>11930</w:t>
      </w:r>
      <w:r w:rsidRPr="00BD0D2D">
        <w:t>/15 VISA 275 COEST 267 11770/15 VISA 267 COEST 263</w:t>
      </w:r>
    </w:p>
    <w:p w14:paraId="2D718953" w14:textId="77777777" w:rsidR="00043CCF" w:rsidRDefault="00043CCF" w:rsidP="00043CCF">
      <w:r>
        <w:rPr>
          <w:b/>
        </w:rPr>
        <w:t>Ansvarigt statsråd</w:t>
      </w:r>
      <w:r>
        <w:rPr>
          <w:b/>
        </w:rPr>
        <w:br/>
      </w:r>
      <w:r>
        <w:rPr>
          <w:noProof/>
        </w:rPr>
        <w:t>Morgan Johansson</w:t>
      </w:r>
    </w:p>
    <w:p w14:paraId="2D718957" w14:textId="5EA8679F" w:rsidR="009B541C" w:rsidRDefault="00043CCF" w:rsidP="00663DC2">
      <w:r w:rsidRPr="00B44CE2">
        <w:rPr>
          <w:b/>
        </w:rPr>
        <w:t>Annotering</w:t>
      </w:r>
      <w:r>
        <w:rPr>
          <w:b/>
        </w:rPr>
        <w:br/>
      </w:r>
      <w:r>
        <w:rPr>
          <w:b/>
          <w:bCs/>
        </w:rPr>
        <w:t>Avsikt med behandlingen i rådet:</w:t>
      </w:r>
      <w:r>
        <w:t xml:space="preserve"> Antagande av gemensam position.</w:t>
      </w:r>
    </w:p>
    <w:p w14:paraId="2D718958" w14:textId="77777777" w:rsidR="009B541C" w:rsidRDefault="00043CCF">
      <w:pPr>
        <w:spacing w:after="280" w:afterAutospacing="1"/>
      </w:pPr>
      <w:r>
        <w:rPr>
          <w:b/>
          <w:bCs/>
        </w:rPr>
        <w:lastRenderedPageBreak/>
        <w:t xml:space="preserve">Hur regeringen ställer sig till den blivande A-punkten: </w:t>
      </w:r>
      <w:r>
        <w:t>Regeringen avser rösta ja till förslaget.</w:t>
      </w:r>
    </w:p>
    <w:p w14:paraId="2D71895A" w14:textId="56B3A577" w:rsidR="00043CCF" w:rsidRDefault="00043CCF">
      <w:pPr>
        <w:spacing w:after="280" w:afterAutospacing="1"/>
        <w:rPr>
          <w:noProof/>
        </w:rPr>
      </w:pPr>
      <w:r>
        <w:rPr>
          <w:b/>
          <w:bCs/>
        </w:rPr>
        <w:t xml:space="preserve">Bakgrund: </w:t>
      </w:r>
      <w:r>
        <w:t xml:space="preserve">Viseringsförenklingsavtalet (VFA) mellan EU och Armenien trädde i kraft den 1 januari 2014. Genom avtalets artikel 12 inrättas en gemensam expertkommitté för att </w:t>
      </w:r>
      <w:proofErr w:type="spellStart"/>
      <w:r>
        <w:t>att</w:t>
      </w:r>
      <w:proofErr w:type="spellEnd"/>
      <w:r>
        <w:t xml:space="preserve"> </w:t>
      </w:r>
      <w:proofErr w:type="gramStart"/>
      <w:r>
        <w:t>tillse</w:t>
      </w:r>
      <w:proofErr w:type="gramEnd"/>
      <w:r>
        <w:t xml:space="preserve"> och övervaka genomförandet av viseringsförenklingsavtalet. Inom ramen för denna kommitté ska dess arbetsordning fastställas gemensamt av EU och Armenien. Inför ett gemensamt beslut om en arbetsordning måste EU formellt fatta beslut om en gemensam EU-position. Utkastet till arbetsordning följer en standardiserad utformning. </w:t>
      </w:r>
    </w:p>
    <w:p w14:paraId="2D71895B" w14:textId="77777777" w:rsidR="00043CCF" w:rsidRPr="00BD0D2D" w:rsidRDefault="00043CCF" w:rsidP="00043CCF">
      <w:pPr>
        <w:pStyle w:val="Rubrik1"/>
        <w:rPr>
          <w:lang w:val="fr-FR"/>
        </w:rPr>
      </w:pPr>
      <w:bookmarkStart w:id="19" w:name="_Toc431973509"/>
      <w:r w:rsidRPr="00BD0D2D">
        <w:rPr>
          <w:noProof/>
          <w:lang w:val="fr-FR"/>
        </w:rPr>
        <w:t>Coordination stratégique des travaux des instances préparatoires du Conseil en matière de migration</w:t>
      </w:r>
      <w:bookmarkEnd w:id="19"/>
    </w:p>
    <w:p w14:paraId="2D71895C" w14:textId="14B8A593" w:rsidR="00043CCF" w:rsidRPr="00BD0D2D" w:rsidRDefault="00043CCF" w:rsidP="00043CCF">
      <w:r w:rsidRPr="00BD0D2D">
        <w:rPr>
          <w:noProof/>
        </w:rPr>
        <w:t>12516</w:t>
      </w:r>
      <w:r w:rsidRPr="00BD0D2D">
        <w:t xml:space="preserve">/15 JAI 699 ASIM 99 RELEX 761 POLGEN 143 </w:t>
      </w:r>
    </w:p>
    <w:p w14:paraId="2D71895D" w14:textId="77777777" w:rsidR="00043CCF" w:rsidRDefault="00043CCF" w:rsidP="00043CCF">
      <w:r>
        <w:rPr>
          <w:b/>
        </w:rPr>
        <w:t>Ansvarigt statsråd</w:t>
      </w:r>
      <w:r>
        <w:rPr>
          <w:b/>
        </w:rPr>
        <w:br/>
      </w:r>
      <w:r>
        <w:rPr>
          <w:noProof/>
        </w:rPr>
        <w:t>Morgan Johansson</w:t>
      </w:r>
    </w:p>
    <w:p w14:paraId="2D718961" w14:textId="3CAC9CE5" w:rsidR="009B541C" w:rsidRDefault="00043CCF" w:rsidP="00663DC2">
      <w:r w:rsidRPr="00B44CE2">
        <w:rPr>
          <w:b/>
        </w:rPr>
        <w:t>Annotering</w:t>
      </w:r>
      <w:r>
        <w:rPr>
          <w:b/>
        </w:rPr>
        <w:br/>
      </w:r>
      <w:r>
        <w:rPr>
          <w:b/>
          <w:bCs/>
        </w:rPr>
        <w:t>Avsikt med behandlingen i rådet:</w:t>
      </w:r>
      <w:r>
        <w:t xml:space="preserve"> Rådet föreslås godkänna dokumentet om strategisk samordning av arbetet i de rådsförberedande grupperna på området för migration. Rådet föreslås inbjuda det inkommande trio-ordförandeskapet att förbereda ett första trio-dokument om strategisk samordning av det kommande arbetet.</w:t>
      </w:r>
    </w:p>
    <w:p w14:paraId="2D718962" w14:textId="77777777" w:rsidR="009B541C" w:rsidRDefault="00043CCF">
      <w:pPr>
        <w:spacing w:after="280" w:afterAutospacing="1"/>
      </w:pPr>
      <w:r>
        <w:rPr>
          <w:b/>
          <w:bCs/>
        </w:rPr>
        <w:t>Hur regeringen ställer sig till den blivande A-punkten:</w:t>
      </w:r>
      <w:r>
        <w:t xml:space="preserve"> regeringen avser rösta ja till förslagen.  </w:t>
      </w:r>
    </w:p>
    <w:p w14:paraId="2D718964" w14:textId="240C3D5B" w:rsidR="00043CCF" w:rsidRDefault="00043CCF">
      <w:pPr>
        <w:spacing w:after="280" w:afterAutospacing="1"/>
        <w:rPr>
          <w:noProof/>
        </w:rPr>
      </w:pPr>
      <w:r>
        <w:rPr>
          <w:b/>
          <w:bCs/>
        </w:rPr>
        <w:t xml:space="preserve">Bakgrund: </w:t>
      </w:r>
      <w:r>
        <w:t>I enlighet med de förslag om arbetsordningen för de rådsförberedande grupperna på migrationsområdet som presenterades under våren 2015 (6589/15) kallade Lettland under sitt ordförandeskap till ett gemensamt möte SCIFA/HLWG, i syfte att stärka samordningen kring dagordningarna och diskussionerna i de båda grupperna. Luxemburg i samarbete med härnäst inkommande trio-ordförandeskap har fortsatt på inslagen väg och presenterat ett utkast med riktlinjer för ett gemensamt strategiskt papper för ytterligare integrering av den interna och den externa dimensionen av migrationspolitiken. Sverige har gett sitt stöd till en strategisk och mer långsiktig samordning av arbetet i de på migrationsområdet relevanta rådsförberedande grupperna.</w:t>
      </w:r>
    </w:p>
    <w:p w14:paraId="2D718965" w14:textId="77777777" w:rsidR="00043CCF" w:rsidRPr="00BD0D2D" w:rsidRDefault="00043CCF" w:rsidP="00043CCF">
      <w:pPr>
        <w:pStyle w:val="Rubrik1"/>
        <w:rPr>
          <w:lang w:val="fr-FR"/>
        </w:rPr>
      </w:pPr>
      <w:bookmarkStart w:id="20" w:name="_Toc431973510"/>
      <w:r w:rsidRPr="00BD0D2D">
        <w:rPr>
          <w:noProof/>
          <w:lang w:val="fr-FR"/>
        </w:rPr>
        <w:t>Proposition de décision du Conseil soumettant le 5-(2-aminopropyl)indole à des mesures de contrôle</w:t>
      </w:r>
      <w:bookmarkEnd w:id="20"/>
    </w:p>
    <w:p w14:paraId="2D718966" w14:textId="515735FE" w:rsidR="00043CCF" w:rsidRPr="00BD0D2D" w:rsidRDefault="00043CCF" w:rsidP="00043CCF">
      <w:r w:rsidRPr="00BD0D2D">
        <w:rPr>
          <w:noProof/>
        </w:rPr>
        <w:t>12637</w:t>
      </w:r>
      <w:r w:rsidRPr="00BD0D2D">
        <w:t>/15 CORDROGUE 77 SAN 318</w:t>
      </w:r>
      <w:r w:rsidR="00053683" w:rsidRPr="00BD0D2D">
        <w:t xml:space="preserve"> </w:t>
      </w:r>
      <w:r w:rsidRPr="00BD0D2D">
        <w:t>10012/15 CORDROGUE 51</w:t>
      </w:r>
    </w:p>
    <w:p w14:paraId="2D718967" w14:textId="77777777" w:rsidR="00043CCF" w:rsidRDefault="00043CCF" w:rsidP="00043CCF">
      <w:r>
        <w:rPr>
          <w:b/>
        </w:rPr>
        <w:t>Ansvarigt statsråd</w:t>
      </w:r>
      <w:r>
        <w:rPr>
          <w:b/>
        </w:rPr>
        <w:br/>
      </w:r>
      <w:r>
        <w:rPr>
          <w:noProof/>
        </w:rPr>
        <w:t>Gabriel Wikström</w:t>
      </w:r>
    </w:p>
    <w:p w14:paraId="2D71896A" w14:textId="77777777" w:rsidR="00043CCF" w:rsidRDefault="00043CCF" w:rsidP="00043CCF">
      <w:r w:rsidRPr="00B44CE2">
        <w:rPr>
          <w:b/>
        </w:rPr>
        <w:t>Annotering</w:t>
      </w:r>
      <w:r>
        <w:rPr>
          <w:b/>
        </w:rPr>
        <w:br/>
      </w:r>
      <w:r>
        <w:rPr>
          <w:b/>
          <w:bCs/>
        </w:rPr>
        <w:t xml:space="preserve">Avsikt med behandlingen i rådet: </w:t>
      </w:r>
      <w:r w:rsidRPr="00892E22">
        <w:rPr>
          <w:bCs/>
        </w:rPr>
        <w:t>Att godkänna att den nya </w:t>
      </w:r>
      <w:proofErr w:type="spellStart"/>
      <w:r w:rsidRPr="00892E22">
        <w:rPr>
          <w:bCs/>
        </w:rPr>
        <w:t>psykoaktiva</w:t>
      </w:r>
      <w:proofErr w:type="spellEnd"/>
      <w:r w:rsidRPr="00892E22">
        <w:rPr>
          <w:bCs/>
        </w:rPr>
        <w:t xml:space="preserve"> substansen ska underställas kontrollåtgärder inom unionen</w:t>
      </w:r>
      <w:r>
        <w:t xml:space="preserve">  </w:t>
      </w:r>
    </w:p>
    <w:p w14:paraId="2D71896B" w14:textId="77777777" w:rsidR="009B541C" w:rsidRDefault="00043CCF">
      <w:pPr>
        <w:spacing w:after="280" w:afterAutospacing="1"/>
      </w:pPr>
      <w:r>
        <w:rPr>
          <w:b/>
          <w:bCs/>
        </w:rPr>
        <w:t xml:space="preserve">Hur regeringen ställer sig till den blivande A-punkten: </w:t>
      </w:r>
      <w:r w:rsidRPr="00892E22">
        <w:rPr>
          <w:bCs/>
        </w:rPr>
        <w:t>avser stödja förslaget</w:t>
      </w:r>
      <w:r>
        <w:t xml:space="preserve">  </w:t>
      </w:r>
    </w:p>
    <w:p w14:paraId="2D71896C" w14:textId="77777777" w:rsidR="009B541C" w:rsidRPr="00892E22" w:rsidRDefault="00043CCF">
      <w:pPr>
        <w:spacing w:after="280" w:afterAutospacing="1"/>
      </w:pPr>
      <w:r>
        <w:rPr>
          <w:b/>
          <w:bCs/>
        </w:rPr>
        <w:lastRenderedPageBreak/>
        <w:t xml:space="preserve">Bakgrund: </w:t>
      </w:r>
      <w:r w:rsidRPr="00892E22">
        <w:rPr>
          <w:bCs/>
        </w:rPr>
        <w:t xml:space="preserve">Ett ökande antal nya </w:t>
      </w:r>
      <w:proofErr w:type="spellStart"/>
      <w:r w:rsidRPr="00892E22">
        <w:rPr>
          <w:bCs/>
        </w:rPr>
        <w:t>psykoaktiva</w:t>
      </w:r>
      <w:proofErr w:type="spellEnd"/>
      <w:r w:rsidRPr="00892E22">
        <w:rPr>
          <w:bCs/>
        </w:rPr>
        <w:t xml:space="preserve"> substanser som ger samma effekter som de ämnen som kontrolleras av FN-konventionerna som narkotika marknadsförs lagligt på den inre marknaden. Kommissionen föreslår att den nya </w:t>
      </w:r>
      <w:proofErr w:type="spellStart"/>
      <w:r w:rsidRPr="00892E22">
        <w:rPr>
          <w:bCs/>
        </w:rPr>
        <w:t>psykoaktiva</w:t>
      </w:r>
      <w:proofErr w:type="spellEnd"/>
      <w:r w:rsidRPr="00892E22">
        <w:rPr>
          <w:bCs/>
        </w:rPr>
        <w:t xml:space="preserve"> substansen underställs kontrollåtgärder inom unionen</w:t>
      </w:r>
    </w:p>
    <w:p w14:paraId="2CF7D065" w14:textId="6D1880AA" w:rsidR="00043CCF" w:rsidRPr="00043CCF" w:rsidRDefault="00043CCF" w:rsidP="00043CCF">
      <w:pPr>
        <w:pStyle w:val="Rubrik1"/>
        <w:rPr>
          <w:noProof/>
        </w:rPr>
      </w:pPr>
      <w:bookmarkStart w:id="21" w:name="_Toc431973511"/>
      <w:r w:rsidRPr="00043CCF">
        <w:rPr>
          <w:noProof/>
        </w:rPr>
        <w:t>Proposition de décision du Conseil soumettant le 4-iodo-2,5-diméthoxy-N-(2-méthoxybenzyl)phénéthylamine (25I-NBOMe), le 3,4-dichloro-N-[[1-(diméthylamino)cyclohéxyl]méthyl]benzamide (AH-7921), la 3,4-méthylènedioxypyrovalérone (MDPV) et la 2-(3-méthoxyphényl)-2-(éthylamino)cyclohéxanone (méthoxétamine) à des mesures de contrôle</w:t>
      </w:r>
      <w:bookmarkEnd w:id="21"/>
    </w:p>
    <w:p w14:paraId="3A027155" w14:textId="77777777" w:rsidR="00043CCF" w:rsidRPr="00043CCF" w:rsidRDefault="00043CCF" w:rsidP="00043CCF">
      <w:pPr>
        <w:shd w:val="clear" w:color="auto" w:fill="FFFFFF"/>
        <w:spacing w:after="0" w:line="240" w:lineRule="auto"/>
        <w:ind w:left="2805"/>
        <w:textAlignment w:val="top"/>
        <w:rPr>
          <w:rFonts w:ascii="Arial!important" w:eastAsia="Times New Roman" w:hAnsi="Arial!important"/>
          <w:color w:val="676767"/>
          <w:sz w:val="16"/>
          <w:szCs w:val="16"/>
          <w:lang w:eastAsia="sv-SE"/>
        </w:rPr>
      </w:pPr>
    </w:p>
    <w:p w14:paraId="67352558" w14:textId="539A45AD" w:rsidR="00043CCF" w:rsidRPr="00BD0D2D" w:rsidRDefault="00043CCF" w:rsidP="00892E22">
      <w:pPr>
        <w:shd w:val="clear" w:color="auto" w:fill="FFFFFF"/>
        <w:spacing w:after="0" w:line="240" w:lineRule="auto"/>
        <w:ind w:left="709"/>
        <w:textAlignment w:val="top"/>
        <w:rPr>
          <w:noProof/>
        </w:rPr>
      </w:pPr>
      <w:r w:rsidRPr="00BD0D2D">
        <w:rPr>
          <w:noProof/>
        </w:rPr>
        <w:t>12634/15 CORDROGUE 75 SAN 316 10011/15 CORDROGUE 50</w:t>
      </w:r>
      <w:r w:rsidRPr="00BD0D2D">
        <w:rPr>
          <w:noProof/>
        </w:rPr>
        <w:br/>
      </w:r>
    </w:p>
    <w:p w14:paraId="697DC71B" w14:textId="77777777" w:rsidR="00892E22" w:rsidRDefault="00892E22" w:rsidP="00892E22">
      <w:r>
        <w:rPr>
          <w:b/>
        </w:rPr>
        <w:t>Ansvarigt statsråd</w:t>
      </w:r>
      <w:r>
        <w:rPr>
          <w:b/>
        </w:rPr>
        <w:br/>
      </w:r>
      <w:r>
        <w:rPr>
          <w:noProof/>
        </w:rPr>
        <w:t>Gabriel Wikström</w:t>
      </w:r>
    </w:p>
    <w:p w14:paraId="59CDD91D" w14:textId="77777777" w:rsidR="00892E22" w:rsidRPr="00892E22" w:rsidRDefault="00892E22" w:rsidP="00892E22">
      <w:pPr>
        <w:shd w:val="clear" w:color="auto" w:fill="FFFFFF"/>
        <w:spacing w:after="0" w:line="240" w:lineRule="auto"/>
        <w:ind w:left="709"/>
        <w:textAlignment w:val="top"/>
        <w:rPr>
          <w:noProof/>
        </w:rPr>
      </w:pPr>
      <w:r w:rsidRPr="00892E22">
        <w:rPr>
          <w:b/>
          <w:noProof/>
        </w:rPr>
        <w:t>Avsikt med behandlingen i rådet</w:t>
      </w:r>
      <w:r w:rsidRPr="00892E22">
        <w:rPr>
          <w:noProof/>
        </w:rPr>
        <w:t xml:space="preserve">: Att godkänna att den nya psykoaktiva substansen underställs kontrollåtgärder inom unionen </w:t>
      </w:r>
    </w:p>
    <w:p w14:paraId="490F062D" w14:textId="77777777" w:rsidR="00892E22" w:rsidRPr="00892E22" w:rsidRDefault="00892E22" w:rsidP="00892E22">
      <w:pPr>
        <w:shd w:val="clear" w:color="auto" w:fill="FFFFFF"/>
        <w:spacing w:before="100" w:beforeAutospacing="1" w:after="100" w:afterAutospacing="1" w:line="240" w:lineRule="auto"/>
        <w:ind w:left="709"/>
        <w:textAlignment w:val="top"/>
        <w:rPr>
          <w:noProof/>
        </w:rPr>
      </w:pPr>
      <w:r w:rsidRPr="00892E22">
        <w:rPr>
          <w:b/>
          <w:noProof/>
        </w:rPr>
        <w:t>Hur regeringen ställer sig till den blivande A-punkten:</w:t>
      </w:r>
      <w:r w:rsidRPr="00892E22">
        <w:rPr>
          <w:noProof/>
        </w:rPr>
        <w:t xml:space="preserve"> Avser stödja förslaget</w:t>
      </w:r>
    </w:p>
    <w:p w14:paraId="2D71896D" w14:textId="66EE37AB" w:rsidR="00043CCF" w:rsidRDefault="00892E22" w:rsidP="00892E22">
      <w:pPr>
        <w:shd w:val="clear" w:color="auto" w:fill="FFFFFF"/>
        <w:spacing w:before="100" w:beforeAutospacing="1" w:after="100" w:afterAutospacing="1" w:line="240" w:lineRule="auto"/>
        <w:ind w:left="709"/>
        <w:textAlignment w:val="top"/>
        <w:rPr>
          <w:noProof/>
        </w:rPr>
      </w:pPr>
      <w:r w:rsidRPr="00892E22">
        <w:rPr>
          <w:b/>
          <w:noProof/>
        </w:rPr>
        <w:t>Bakgrund:</w:t>
      </w:r>
      <w:r w:rsidRPr="00892E22">
        <w:rPr>
          <w:noProof/>
        </w:rPr>
        <w:t xml:space="preserve"> Ett ökande antal nya psykoaktiva substanser som ger samma effekter som de ämnen som kontrolleras av FN konventionerna sprides lagligt på den inre marknaden. kommissionen föreslår att den nya psykoaktiva substansen underställs kontrollåtgärder inom unionen </w:t>
      </w:r>
    </w:p>
    <w:p w14:paraId="2D71896E" w14:textId="77777777" w:rsidR="00043CCF" w:rsidRPr="00BD0D2D" w:rsidRDefault="00043CCF" w:rsidP="00043CCF">
      <w:pPr>
        <w:pStyle w:val="Rubrik1"/>
        <w:rPr>
          <w:lang w:val="fr-FR"/>
        </w:rPr>
      </w:pPr>
      <w:bookmarkStart w:id="22" w:name="_Toc431973512"/>
      <w:r w:rsidRPr="00BD0D2D">
        <w:rPr>
          <w:noProof/>
          <w:lang w:val="fr-FR"/>
        </w:rPr>
        <w:t>Proposition de décision du Conseil soumettant le 4-methyl-5-(4-methylphenyl)-4,5-dihydrooxazol-2-amine (4,4'-DMAR) et 1 cyclohexyl-4-(1,2-diphenylethyl)piperazine (MT-45) à des mesures de contrôle</w:t>
      </w:r>
      <w:bookmarkEnd w:id="22"/>
    </w:p>
    <w:p w14:paraId="2D71896F" w14:textId="746D8AF5" w:rsidR="00043CCF" w:rsidRPr="00BD0D2D" w:rsidRDefault="00043CCF" w:rsidP="00043CCF">
      <w:r w:rsidRPr="00BD0D2D">
        <w:rPr>
          <w:noProof/>
        </w:rPr>
        <w:t>12638</w:t>
      </w:r>
      <w:r w:rsidRPr="00BD0D2D">
        <w:t>/15 CORDROGUE 78 SAN 319 10009/15 CORDROGUE 48</w:t>
      </w:r>
    </w:p>
    <w:p w14:paraId="2D718970" w14:textId="1538CE66" w:rsidR="00043CCF" w:rsidRDefault="00043CCF" w:rsidP="00043CCF">
      <w:r>
        <w:rPr>
          <w:b/>
        </w:rPr>
        <w:t>Ansvarigt statsråd</w:t>
      </w:r>
      <w:r>
        <w:rPr>
          <w:b/>
        </w:rPr>
        <w:br/>
      </w:r>
      <w:r w:rsidR="00663DC2">
        <w:t>Gabriel Wikström</w:t>
      </w:r>
    </w:p>
    <w:p w14:paraId="65CAA7DA" w14:textId="77777777" w:rsidR="007002AF" w:rsidRPr="007002AF" w:rsidRDefault="00043CCF" w:rsidP="007002AF">
      <w:pPr>
        <w:pStyle w:val="Normalwebb"/>
        <w:shd w:val="clear" w:color="auto" w:fill="FFFFFF"/>
        <w:ind w:left="714"/>
        <w:textAlignment w:val="top"/>
        <w:rPr>
          <w:rFonts w:eastAsia="Calibri"/>
          <w:sz w:val="22"/>
          <w:szCs w:val="22"/>
          <w:lang w:eastAsia="en-US"/>
        </w:rPr>
      </w:pPr>
      <w:r w:rsidRPr="007002AF">
        <w:rPr>
          <w:b/>
        </w:rPr>
        <w:t>Annotering</w:t>
      </w:r>
      <w:r w:rsidRPr="00663DC2">
        <w:rPr>
          <w:b/>
          <w:color w:val="FF0000"/>
        </w:rPr>
        <w:br/>
      </w:r>
      <w:r w:rsidR="007002AF" w:rsidRPr="007002AF">
        <w:rPr>
          <w:rFonts w:eastAsia="Calibri"/>
          <w:b/>
          <w:bCs/>
          <w:sz w:val="22"/>
          <w:szCs w:val="22"/>
          <w:lang w:eastAsia="en-US"/>
        </w:rPr>
        <w:t xml:space="preserve">Avsikt med behandlingen i </w:t>
      </w:r>
      <w:proofErr w:type="spellStart"/>
      <w:proofErr w:type="gramStart"/>
      <w:r w:rsidR="007002AF" w:rsidRPr="007002AF">
        <w:rPr>
          <w:rFonts w:eastAsia="Calibri"/>
          <w:b/>
          <w:bCs/>
          <w:sz w:val="22"/>
          <w:szCs w:val="22"/>
          <w:lang w:eastAsia="en-US"/>
        </w:rPr>
        <w:t>rådet</w:t>
      </w:r>
      <w:r w:rsidR="007002AF" w:rsidRPr="007002AF">
        <w:rPr>
          <w:rFonts w:eastAsia="Calibri"/>
          <w:bCs/>
          <w:sz w:val="22"/>
          <w:szCs w:val="22"/>
          <w:lang w:eastAsia="en-US"/>
        </w:rPr>
        <w:t>:</w:t>
      </w:r>
      <w:r w:rsidR="007002AF" w:rsidRPr="007002AF">
        <w:rPr>
          <w:rFonts w:eastAsia="Calibri"/>
          <w:sz w:val="22"/>
          <w:szCs w:val="22"/>
          <w:lang w:eastAsia="en-US"/>
        </w:rPr>
        <w:t>Att</w:t>
      </w:r>
      <w:proofErr w:type="spellEnd"/>
      <w:proofErr w:type="gramEnd"/>
      <w:r w:rsidR="007002AF" w:rsidRPr="007002AF">
        <w:rPr>
          <w:rFonts w:eastAsia="Calibri"/>
          <w:sz w:val="22"/>
          <w:szCs w:val="22"/>
          <w:lang w:eastAsia="en-US"/>
        </w:rPr>
        <w:t xml:space="preserve"> godkänna att de nya </w:t>
      </w:r>
      <w:proofErr w:type="spellStart"/>
      <w:r w:rsidR="007002AF" w:rsidRPr="007002AF">
        <w:rPr>
          <w:rFonts w:eastAsia="Calibri"/>
          <w:sz w:val="22"/>
          <w:szCs w:val="22"/>
          <w:lang w:eastAsia="en-US"/>
        </w:rPr>
        <w:t>psykoaktiva</w:t>
      </w:r>
      <w:proofErr w:type="spellEnd"/>
      <w:r w:rsidR="007002AF" w:rsidRPr="007002AF">
        <w:rPr>
          <w:rFonts w:eastAsia="Calibri"/>
          <w:sz w:val="22"/>
          <w:szCs w:val="22"/>
          <w:lang w:eastAsia="en-US"/>
        </w:rPr>
        <w:t xml:space="preserve"> substanserna 4-methyl-5-(4-methylphenyl)-4,5-dihydrooxazol-2-amine (4,4'-DMAR) och 1 cyclohexyl-4-(1,2-diphenylethyl)</w:t>
      </w:r>
      <w:proofErr w:type="spellStart"/>
      <w:r w:rsidR="007002AF" w:rsidRPr="007002AF">
        <w:rPr>
          <w:rFonts w:eastAsia="Calibri"/>
          <w:sz w:val="22"/>
          <w:szCs w:val="22"/>
          <w:lang w:eastAsia="en-US"/>
        </w:rPr>
        <w:t>piperazine</w:t>
      </w:r>
      <w:proofErr w:type="spellEnd"/>
      <w:r w:rsidR="007002AF" w:rsidRPr="007002AF">
        <w:rPr>
          <w:rFonts w:eastAsia="Calibri"/>
          <w:sz w:val="22"/>
          <w:szCs w:val="22"/>
          <w:lang w:eastAsia="en-US"/>
        </w:rPr>
        <w:t xml:space="preserve"> (MT-45) ska underställas kontrollåtgärder inom unionen </w:t>
      </w:r>
    </w:p>
    <w:p w14:paraId="2A964192" w14:textId="2D1CE4F7" w:rsidR="007002AF" w:rsidRPr="007002AF" w:rsidRDefault="007002AF" w:rsidP="007002AF">
      <w:pPr>
        <w:pStyle w:val="Normalwebb"/>
        <w:shd w:val="clear" w:color="auto" w:fill="FFFFFF"/>
        <w:ind w:left="714"/>
        <w:textAlignment w:val="top"/>
        <w:rPr>
          <w:rFonts w:eastAsia="Calibri"/>
          <w:b/>
          <w:sz w:val="22"/>
          <w:szCs w:val="22"/>
          <w:lang w:eastAsia="en-US"/>
        </w:rPr>
      </w:pPr>
      <w:r w:rsidRPr="007002AF">
        <w:rPr>
          <w:rFonts w:eastAsia="Calibri"/>
          <w:b/>
          <w:bCs/>
          <w:sz w:val="22"/>
          <w:szCs w:val="22"/>
          <w:lang w:eastAsia="en-US"/>
        </w:rPr>
        <w:t>Hur regeringen ställer sig till den blivande A-punkten</w:t>
      </w:r>
      <w:r w:rsidRPr="007002AF">
        <w:rPr>
          <w:rFonts w:eastAsia="Calibri"/>
          <w:bCs/>
          <w:sz w:val="22"/>
          <w:szCs w:val="22"/>
          <w:lang w:eastAsia="en-US"/>
        </w:rPr>
        <w:t>:</w:t>
      </w:r>
      <w:r>
        <w:rPr>
          <w:rFonts w:eastAsia="Calibri"/>
          <w:bCs/>
          <w:sz w:val="22"/>
          <w:szCs w:val="22"/>
          <w:lang w:eastAsia="en-US"/>
        </w:rPr>
        <w:t xml:space="preserve"> </w:t>
      </w:r>
      <w:r w:rsidRPr="007002AF">
        <w:rPr>
          <w:rFonts w:eastAsia="Calibri"/>
          <w:sz w:val="22"/>
          <w:szCs w:val="22"/>
          <w:lang w:eastAsia="en-US"/>
        </w:rPr>
        <w:t>Regeringen avser stödja förslaget</w:t>
      </w:r>
      <w:r w:rsidRPr="007002AF">
        <w:rPr>
          <w:rFonts w:eastAsia="Calibri"/>
          <w:b/>
          <w:sz w:val="22"/>
          <w:szCs w:val="22"/>
          <w:lang w:eastAsia="en-US"/>
        </w:rPr>
        <w:t xml:space="preserve"> </w:t>
      </w:r>
    </w:p>
    <w:p w14:paraId="615E3CAD" w14:textId="4888B3E4" w:rsidR="007002AF" w:rsidRPr="007002AF" w:rsidRDefault="007002AF" w:rsidP="007002AF">
      <w:pPr>
        <w:pStyle w:val="Normalwebb"/>
        <w:shd w:val="clear" w:color="auto" w:fill="FFFFFF"/>
        <w:ind w:left="714"/>
        <w:textAlignment w:val="top"/>
        <w:rPr>
          <w:rFonts w:eastAsia="Calibri"/>
          <w:b/>
          <w:sz w:val="22"/>
          <w:szCs w:val="22"/>
          <w:lang w:eastAsia="en-US"/>
        </w:rPr>
      </w:pPr>
      <w:r w:rsidRPr="007002AF">
        <w:rPr>
          <w:rFonts w:eastAsia="Calibri"/>
          <w:b/>
          <w:bCs/>
          <w:sz w:val="22"/>
          <w:szCs w:val="22"/>
          <w:lang w:eastAsia="en-US"/>
        </w:rPr>
        <w:t>Bakgrund:</w:t>
      </w:r>
      <w:r>
        <w:rPr>
          <w:rFonts w:eastAsia="Calibri"/>
          <w:b/>
          <w:bCs/>
          <w:sz w:val="22"/>
          <w:szCs w:val="22"/>
          <w:lang w:eastAsia="en-US"/>
        </w:rPr>
        <w:t xml:space="preserve"> </w:t>
      </w:r>
      <w:r w:rsidRPr="007002AF">
        <w:rPr>
          <w:rFonts w:eastAsia="Calibri"/>
          <w:sz w:val="22"/>
          <w:szCs w:val="22"/>
          <w:lang w:eastAsia="en-US"/>
        </w:rPr>
        <w:t xml:space="preserve">Ett ökande antal nya </w:t>
      </w:r>
      <w:proofErr w:type="spellStart"/>
      <w:r w:rsidRPr="007002AF">
        <w:rPr>
          <w:rFonts w:eastAsia="Calibri"/>
          <w:sz w:val="22"/>
          <w:szCs w:val="22"/>
          <w:lang w:eastAsia="en-US"/>
        </w:rPr>
        <w:t>psykoaktiva</w:t>
      </w:r>
      <w:proofErr w:type="spellEnd"/>
      <w:r w:rsidRPr="007002AF">
        <w:rPr>
          <w:rFonts w:eastAsia="Calibri"/>
          <w:sz w:val="22"/>
          <w:szCs w:val="22"/>
          <w:lang w:eastAsia="en-US"/>
        </w:rPr>
        <w:t xml:space="preserve"> substanser som ger samma effekter som de ämnen som kontrolleras av FN-konventionerna som narkotika marknadsförs lagligt på den inre marknaden. Kommissionen föreslår att de nya </w:t>
      </w:r>
      <w:proofErr w:type="spellStart"/>
      <w:r w:rsidRPr="007002AF">
        <w:rPr>
          <w:rFonts w:eastAsia="Calibri"/>
          <w:sz w:val="22"/>
          <w:szCs w:val="22"/>
          <w:lang w:eastAsia="en-US"/>
        </w:rPr>
        <w:t>psykoaktiva</w:t>
      </w:r>
      <w:proofErr w:type="spellEnd"/>
      <w:r w:rsidRPr="007002AF">
        <w:rPr>
          <w:rFonts w:eastAsia="Calibri"/>
          <w:sz w:val="22"/>
          <w:szCs w:val="22"/>
          <w:lang w:eastAsia="en-US"/>
        </w:rPr>
        <w:t xml:space="preserve"> substanserna 4-methyl-5-(4-methylphenyl)-4,5-dihydrooxazol-2-amine (4,4'-DMAR) och 1 cyclohexyl-4-(1,2-diphenylethyl)</w:t>
      </w:r>
      <w:proofErr w:type="spellStart"/>
      <w:r w:rsidRPr="007002AF">
        <w:rPr>
          <w:rFonts w:eastAsia="Calibri"/>
          <w:sz w:val="22"/>
          <w:szCs w:val="22"/>
          <w:lang w:eastAsia="en-US"/>
        </w:rPr>
        <w:t>piperazine</w:t>
      </w:r>
      <w:proofErr w:type="spellEnd"/>
      <w:r w:rsidRPr="007002AF">
        <w:rPr>
          <w:rFonts w:eastAsia="Calibri"/>
          <w:sz w:val="22"/>
          <w:szCs w:val="22"/>
          <w:lang w:eastAsia="en-US"/>
        </w:rPr>
        <w:t xml:space="preserve"> (MT-45) underställs kontrollåtgärder inom unionen.</w:t>
      </w:r>
    </w:p>
    <w:p w14:paraId="2D718974" w14:textId="77777777" w:rsidR="00043CCF" w:rsidRPr="00BD0D2D" w:rsidRDefault="00043CCF" w:rsidP="00043CCF">
      <w:pPr>
        <w:pStyle w:val="Rubrik1"/>
        <w:rPr>
          <w:lang w:val="fr-FR"/>
        </w:rPr>
      </w:pPr>
      <w:bookmarkStart w:id="23" w:name="_Toc431973513"/>
      <w:r w:rsidRPr="00BD0D2D">
        <w:rPr>
          <w:noProof/>
          <w:lang w:val="fr-FR"/>
        </w:rPr>
        <w:lastRenderedPageBreak/>
        <w:t>Proposition de décision du Conseil soumettant le 4-methylamphetamine à des mesures de contrôle</w:t>
      </w:r>
      <w:bookmarkEnd w:id="23"/>
    </w:p>
    <w:p w14:paraId="2D718975" w14:textId="161634CD" w:rsidR="00043CCF" w:rsidRPr="00BD0D2D" w:rsidRDefault="00043CCF" w:rsidP="00043CCF">
      <w:r w:rsidRPr="00BD0D2D">
        <w:rPr>
          <w:noProof/>
        </w:rPr>
        <w:t>12636</w:t>
      </w:r>
      <w:r w:rsidRPr="00BD0D2D">
        <w:t>/15 CORDROGUE 76 SAN 317</w:t>
      </w:r>
      <w:r w:rsidR="00053683" w:rsidRPr="00BD0D2D">
        <w:t xml:space="preserve"> </w:t>
      </w:r>
      <w:r w:rsidRPr="00BD0D2D">
        <w:t>10010/15 CORDROGUE 49</w:t>
      </w:r>
    </w:p>
    <w:p w14:paraId="2D718976" w14:textId="77777777" w:rsidR="00043CCF" w:rsidRDefault="00043CCF" w:rsidP="00043CCF">
      <w:r>
        <w:rPr>
          <w:b/>
        </w:rPr>
        <w:t>Ansvarigt statsråd</w:t>
      </w:r>
      <w:r>
        <w:rPr>
          <w:b/>
        </w:rPr>
        <w:br/>
      </w:r>
      <w:r>
        <w:rPr>
          <w:noProof/>
        </w:rPr>
        <w:t>Gabriel Wikström</w:t>
      </w:r>
    </w:p>
    <w:p w14:paraId="2D718979" w14:textId="77777777" w:rsidR="00043CCF" w:rsidRPr="00663DC2" w:rsidRDefault="00043CCF" w:rsidP="00043CCF">
      <w:r w:rsidRPr="00B44CE2">
        <w:rPr>
          <w:b/>
        </w:rPr>
        <w:t>Annotering</w:t>
      </w:r>
      <w:r>
        <w:rPr>
          <w:b/>
        </w:rPr>
        <w:br/>
      </w:r>
      <w:r>
        <w:rPr>
          <w:b/>
          <w:bCs/>
        </w:rPr>
        <w:t xml:space="preserve">Avsikt med behandlingen i rådet: </w:t>
      </w:r>
      <w:r w:rsidRPr="00663DC2">
        <w:rPr>
          <w:bCs/>
        </w:rPr>
        <w:t xml:space="preserve">Att godkänna den nya </w:t>
      </w:r>
      <w:proofErr w:type="spellStart"/>
      <w:r w:rsidRPr="00663DC2">
        <w:rPr>
          <w:bCs/>
        </w:rPr>
        <w:t>psykoaktiva</w:t>
      </w:r>
      <w:proofErr w:type="spellEnd"/>
      <w:r w:rsidRPr="00663DC2">
        <w:rPr>
          <w:bCs/>
        </w:rPr>
        <w:t xml:space="preserve"> substansen ska underställas kontrollåtgärder inom unionen</w:t>
      </w:r>
      <w:r w:rsidRPr="00663DC2">
        <w:t xml:space="preserve"> </w:t>
      </w:r>
    </w:p>
    <w:p w14:paraId="2D71897A" w14:textId="77777777" w:rsidR="009B541C" w:rsidRDefault="00043CCF">
      <w:pPr>
        <w:spacing w:after="280" w:afterAutospacing="1"/>
      </w:pPr>
      <w:r>
        <w:rPr>
          <w:b/>
          <w:bCs/>
        </w:rPr>
        <w:t>Hur regeringen ställer sig till den blivande A-punkten:</w:t>
      </w:r>
      <w:r>
        <w:t xml:space="preserve"> Avser att stödja förslaget </w:t>
      </w:r>
    </w:p>
    <w:p w14:paraId="2D71897C" w14:textId="3223A669" w:rsidR="00043CCF" w:rsidRDefault="00043CCF">
      <w:pPr>
        <w:spacing w:after="280" w:afterAutospacing="1"/>
        <w:rPr>
          <w:noProof/>
        </w:rPr>
      </w:pPr>
      <w:r>
        <w:rPr>
          <w:b/>
          <w:bCs/>
        </w:rPr>
        <w:t xml:space="preserve">Bakgrund: </w:t>
      </w:r>
      <w:r w:rsidRPr="00663DC2">
        <w:rPr>
          <w:bCs/>
        </w:rPr>
        <w:t xml:space="preserve">Nya </w:t>
      </w:r>
      <w:proofErr w:type="spellStart"/>
      <w:r w:rsidRPr="00663DC2">
        <w:rPr>
          <w:bCs/>
        </w:rPr>
        <w:t>psykoaktiva</w:t>
      </w:r>
      <w:proofErr w:type="spellEnd"/>
      <w:r w:rsidRPr="00663DC2">
        <w:rPr>
          <w:bCs/>
        </w:rPr>
        <w:t xml:space="preserve"> substanser med samma effekter som narkotika som kontrolleras av FN-konventionerna. Dessa marknadsförs lagligt på den inre marknaden och kan konsumeras trots eventuella risker för hälsan.</w:t>
      </w:r>
    </w:p>
    <w:p w14:paraId="2D71897D" w14:textId="77777777" w:rsidR="00043CCF" w:rsidRPr="00BD0D2D" w:rsidRDefault="00043CCF" w:rsidP="00043CCF">
      <w:pPr>
        <w:pStyle w:val="Rubrik1"/>
        <w:rPr>
          <w:lang w:val="fr-FR"/>
        </w:rPr>
      </w:pPr>
      <w:bookmarkStart w:id="24" w:name="_Toc431973514"/>
      <w:r w:rsidRPr="00BD0D2D">
        <w:rPr>
          <w:noProof/>
          <w:lang w:val="fr-FR"/>
        </w:rPr>
        <w:t>Projet de décision du Conseil relative à la position à adopter au nom de l'Union européenne au sein du comité d'association UE-Chili en ce qui concerne le remplacement de l'appendice II de l'annexe III de l'accord établissant une association entre la Communauté européenne et ses États membres, d'une part, et la République du Chili, d'autre part</w:t>
      </w:r>
      <w:r w:rsidRPr="00BD0D2D">
        <w:rPr>
          <w:noProof/>
          <w:lang w:val="fr-FR"/>
        </w:rPr>
        <w:br/>
        <w:t>=Projet de décision du Conseil relative à la position à adopter au nom de l'Union européenne au sein du comité d'association UE-Chili concernant le remplacement de l'article 12 de l'annexe III de l'accord établissant une association entre la Communauté européenne et ses États membres, d'une part, et la République du Chili, d'autre part</w:t>
      </w:r>
      <w:bookmarkEnd w:id="24"/>
    </w:p>
    <w:p w14:paraId="45404CF3" w14:textId="77777777" w:rsidR="00663DC2" w:rsidRPr="00BD0D2D" w:rsidRDefault="00043CCF" w:rsidP="00043CCF">
      <w:pPr>
        <w:rPr>
          <w:lang w:val="fr-FR"/>
        </w:rPr>
      </w:pPr>
      <w:r w:rsidRPr="00BD0D2D">
        <w:rPr>
          <w:noProof/>
          <w:lang w:val="fr-FR"/>
        </w:rPr>
        <w:t>=</w:t>
      </w:r>
      <w:r w:rsidRPr="00BD0D2D">
        <w:rPr>
          <w:lang w:val="fr-FR"/>
        </w:rPr>
        <w:t>Adoption</w:t>
      </w:r>
    </w:p>
    <w:p w14:paraId="2D71897E" w14:textId="10543E53" w:rsidR="00043CCF" w:rsidRPr="00BD0D2D" w:rsidRDefault="00043CCF" w:rsidP="00043CCF">
      <w:pPr>
        <w:rPr>
          <w:lang w:val="fr-FR"/>
        </w:rPr>
      </w:pPr>
      <w:r w:rsidRPr="00BD0D2D">
        <w:rPr>
          <w:noProof/>
          <w:lang w:val="fr-FR"/>
        </w:rPr>
        <w:t>12580</w:t>
      </w:r>
      <w:r w:rsidRPr="00BD0D2D">
        <w:rPr>
          <w:lang w:val="fr-FR"/>
        </w:rPr>
        <w:t>/15 COLAC 100 WTO 206 UD 193</w:t>
      </w:r>
      <w:r w:rsidR="00053683" w:rsidRPr="00BD0D2D">
        <w:rPr>
          <w:lang w:val="fr-FR"/>
        </w:rPr>
        <w:t xml:space="preserve"> </w:t>
      </w:r>
      <w:r w:rsidRPr="00BD0D2D">
        <w:rPr>
          <w:lang w:val="fr-FR"/>
        </w:rPr>
        <w:t>10913/15 COLAC 80 WTO 151 UD 190 + COR 1 10919/15 COLAC 83 WTO 154 UD 191+ COR 1</w:t>
      </w:r>
    </w:p>
    <w:p w14:paraId="2D71897F" w14:textId="77777777" w:rsidR="00043CCF" w:rsidRPr="00BD0D2D" w:rsidRDefault="00043CCF" w:rsidP="00043CCF">
      <w:pPr>
        <w:rPr>
          <w:lang w:val="fr-FR"/>
        </w:rPr>
      </w:pPr>
      <w:proofErr w:type="spellStart"/>
      <w:r w:rsidRPr="00BD0D2D">
        <w:rPr>
          <w:b/>
          <w:lang w:val="fr-FR"/>
        </w:rPr>
        <w:t>Ansvarigt</w:t>
      </w:r>
      <w:proofErr w:type="spellEnd"/>
      <w:r w:rsidRPr="00BD0D2D">
        <w:rPr>
          <w:b/>
          <w:lang w:val="fr-FR"/>
        </w:rPr>
        <w:t xml:space="preserve"> </w:t>
      </w:r>
      <w:proofErr w:type="spellStart"/>
      <w:r w:rsidRPr="00BD0D2D">
        <w:rPr>
          <w:b/>
          <w:lang w:val="fr-FR"/>
        </w:rPr>
        <w:t>statsråd</w:t>
      </w:r>
      <w:proofErr w:type="spellEnd"/>
      <w:r w:rsidRPr="00BD0D2D">
        <w:rPr>
          <w:b/>
          <w:lang w:val="fr-FR"/>
        </w:rPr>
        <w:br/>
      </w:r>
      <w:r w:rsidRPr="00BD0D2D">
        <w:rPr>
          <w:noProof/>
          <w:lang w:val="fr-FR"/>
        </w:rPr>
        <w:t>Mikael Damberg</w:t>
      </w:r>
    </w:p>
    <w:p w14:paraId="2D718981" w14:textId="77777777" w:rsidR="00043CCF" w:rsidRPr="00643D86" w:rsidRDefault="00043CCF" w:rsidP="00043CCF">
      <w:r w:rsidRPr="00643D86">
        <w:rPr>
          <w:b/>
        </w:rPr>
        <w:t>Tidigare behandling vid rådsmöte</w:t>
      </w:r>
      <w:r>
        <w:rPr>
          <w:b/>
        </w:rPr>
        <w:br/>
      </w:r>
      <w:r>
        <w:rPr>
          <w:noProof/>
        </w:rPr>
        <w:t>2015-09-25</w:t>
      </w:r>
    </w:p>
    <w:p w14:paraId="2D718983" w14:textId="3D3F43D5" w:rsidR="009B541C" w:rsidRDefault="00043CCF" w:rsidP="00663DC2">
      <w:r w:rsidRPr="00B44CE2">
        <w:rPr>
          <w:b/>
        </w:rPr>
        <w:t>Annotering</w:t>
      </w:r>
      <w:r>
        <w:rPr>
          <w:b/>
        </w:rPr>
        <w:br/>
      </w:r>
      <w:r>
        <w:rPr>
          <w:b/>
          <w:bCs/>
        </w:rPr>
        <w:t>Avsikt med behandlingen i rådet:</w:t>
      </w:r>
      <w:r>
        <w:t xml:space="preserve"> Rådet föreslås besluta om godkännande av en uppdatering av de delar av associationsavtalet som omges i förslaget.</w:t>
      </w:r>
    </w:p>
    <w:p w14:paraId="2D718984" w14:textId="77777777" w:rsidR="009B541C" w:rsidRDefault="00043CCF">
      <w:pPr>
        <w:spacing w:after="280" w:afterAutospacing="1"/>
      </w:pPr>
      <w:r>
        <w:rPr>
          <w:b/>
          <w:bCs/>
        </w:rPr>
        <w:t>Hur regeringen ställer sig till den blivande A-punkten:</w:t>
      </w:r>
      <w:r>
        <w:t xml:space="preserve"> Regeringen avser rösta ja till en uppdatering av associationsavtalet.  </w:t>
      </w:r>
    </w:p>
    <w:p w14:paraId="2D718986" w14:textId="47990D88" w:rsidR="00043CCF" w:rsidRDefault="00043CCF">
      <w:pPr>
        <w:spacing w:after="280" w:afterAutospacing="1"/>
        <w:rPr>
          <w:noProof/>
        </w:rPr>
      </w:pPr>
      <w:r>
        <w:rPr>
          <w:b/>
          <w:bCs/>
        </w:rPr>
        <w:t>Bakgrund:</w:t>
      </w:r>
      <w:r>
        <w:t xml:space="preserve"> Associationsavtalet mellan Chile och EU från 2003 har fungerat bra och lett till ökat handel. Chile har länge argumenterat för att avtalet ska uppgraderas, men har haft ett smalt fokus i sina krav – i första hand höjda kvoter för livsmedelsexport. Sverige står bakom en uppdatering av frihandelsdelen av avtalet förutsatt att anslaget är brett i syfte att föra det i paritet med de senaste frihandelsavtalen EU slutit bl.a. vad gäller offentlig upphandling och tjänster.  Frågan om en modernisering av associationsavtalets handelsdel togs upp i en </w:t>
      </w:r>
      <w:r>
        <w:lastRenderedPageBreak/>
        <w:t>informell diskussion under den årliga associationskommittén den 6:e november 2014 i Santiago de Chile. Sedan gjorde Chilen en demarche för att väcka olika europeiska länders intresse i frågan. Det togs upp i associationsrådet mellan EU och Chile, 2015-04-21, EU-</w:t>
      </w:r>
      <w:proofErr w:type="spellStart"/>
      <w:r>
        <w:t>Celac</w:t>
      </w:r>
      <w:proofErr w:type="spellEnd"/>
      <w:r>
        <w:t xml:space="preserve"> 2015-06-09-2015-06-10. Det var på agendan på tullunionsgruppen möte 2015-09-09.</w:t>
      </w:r>
    </w:p>
    <w:p w14:paraId="2D718987" w14:textId="77777777" w:rsidR="00043CCF" w:rsidRPr="00BD0D2D" w:rsidRDefault="00043CCF" w:rsidP="00043CCF">
      <w:pPr>
        <w:pStyle w:val="Rubrik1"/>
        <w:rPr>
          <w:lang w:val="fr-FR"/>
        </w:rPr>
      </w:pPr>
      <w:bookmarkStart w:id="25" w:name="_Toc431973515"/>
      <w:r w:rsidRPr="00BD0D2D">
        <w:rPr>
          <w:noProof/>
          <w:lang w:val="fr-FR"/>
        </w:rPr>
        <w:t>(évent.) Projet de Conclusions du Conseil sur le Soudan du Sud</w:t>
      </w:r>
      <w:bookmarkEnd w:id="25"/>
    </w:p>
    <w:p w14:paraId="2D718988" w14:textId="3E475FD9" w:rsidR="00043CCF" w:rsidRPr="00BD0D2D" w:rsidRDefault="00043CCF" w:rsidP="00043CCF">
      <w:pPr>
        <w:rPr>
          <w:lang w:val="fr-FR"/>
        </w:rPr>
      </w:pPr>
      <w:r w:rsidRPr="00BD0D2D">
        <w:rPr>
          <w:noProof/>
          <w:lang w:val="fr-FR"/>
        </w:rPr>
        <w:t>12650</w:t>
      </w:r>
      <w:r w:rsidRPr="00BD0D2D">
        <w:rPr>
          <w:lang w:val="fr-FR"/>
        </w:rPr>
        <w:t xml:space="preserve">/15 COAFR 285 CFSP/PESC 590 RELEX 764 COHAFA 87 </w:t>
      </w:r>
    </w:p>
    <w:p w14:paraId="2D718989" w14:textId="77777777" w:rsidR="00043CCF" w:rsidRDefault="00043CCF" w:rsidP="00043CCF">
      <w:r>
        <w:rPr>
          <w:b/>
        </w:rPr>
        <w:t>Ansvarigt statsråd</w:t>
      </w:r>
      <w:r>
        <w:rPr>
          <w:b/>
        </w:rPr>
        <w:br/>
      </w:r>
      <w:r>
        <w:rPr>
          <w:noProof/>
        </w:rPr>
        <w:t>Margot Wallström</w:t>
      </w:r>
    </w:p>
    <w:p w14:paraId="2D71898C" w14:textId="77777777" w:rsidR="00043CCF" w:rsidRDefault="00043CCF" w:rsidP="00043CCF">
      <w:r w:rsidRPr="00B44CE2">
        <w:rPr>
          <w:b/>
        </w:rPr>
        <w:t>Annotering</w:t>
      </w:r>
      <w:r>
        <w:rPr>
          <w:b/>
        </w:rPr>
        <w:br/>
      </w:r>
      <w:r>
        <w:rPr>
          <w:b/>
          <w:bCs/>
        </w:rPr>
        <w:t>Avsikt med behandlingen i rådet:</w:t>
      </w:r>
      <w:r>
        <w:t xml:space="preserve"> Rådet föreslås godkänna rådets slutsatser om </w:t>
      </w:r>
      <w:proofErr w:type="spellStart"/>
      <w:r>
        <w:t>Sydsudan</w:t>
      </w:r>
      <w:proofErr w:type="spellEnd"/>
      <w:r>
        <w:t xml:space="preserve">. </w:t>
      </w:r>
    </w:p>
    <w:p w14:paraId="2D71898D" w14:textId="77777777" w:rsidR="009B541C" w:rsidRDefault="00043CCF">
      <w:pPr>
        <w:spacing w:after="280" w:afterAutospacing="1"/>
      </w:pPr>
      <w:r>
        <w:rPr>
          <w:b/>
          <w:bCs/>
        </w:rPr>
        <w:t>Hur regeringen ställer sig till den blivande A-punkten:</w:t>
      </w:r>
      <w:r>
        <w:t xml:space="preserve"> Regeringen avser rösta ja till att rådet godkänner rådets slutsatser om </w:t>
      </w:r>
      <w:proofErr w:type="spellStart"/>
      <w:r>
        <w:t>Sydsudan</w:t>
      </w:r>
      <w:proofErr w:type="spellEnd"/>
      <w:r>
        <w:t xml:space="preserve">. </w:t>
      </w:r>
    </w:p>
    <w:p w14:paraId="2D71898E" w14:textId="77777777" w:rsidR="009B541C" w:rsidRDefault="00043CCF">
      <w:pPr>
        <w:spacing w:after="280" w:afterAutospacing="1"/>
      </w:pPr>
      <w:r>
        <w:rPr>
          <w:b/>
          <w:bCs/>
        </w:rPr>
        <w:t xml:space="preserve">Bakgrund: </w:t>
      </w:r>
      <w:r>
        <w:t xml:space="preserve">Regeringen och oppositionen i </w:t>
      </w:r>
      <w:proofErr w:type="spellStart"/>
      <w:r>
        <w:t>Sydsudan</w:t>
      </w:r>
      <w:proofErr w:type="spellEnd"/>
      <w:r>
        <w:t xml:space="preserve"> undertecknade i augusti ett fredsavtal för att få ett slut på konflikten i landet. Implementeringen av fredsavtalet kommer att ställa stora krav på alla parter.</w:t>
      </w:r>
    </w:p>
    <w:p w14:paraId="2D71898F" w14:textId="77777777" w:rsidR="009B541C" w:rsidRDefault="00043CCF">
      <w:pPr>
        <w:spacing w:after="280" w:afterAutospacing="1"/>
      </w:pPr>
      <w:r>
        <w:t>Utkastet till rådets slutsatser välkomnar undertecknandet av fredsavtalet, men understryker samtidigt parternas ansvar för att fullfölja implementeringen. De regionala aktörernas arbete, särskilt genom Afrikanska Unionen och IGAD, lyfts fram som värdefullt både under fredsförhandlingarna och under den kommande implementeringen av avtalet. Den allvarliga humanitära situationen och brott mot mänskliga rättigheter berörs.</w:t>
      </w:r>
    </w:p>
    <w:p w14:paraId="2D718991" w14:textId="02E0268D" w:rsidR="00043CCF" w:rsidRDefault="00043CCF">
      <w:pPr>
        <w:spacing w:after="280" w:afterAutospacing="1"/>
        <w:rPr>
          <w:noProof/>
        </w:rPr>
      </w:pPr>
      <w:r>
        <w:t>Sverige har under förhandlingarna erhållit stöd för nya skrivningar om vikten av att inkludera kvinnor som aktörer i samband med genomförandet av fredsavtalet samt om betydelsen av att utreda de allvarliga brott mot kvinnor och barn som Förenta nationerna och andra har rapporterat om. Tillsammans med andra medlemsstater har Sverige även verkat för att stärka skrivningarna om sydsudanesiska ledares fortsatta ansvar för utvecklingen i landet och om vikten av de regionala organisationernas arbete.</w:t>
      </w:r>
    </w:p>
    <w:p w14:paraId="2D718992" w14:textId="77777777" w:rsidR="00043CCF" w:rsidRPr="00BD0D2D" w:rsidRDefault="00043CCF" w:rsidP="00043CCF">
      <w:pPr>
        <w:pStyle w:val="Rubrik1"/>
        <w:rPr>
          <w:lang w:val="fr-FR"/>
        </w:rPr>
      </w:pPr>
      <w:bookmarkStart w:id="26" w:name="_Toc431973516"/>
      <w:r w:rsidRPr="00BD0D2D">
        <w:rPr>
          <w:noProof/>
          <w:lang w:val="fr-FR"/>
        </w:rPr>
        <w:t>Décision du Conseil modifiant la décision 2013/391/PESC à l'appui de la mise en œuvre pratique de la résolution 1540 (2004) du Conseil de sécurité des Nations unies relative à la non-prolifération des armes de destruction massive et de leurs vecteurs</w:t>
      </w:r>
      <w:bookmarkEnd w:id="26"/>
    </w:p>
    <w:p w14:paraId="2D718993" w14:textId="6C4B456B" w:rsidR="00043CCF" w:rsidRPr="00BD0D2D" w:rsidRDefault="00043CCF" w:rsidP="00043CCF">
      <w:pPr>
        <w:rPr>
          <w:lang w:val="fr-FR"/>
        </w:rPr>
      </w:pPr>
      <w:r w:rsidRPr="00BD0D2D">
        <w:rPr>
          <w:noProof/>
          <w:lang w:val="fr-FR"/>
        </w:rPr>
        <w:t>12512</w:t>
      </w:r>
      <w:r w:rsidRPr="00BD0D2D">
        <w:rPr>
          <w:lang w:val="fr-FR"/>
        </w:rPr>
        <w:t>/15 CORLX 100 CFSP/PESC 580 CONOP 116 CODUN 35 CONUN 181</w:t>
      </w:r>
      <w:r w:rsidR="00053683" w:rsidRPr="00BD0D2D">
        <w:rPr>
          <w:lang w:val="fr-FR"/>
        </w:rPr>
        <w:t xml:space="preserve"> </w:t>
      </w:r>
      <w:r w:rsidRPr="00BD0D2D">
        <w:rPr>
          <w:lang w:val="fr-FR"/>
        </w:rPr>
        <w:t>12367/15 CORLX 87 CFSP/PESC 559 CONOP 115 CODUN 34 CONUN 180</w:t>
      </w:r>
    </w:p>
    <w:p w14:paraId="2D718994" w14:textId="77777777" w:rsidR="00043CCF" w:rsidRDefault="00043CCF" w:rsidP="00043CCF">
      <w:r>
        <w:rPr>
          <w:b/>
        </w:rPr>
        <w:t>Ansvarigt statsråd</w:t>
      </w:r>
      <w:r>
        <w:rPr>
          <w:b/>
        </w:rPr>
        <w:br/>
      </w:r>
      <w:r>
        <w:rPr>
          <w:noProof/>
        </w:rPr>
        <w:t xml:space="preserve">Margot Wallström </w:t>
      </w:r>
    </w:p>
    <w:p w14:paraId="2D718998" w14:textId="4318A3D4" w:rsidR="009B541C" w:rsidRDefault="00043CCF" w:rsidP="00663DC2">
      <w:r w:rsidRPr="00B44CE2">
        <w:rPr>
          <w:b/>
        </w:rPr>
        <w:t>Annotering</w:t>
      </w:r>
      <w:r>
        <w:rPr>
          <w:b/>
        </w:rPr>
        <w:br/>
      </w:r>
      <w:r>
        <w:rPr>
          <w:b/>
          <w:bCs/>
        </w:rPr>
        <w:t xml:space="preserve">Avsikt med behandlingen i rådet: </w:t>
      </w:r>
      <w:r>
        <w:t xml:space="preserve">Att fatta beslut om förlängd genomförandeperiod för implementeringen av FN:s säkerhetsråds resolution 1540 som behandlar icke-spridning av massförstörelsevapen och bärare av dessa. </w:t>
      </w:r>
    </w:p>
    <w:p w14:paraId="2D718999" w14:textId="77777777" w:rsidR="009B541C" w:rsidRDefault="00043CCF">
      <w:pPr>
        <w:spacing w:after="280" w:afterAutospacing="1"/>
      </w:pPr>
      <w:r>
        <w:rPr>
          <w:b/>
          <w:bCs/>
        </w:rPr>
        <w:lastRenderedPageBreak/>
        <w:t>Hur regeringen ställer sig till den blivande A-punkten:</w:t>
      </w:r>
      <w:r>
        <w:t xml:space="preserve"> Regeringen avser rösta ja till utkastet till beslut</w:t>
      </w:r>
    </w:p>
    <w:p w14:paraId="2D71899A" w14:textId="77777777" w:rsidR="009B541C" w:rsidRDefault="00043CCF">
      <w:pPr>
        <w:spacing w:after="280" w:afterAutospacing="1"/>
      </w:pPr>
      <w:r>
        <w:rPr>
          <w:b/>
          <w:bCs/>
        </w:rPr>
        <w:t xml:space="preserve">Bakgrund: </w:t>
      </w:r>
      <w:r>
        <w:t xml:space="preserve">Beslutet innebär en förlängning av genomförandeperioden för implementeringen av FN:s säkerhetsråds resolution 1540 som behandlar icke-spridning av massförstörelsevapen och bärare av dessa. FN-sekretariatets avdelning för nedrustning, UNODA, ansvarar för implementeringen och får pengar av EU för detta ändamål. </w:t>
      </w:r>
    </w:p>
    <w:p w14:paraId="2D71899B" w14:textId="77777777" w:rsidR="009B541C" w:rsidRDefault="00043CCF">
      <w:pPr>
        <w:spacing w:after="280" w:afterAutospacing="1"/>
      </w:pPr>
      <w:r>
        <w:t>Den 4 juli bad UNODA om en förlängd genomförandeperiod av EU-stödet. Förlängningen innebär inga extra kostnader, eftersom det endast är genomförandeperioden som förlängs. Förlängningen kräver en ändring av Rådets beslut 2013/391/</w:t>
      </w:r>
      <w:proofErr w:type="spellStart"/>
      <w:r>
        <w:t>Gusp</w:t>
      </w:r>
      <w:proofErr w:type="spellEnd"/>
      <w:r>
        <w:t>. Sverige har inte behövt ta regeringsbeslut för godkännande.</w:t>
      </w:r>
    </w:p>
    <w:p w14:paraId="2D71899C" w14:textId="77777777" w:rsidR="009B541C" w:rsidRDefault="00043CCF">
      <w:pPr>
        <w:spacing w:after="280" w:afterAutospacing="1"/>
      </w:pPr>
      <w:r>
        <w:t xml:space="preserve">Anledningen till </w:t>
      </w:r>
      <w:proofErr w:type="spellStart"/>
      <w:r>
        <w:t>UNODA:s</w:t>
      </w:r>
      <w:proofErr w:type="spellEnd"/>
      <w:r>
        <w:t xml:space="preserve"> förfrågan är att följande uppgifter kvarstod att genomföra: </w:t>
      </w:r>
    </w:p>
    <w:p w14:paraId="2D71899D" w14:textId="77777777" w:rsidR="009B541C" w:rsidRDefault="00043CCF">
      <w:pPr>
        <w:spacing w:after="280" w:afterAutospacing="1"/>
      </w:pPr>
      <w:r>
        <w:t xml:space="preserve">1) Att tillsammans med Afrikanska unionen stå värd för en regional stödkonferens för genomförande av resolution 1540. En sådan konferens har välkomnats av 1540-kommittén. Enligt Afrikanska Unionen kunde dock konferensen inte hållas förrän första kvartalet av 2016. </w:t>
      </w:r>
      <w:r>
        <w:br/>
        <w:t xml:space="preserve">2) Att genomföra nationella diskussioner om implementeringen av 1540-resoultionen i stater från Gulfen, MENA-regionen, samt Sydostasien. De stater som meddelat intresse för att anordna dessa diskussioner var dock inte redo att genomföra mötena förrän efter oktober 2015. </w:t>
      </w:r>
      <w:r>
        <w:br/>
        <w:t xml:space="preserve">3) Att tillsammans med Tysklands regering genomföra en fjärde industrikonferens till stöd för genomförandet av resolution 1540. </w:t>
      </w:r>
    </w:p>
    <w:p w14:paraId="2D71899F" w14:textId="132D6CB1" w:rsidR="009B541C" w:rsidRDefault="00043CCF">
      <w:pPr>
        <w:spacing w:after="280" w:afterAutospacing="1"/>
      </w:pPr>
      <w:r>
        <w:t xml:space="preserve">Förfrågan har bedömts som rimlig. Utkastet till rådsbeslut, som innebär att avtalet förlängs godkändes i rådsarbetsgruppen </w:t>
      </w:r>
      <w:proofErr w:type="spellStart"/>
      <w:r>
        <w:t>Conop</w:t>
      </w:r>
      <w:proofErr w:type="spellEnd"/>
      <w:r>
        <w:t xml:space="preserve"> den 23 september 2015 och i </w:t>
      </w:r>
      <w:proofErr w:type="spellStart"/>
      <w:r>
        <w:t>Relex</w:t>
      </w:r>
      <w:proofErr w:type="spellEnd"/>
      <w:r>
        <w:t xml:space="preserve"> 28 september. </w:t>
      </w:r>
    </w:p>
    <w:p w14:paraId="2D7189A0" w14:textId="77777777" w:rsidR="00043CCF" w:rsidRPr="00BD0D2D" w:rsidRDefault="00043CCF" w:rsidP="00043CCF">
      <w:pPr>
        <w:pStyle w:val="Rubrik1"/>
        <w:rPr>
          <w:lang w:val="fr-FR"/>
        </w:rPr>
      </w:pPr>
      <w:bookmarkStart w:id="27" w:name="_Toc431973517"/>
      <w:r w:rsidRPr="00BD0D2D">
        <w:rPr>
          <w:noProof/>
          <w:lang w:val="fr-FR"/>
        </w:rPr>
        <w:t>Décision du Conseil modifiant la décision 2010/638/PESC concernant des mesures restrictives à l'encontre de la République de Guinée</w:t>
      </w:r>
      <w:bookmarkEnd w:id="27"/>
    </w:p>
    <w:p w14:paraId="2D7189A1" w14:textId="74233E20" w:rsidR="00043CCF" w:rsidRPr="00BD0D2D" w:rsidRDefault="00043CCF" w:rsidP="00043CCF">
      <w:pPr>
        <w:rPr>
          <w:lang w:val="fr-FR"/>
        </w:rPr>
      </w:pPr>
      <w:r w:rsidRPr="00BD0D2D">
        <w:rPr>
          <w:noProof/>
          <w:lang w:val="fr-FR"/>
        </w:rPr>
        <w:t>12513</w:t>
      </w:r>
      <w:r w:rsidRPr="00BD0D2D">
        <w:rPr>
          <w:lang w:val="fr-FR"/>
        </w:rPr>
        <w:t>/15 CORLX 101 CFSP/PESC 581 COAFR 277 COARM 218 FIN 656</w:t>
      </w:r>
      <w:r w:rsidR="00053683" w:rsidRPr="00BD0D2D">
        <w:rPr>
          <w:lang w:val="fr-FR"/>
        </w:rPr>
        <w:t xml:space="preserve"> </w:t>
      </w:r>
      <w:r w:rsidRPr="00BD0D2D">
        <w:rPr>
          <w:lang w:val="fr-FR"/>
        </w:rPr>
        <w:t>12438/15 CORLX 91 CFSP/PESC 570 COAFR 272 COARM 214 FIN 638</w:t>
      </w:r>
    </w:p>
    <w:p w14:paraId="2D7189A2" w14:textId="7424A4E4" w:rsidR="00043CCF" w:rsidRPr="00BD0D2D" w:rsidRDefault="00043CCF" w:rsidP="00043CCF">
      <w:pPr>
        <w:rPr>
          <w:lang w:val="fr-FR"/>
        </w:rPr>
      </w:pPr>
      <w:proofErr w:type="spellStart"/>
      <w:r w:rsidRPr="00BD0D2D">
        <w:rPr>
          <w:b/>
          <w:lang w:val="fr-FR"/>
        </w:rPr>
        <w:t>Ansvarigt</w:t>
      </w:r>
      <w:proofErr w:type="spellEnd"/>
      <w:r w:rsidRPr="00BD0D2D">
        <w:rPr>
          <w:b/>
          <w:lang w:val="fr-FR"/>
        </w:rPr>
        <w:t xml:space="preserve"> </w:t>
      </w:r>
      <w:proofErr w:type="spellStart"/>
      <w:r w:rsidRPr="00BD0D2D">
        <w:rPr>
          <w:b/>
          <w:lang w:val="fr-FR"/>
        </w:rPr>
        <w:t>statsråd</w:t>
      </w:r>
      <w:proofErr w:type="spellEnd"/>
      <w:r w:rsidRPr="00BD0D2D">
        <w:rPr>
          <w:b/>
          <w:lang w:val="fr-FR"/>
        </w:rPr>
        <w:br/>
      </w:r>
      <w:r w:rsidRPr="00BD0D2D">
        <w:rPr>
          <w:noProof/>
          <w:lang w:val="fr-FR"/>
        </w:rPr>
        <w:t>Margot Wallström</w:t>
      </w:r>
    </w:p>
    <w:p w14:paraId="2D7189A5" w14:textId="024EDAB0" w:rsidR="00043CCF" w:rsidRDefault="00043CCF" w:rsidP="00043CCF">
      <w:r w:rsidRPr="00B44CE2">
        <w:rPr>
          <w:b/>
        </w:rPr>
        <w:t>Annotering</w:t>
      </w:r>
      <w:r>
        <w:rPr>
          <w:b/>
        </w:rPr>
        <w:br/>
      </w:r>
      <w:r>
        <w:rPr>
          <w:b/>
          <w:bCs/>
        </w:rPr>
        <w:t>Avsikt med behandlingen i rådet:</w:t>
      </w:r>
      <w:r>
        <w:t xml:space="preserve"> Rådet föreslås anta ett rådsbeslut om att förlänga de befintliga restriktiva åtgärderna mot Guinea till och med den 27 oktober 2016. </w:t>
      </w:r>
    </w:p>
    <w:p w14:paraId="2D7189A6" w14:textId="2DAFD21C" w:rsidR="009B541C" w:rsidRDefault="00043CCF">
      <w:pPr>
        <w:spacing w:after="280" w:afterAutospacing="1"/>
      </w:pPr>
      <w:r>
        <w:rPr>
          <w:b/>
          <w:bCs/>
        </w:rPr>
        <w:t>Hur regeringen ställer sig till den blivande A-punkten:</w:t>
      </w:r>
      <w:r>
        <w:t xml:space="preserve"> Regeringen avser rösta ja till att rådet beslutar om att förlänga de befintliga restriktiva åtgärderna mot Guinea till och med den 27 oktober 2016. </w:t>
      </w:r>
    </w:p>
    <w:p w14:paraId="2D7189A7" w14:textId="275F1C19" w:rsidR="009B541C" w:rsidRDefault="00043CCF">
      <w:pPr>
        <w:spacing w:after="280" w:afterAutospacing="1"/>
      </w:pPr>
      <w:r>
        <w:rPr>
          <w:b/>
          <w:bCs/>
        </w:rPr>
        <w:t xml:space="preserve">Bakgrund: </w:t>
      </w:r>
      <w:r>
        <w:t xml:space="preserve">Den Europeiska unionens råd antog den 27 oktober 2009 en gemensam ståndpunkt (2009/788/GUSP) om restriktiva åtgärder mot Guinea efter att landets säkerhetsstyrkor våldsamt slagit ner en politisk demonstration den 28 </w:t>
      </w:r>
      <w:proofErr w:type="gramStart"/>
      <w:r>
        <w:t>September</w:t>
      </w:r>
      <w:proofErr w:type="gramEnd"/>
      <w:r>
        <w:t xml:space="preserve">. Sanktionerna omfattade vapenembargo och reserestriktioner. Genom ett rådsbeslut (2009/1003/GUSP) utökades åtgärderna till att omfatta frysning av tillgångar, exportförbud av </w:t>
      </w:r>
      <w:r>
        <w:lastRenderedPageBreak/>
        <w:t>utrustning som kan användas till internt förtryck och förbud mot att lämna finansiellt eller tekniskt bistånd i anslutning till förbjuden export av vapen eller utrustning för internt förtryck. Listan over personer som var föremål för restriktiva åtgärder utökades.</w:t>
      </w:r>
    </w:p>
    <w:p w14:paraId="2D7189A9" w14:textId="43E78DD1" w:rsidR="00043CCF" w:rsidRDefault="00043CCF">
      <w:pPr>
        <w:spacing w:after="280" w:afterAutospacing="1"/>
        <w:rPr>
          <w:noProof/>
        </w:rPr>
      </w:pPr>
      <w:r>
        <w:t>Rådet förlängde sanktionerna genom rådsbeslut 2011/706/GUSP till den 27 oktober 2012. Sanktionerna har förlängts ett flertal gånger. Syftet med sanktionerna är ännu inte uppnått. Rådet förväntas därför besluta om att förlänga åtgärderna ytterligare till och med den 27 oktober 2016.</w:t>
      </w:r>
    </w:p>
    <w:p w14:paraId="2D7189AB" w14:textId="29074CF5" w:rsidR="00043CCF" w:rsidRPr="00BD0D2D" w:rsidRDefault="00043CCF" w:rsidP="00043CCF">
      <w:pPr>
        <w:pStyle w:val="Rubrik1"/>
        <w:rPr>
          <w:noProof/>
          <w:lang w:val="fr-FR"/>
        </w:rPr>
      </w:pPr>
      <w:bookmarkStart w:id="28" w:name="_Toc431973518"/>
      <w:r w:rsidRPr="00BD0D2D">
        <w:rPr>
          <w:noProof/>
          <w:lang w:val="fr-FR"/>
        </w:rPr>
        <w:t>-Décision du Conseil modifiant la décision 2013/255/PESC concernant des mesures restrictives à l'encontre de la Syrie</w:t>
      </w:r>
      <w:r w:rsidRPr="00BD0D2D">
        <w:rPr>
          <w:noProof/>
          <w:lang w:val="fr-FR"/>
        </w:rPr>
        <w:br/>
        <w:t xml:space="preserve"> Règlement du Conseil modifiant le règlement (UE) nº 36/2012 concernant des mesures restrictives en raison de la situation en Syrie</w:t>
      </w:r>
      <w:bookmarkEnd w:id="28"/>
    </w:p>
    <w:p w14:paraId="2D7189AF" w14:textId="1FEFF675" w:rsidR="00043CCF" w:rsidRPr="00BD0D2D" w:rsidRDefault="00043CCF" w:rsidP="00043CCF">
      <w:pPr>
        <w:rPr>
          <w:lang w:val="fr-FR"/>
        </w:rPr>
      </w:pPr>
      <w:r w:rsidRPr="00BD0D2D">
        <w:rPr>
          <w:noProof/>
          <w:lang w:val="fr-FR"/>
        </w:rPr>
        <w:t>12704/15 CORLX 108 CFSP/PESC 595 RELEX 769 COARM 219 MAMA 145 FIN 662 8846/15 CFSP/PESC 148 COARM 116 MAMA 37 FIN 357 8844/15 CFSP/PESC 147 RELEX 367 COARM 115 MAMA 36 FIN 356</w:t>
      </w:r>
    </w:p>
    <w:p w14:paraId="2D7189B3" w14:textId="77777777" w:rsidR="00043CCF" w:rsidRDefault="00043CCF" w:rsidP="00043CCF">
      <w:r>
        <w:rPr>
          <w:b/>
        </w:rPr>
        <w:t>Ansvarigt statsråd</w:t>
      </w:r>
      <w:r>
        <w:rPr>
          <w:b/>
        </w:rPr>
        <w:br/>
      </w:r>
      <w:r>
        <w:rPr>
          <w:noProof/>
        </w:rPr>
        <w:t>Margot Wallström</w:t>
      </w:r>
    </w:p>
    <w:p w14:paraId="2D7189B7" w14:textId="0EAAAB6C" w:rsidR="009B541C" w:rsidRDefault="00043CCF" w:rsidP="00043CCF">
      <w:r w:rsidRPr="00B44CE2">
        <w:rPr>
          <w:b/>
        </w:rPr>
        <w:t>Annotering</w:t>
      </w:r>
      <w:r>
        <w:rPr>
          <w:b/>
        </w:rPr>
        <w:br/>
      </w:r>
      <w:r>
        <w:rPr>
          <w:b/>
          <w:bCs/>
        </w:rPr>
        <w:t xml:space="preserve">Avsikt med behandlingen i rådet: </w:t>
      </w:r>
      <w:r>
        <w:t>Rådet föreslås anta r</w:t>
      </w:r>
      <w:r w:rsidR="00BD0D2D">
        <w:t>ådsbeslut som gör en ändring i b</w:t>
      </w:r>
      <w:r>
        <w:t>eslut</w:t>
      </w:r>
      <w:r w:rsidR="00BD0D2D">
        <w:t xml:space="preserve"> 2013/255/CFSP om sanktioner mot</w:t>
      </w:r>
      <w:r>
        <w:t xml:space="preserve"> Syrien samt Rådsförordning som gör en ändring av Förordning (EU) No 36/2012 om sanktioner med anledning av situationen i Syrien. </w:t>
      </w:r>
    </w:p>
    <w:p w14:paraId="2D7189B8" w14:textId="77777777" w:rsidR="009B541C" w:rsidRDefault="00043CCF">
      <w:pPr>
        <w:spacing w:after="280" w:afterAutospacing="1"/>
      </w:pPr>
      <w:r>
        <w:rPr>
          <w:b/>
          <w:bCs/>
        </w:rPr>
        <w:t>Hur regeringen ställer sig till den blivande A-punkten:</w:t>
      </w:r>
      <w:r>
        <w:t xml:space="preserve"> Regeringen kan godkänna föreliggande utkast till beslut. </w:t>
      </w:r>
    </w:p>
    <w:p w14:paraId="2D7189BA" w14:textId="2073026E" w:rsidR="00043CCF" w:rsidRDefault="00043CCF">
      <w:pPr>
        <w:spacing w:after="280" w:afterAutospacing="1"/>
        <w:rPr>
          <w:noProof/>
        </w:rPr>
      </w:pPr>
      <w:r>
        <w:rPr>
          <w:b/>
          <w:bCs/>
        </w:rPr>
        <w:t xml:space="preserve">Bakgrund: </w:t>
      </w:r>
      <w:r>
        <w:t xml:space="preserve">Rådet avser anta rådsbeslut med ändring i sanktionerna mot Syrien. Sanktionerna </w:t>
      </w:r>
      <w:proofErr w:type="gramStart"/>
      <w:r>
        <w:t>föreslås</w:t>
      </w:r>
      <w:proofErr w:type="gramEnd"/>
      <w:r>
        <w:t xml:space="preserve"> </w:t>
      </w:r>
      <w:proofErr w:type="gramStart"/>
      <w:r>
        <w:t>ändras</w:t>
      </w:r>
      <w:proofErr w:type="gramEnd"/>
      <w:r>
        <w:t xml:space="preserve"> genom att kriterier införs om status på de personer som, direkt eller indirekt, deltar i det våldsamma förtrycket av det syriska folket, samt personer som stödjer och drar nytta av regimen och de som utövar inflytande över regimen. Detta tillvägagångssätt är också i linje med utvecklingen av praxis i EU:s domstolar och är ämnat att stärka anledningarna till listningsbeslut. Alla listningsbeslut kommer fortsatt att göras på </w:t>
      </w:r>
      <w:proofErr w:type="gramStart"/>
      <w:r>
        <w:t>en</w:t>
      </w:r>
      <w:proofErr w:type="gramEnd"/>
      <w:r>
        <w:t xml:space="preserve"> individuell fall till fall grund. </w:t>
      </w:r>
    </w:p>
    <w:p w14:paraId="3BAEF5D6" w14:textId="77777777" w:rsidR="00043CCF" w:rsidRPr="00BD0D2D" w:rsidRDefault="00043CCF" w:rsidP="00043CCF">
      <w:pPr>
        <w:pStyle w:val="Rubrik1"/>
        <w:rPr>
          <w:noProof/>
          <w:lang w:val="fr-FR"/>
        </w:rPr>
      </w:pPr>
      <w:bookmarkStart w:id="29" w:name="_Toc431973519"/>
      <w:r w:rsidRPr="00BD0D2D">
        <w:rPr>
          <w:noProof/>
          <w:lang w:val="fr-FR"/>
        </w:rPr>
        <w:t>Décision du Conseil modifiant la décision 2010/573/PESC concernant des mesures restrictives à l'encontre des dirigeants de la région de Transnistrie (République de Moldavie)</w:t>
      </w:r>
      <w:bookmarkEnd w:id="29"/>
      <w:r w:rsidRPr="00BD0D2D">
        <w:rPr>
          <w:noProof/>
          <w:lang w:val="fr-FR"/>
        </w:rPr>
        <w:t xml:space="preserve"> </w:t>
      </w:r>
    </w:p>
    <w:p w14:paraId="2D7189BF" w14:textId="5C9B8290" w:rsidR="00043CCF" w:rsidRPr="00BD0D2D" w:rsidRDefault="00043CCF" w:rsidP="00043CCF">
      <w:pPr>
        <w:rPr>
          <w:lang w:val="fr-FR"/>
        </w:rPr>
      </w:pPr>
      <w:r w:rsidRPr="00BD0D2D">
        <w:rPr>
          <w:noProof/>
          <w:lang w:val="fr-FR"/>
        </w:rPr>
        <w:t>12705</w:t>
      </w:r>
      <w:r w:rsidRPr="00BD0D2D">
        <w:rPr>
          <w:lang w:val="fr-FR"/>
        </w:rPr>
        <w:t>/15 CORLX 109 CFSP/PESC 596 COEST 302 12494/15 CORLX 99 CFSP/PESC 579 COEST 295</w:t>
      </w:r>
    </w:p>
    <w:p w14:paraId="2D7189C0" w14:textId="77777777" w:rsidR="00043CCF" w:rsidRDefault="00043CCF" w:rsidP="00043CCF">
      <w:r>
        <w:rPr>
          <w:b/>
        </w:rPr>
        <w:t>Ansvarigt statsråd</w:t>
      </w:r>
      <w:r>
        <w:rPr>
          <w:b/>
        </w:rPr>
        <w:br/>
      </w:r>
      <w:r>
        <w:rPr>
          <w:noProof/>
        </w:rPr>
        <w:t>Margot Wallström</w:t>
      </w:r>
    </w:p>
    <w:p w14:paraId="2D7189C1" w14:textId="77777777" w:rsidR="00043CCF" w:rsidRPr="00643D86" w:rsidRDefault="00043CCF" w:rsidP="00043CCF">
      <w:r w:rsidRPr="00643D86">
        <w:rPr>
          <w:b/>
        </w:rPr>
        <w:t>Tidigare behandling i riksdagen</w:t>
      </w:r>
      <w:r>
        <w:rPr>
          <w:b/>
        </w:rPr>
        <w:br/>
      </w:r>
      <w:r>
        <w:rPr>
          <w:noProof/>
        </w:rPr>
        <w:t>2014-10-29</w:t>
      </w:r>
    </w:p>
    <w:p w14:paraId="2D7189C2" w14:textId="77777777" w:rsidR="00043CCF" w:rsidRPr="00643D86" w:rsidRDefault="00043CCF" w:rsidP="00043CCF">
      <w:r w:rsidRPr="00643D86">
        <w:rPr>
          <w:b/>
        </w:rPr>
        <w:lastRenderedPageBreak/>
        <w:t>Tidigare behandling vid rådsmöte</w:t>
      </w:r>
      <w:r>
        <w:rPr>
          <w:b/>
        </w:rPr>
        <w:br/>
      </w:r>
      <w:r>
        <w:rPr>
          <w:noProof/>
        </w:rPr>
        <w:t>2014-10-30</w:t>
      </w:r>
    </w:p>
    <w:p w14:paraId="2D7189C5" w14:textId="447F071B" w:rsidR="009B541C" w:rsidRDefault="00043CCF" w:rsidP="00043CCF">
      <w:r w:rsidRPr="00B44CE2">
        <w:rPr>
          <w:b/>
        </w:rPr>
        <w:t>Annotering</w:t>
      </w:r>
      <w:r>
        <w:rPr>
          <w:b/>
        </w:rPr>
        <w:br/>
      </w:r>
      <w:r>
        <w:rPr>
          <w:b/>
          <w:bCs/>
        </w:rPr>
        <w:t>Avsikt med behandlingen i rådet:</w:t>
      </w:r>
      <w:r>
        <w:t xml:space="preserve"> Behandling </w:t>
      </w:r>
      <w:r w:rsidR="00BD0D2D">
        <w:t xml:space="preserve">i rådet </w:t>
      </w:r>
      <w:bookmarkStart w:id="30" w:name="_GoBack"/>
      <w:bookmarkEnd w:id="30"/>
      <w:r>
        <w:t xml:space="preserve">avser förlängning av sanktionsregimen mot ledarna i regionen Transnistrien i Moldavien (rådsbeslut 2010/573/GUSP) till den 31 oktober 2016. </w:t>
      </w:r>
    </w:p>
    <w:p w14:paraId="2D7189C7" w14:textId="5850D88F" w:rsidR="009B541C" w:rsidRDefault="00043CCF">
      <w:pPr>
        <w:spacing w:after="280" w:afterAutospacing="1"/>
      </w:pPr>
      <w:r>
        <w:rPr>
          <w:b/>
          <w:bCs/>
        </w:rPr>
        <w:t>Hur regeringen ställer sig till den blivande A-punkten:</w:t>
      </w:r>
      <w:r>
        <w:t xml:space="preserve"> Regeringen avser rösta ja. Samråd kommer att ske med EU-nämnden inför planerat regeringsbeslut 22 oktober. </w:t>
      </w:r>
    </w:p>
    <w:p w14:paraId="2D7189C9" w14:textId="6DCB2035" w:rsidR="009B541C" w:rsidRDefault="00043CCF">
      <w:pPr>
        <w:spacing w:after="280" w:afterAutospacing="1"/>
      </w:pPr>
      <w:r>
        <w:rPr>
          <w:b/>
          <w:bCs/>
        </w:rPr>
        <w:t xml:space="preserve">Bakgrund: </w:t>
      </w:r>
      <w:r>
        <w:t xml:space="preserve">EU:s ministerråd beslöt i februari 2003 att införa sanktioner i form av reserestriktioner mot ledarskapet i utbrytarregionen. I augusti 2004 utvidgades åtgärderna till att även omfatta ett antal personer som bar ansvaret för en kampanj riktad mot ett antal skolor i Transnistrien som använder det latinska alfabetet. Den första delen av sanktionsregimen kallas "Annex I", och den andra "Annex II". </w:t>
      </w:r>
    </w:p>
    <w:p w14:paraId="2D7189CA" w14:textId="77777777" w:rsidR="009B541C" w:rsidRDefault="00043CCF">
      <w:pPr>
        <w:spacing w:after="280" w:afterAutospacing="1"/>
      </w:pPr>
      <w:r>
        <w:t xml:space="preserve">2012 beslutade rådet att helt ta bort sanktionerna avseende ”Annex I” och behålla sanktionsregimen i formell mening avseende ”Annex II”, men med en tom lista, d.v.s. inga personer är föremål för sanktionerna. I uppgörelsen 2012 ingick också att EU varje år vid sanktionsöversynen, och varje halvår vid en halvårsöversyn, ska analysera de båda problemkomplexen, d.v.s. den övergripande konflikten respektive skolfrågan. </w:t>
      </w:r>
    </w:p>
    <w:p w14:paraId="2D7189CD" w14:textId="2C9EAFEC" w:rsidR="00043CCF" w:rsidRPr="00BD0D2D" w:rsidRDefault="00043CCF" w:rsidP="00043CCF">
      <w:pPr>
        <w:spacing w:after="280" w:afterAutospacing="1"/>
      </w:pPr>
      <w:r>
        <w:t xml:space="preserve">Nu föreslås en förlängning av sanktionsregimen mot ledarna i regionen Transnistrien i Moldavien (rådsbeslut 2010/573/GUSP) till den 31 oktober 2016. Åtgärderna föreslås fortsatt vara föremål för löpande översyn, men i ingressen till beslutsutkastet hänvisas också till att en särskild översyn ska göras om ett halvår. </w:t>
      </w:r>
      <w:bookmarkEnd w:id="0"/>
    </w:p>
    <w:sectPr w:rsidR="00043CCF" w:rsidRPr="00BD0D2D" w:rsidSect="00043CCF">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189DF" w14:textId="77777777" w:rsidR="00043CCF" w:rsidRDefault="00043CCF">
      <w:pPr>
        <w:spacing w:after="0" w:line="240" w:lineRule="auto"/>
      </w:pPr>
      <w:r>
        <w:separator/>
      </w:r>
    </w:p>
  </w:endnote>
  <w:endnote w:type="continuationSeparator" w:id="0">
    <w:p w14:paraId="2D7189E1" w14:textId="77777777" w:rsidR="00043CCF" w:rsidRDefault="0004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189DB" w14:textId="77777777" w:rsidR="00043CCF" w:rsidRDefault="00043CCF">
      <w:pPr>
        <w:spacing w:after="0" w:line="240" w:lineRule="auto"/>
      </w:pPr>
      <w:r>
        <w:separator/>
      </w:r>
    </w:p>
  </w:footnote>
  <w:footnote w:type="continuationSeparator" w:id="0">
    <w:p w14:paraId="2D7189DD" w14:textId="77777777" w:rsidR="00043CCF" w:rsidRDefault="00043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565017"/>
      <w:docPartObj>
        <w:docPartGallery w:val="Page Numbers (Top of Page)"/>
        <w:docPartUnique/>
      </w:docPartObj>
    </w:sdtPr>
    <w:sdtEndPr/>
    <w:sdtContent>
      <w:p w14:paraId="45CAFA24" w14:textId="51C426C0" w:rsidR="00043CCF" w:rsidRDefault="00043CCF">
        <w:pPr>
          <w:pStyle w:val="Sidhuvud"/>
          <w:jc w:val="right"/>
        </w:pPr>
        <w:r>
          <w:fldChar w:fldCharType="begin"/>
        </w:r>
        <w:r>
          <w:instrText>PAGE   \* MERGEFORMAT</w:instrText>
        </w:r>
        <w:r>
          <w:fldChar w:fldCharType="separate"/>
        </w:r>
        <w:r w:rsidR="00FC64E8">
          <w:rPr>
            <w:noProof/>
          </w:rPr>
          <w:t>2</w:t>
        </w:r>
        <w:r>
          <w:fldChar w:fldCharType="end"/>
        </w:r>
      </w:p>
    </w:sdtContent>
  </w:sdt>
  <w:p w14:paraId="2D7189CF" w14:textId="77777777" w:rsidR="00043CCF" w:rsidRDefault="00043CCF" w:rsidP="00043CC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43CCF" w14:paraId="2D7189D5" w14:textId="77777777" w:rsidTr="00043CCF">
      <w:tc>
        <w:tcPr>
          <w:tcW w:w="4606" w:type="dxa"/>
        </w:tcPr>
        <w:p w14:paraId="2D7189D0" w14:textId="77777777" w:rsidR="00043CCF" w:rsidRDefault="00043CCF" w:rsidP="00043CCF">
          <w:pPr>
            <w:pStyle w:val="Sidhuvud"/>
            <w:ind w:left="0"/>
          </w:pPr>
          <w:r>
            <w:rPr>
              <w:noProof/>
              <w:lang w:eastAsia="sv-SE"/>
            </w:rPr>
            <w:drawing>
              <wp:inline distT="0" distB="0" distL="0" distR="0" wp14:anchorId="2D7189DB" wp14:editId="2D7189D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D7189D1" w14:textId="77777777" w:rsidR="00043CCF" w:rsidRDefault="00043CCF" w:rsidP="00043CCF">
          <w:pPr>
            <w:ind w:right="916"/>
            <w:rPr>
              <w:rFonts w:ascii="TradeGothic" w:hAnsi="TradeGothic"/>
              <w:b/>
            </w:rPr>
          </w:pPr>
        </w:p>
        <w:p w14:paraId="2D7189D2" w14:textId="77777777" w:rsidR="00043CCF" w:rsidRDefault="00043CCF" w:rsidP="00043CCF">
          <w:pPr>
            <w:ind w:right="916"/>
          </w:pPr>
          <w:r>
            <w:rPr>
              <w:rFonts w:ascii="TradeGothic" w:hAnsi="TradeGothic"/>
              <w:b/>
            </w:rPr>
            <w:t>Promemoria</w:t>
          </w:r>
        </w:p>
        <w:p w14:paraId="2D7189D3" w14:textId="77777777" w:rsidR="00043CCF" w:rsidRDefault="00043CCF" w:rsidP="00043CCF">
          <w:pPr>
            <w:jc w:val="right"/>
          </w:pPr>
        </w:p>
        <w:p w14:paraId="2D7189D4" w14:textId="412596CA" w:rsidR="00043CCF" w:rsidRDefault="00043CCF" w:rsidP="00043CCF">
          <w:pPr>
            <w:ind w:right="916"/>
          </w:pPr>
          <w:r>
            <w:rPr>
              <w:rFonts w:ascii="TradeGothic" w:hAnsi="TradeGothic"/>
              <w:b/>
              <w:noProof/>
            </w:rPr>
            <w:t>2015-10-07</w:t>
          </w:r>
          <w:r w:rsidRPr="00934953">
            <w:t xml:space="preserve"> </w:t>
          </w:r>
        </w:p>
      </w:tc>
    </w:tr>
  </w:tbl>
  <w:p w14:paraId="2D7189D6" w14:textId="77777777" w:rsidR="00043CCF" w:rsidRDefault="00043CCF" w:rsidP="00043CCF">
    <w:pPr>
      <w:pStyle w:val="Avsndare"/>
      <w:framePr w:w="0" w:hRule="auto" w:hSpace="0" w:wrap="auto" w:vAnchor="margin" w:hAnchor="text" w:xAlign="left" w:yAlign="inline"/>
      <w:rPr>
        <w:b/>
        <w:i w:val="0"/>
        <w:sz w:val="22"/>
      </w:rPr>
    </w:pPr>
  </w:p>
  <w:p w14:paraId="2D7189D7" w14:textId="77777777" w:rsidR="00043CCF" w:rsidRDefault="00043CCF" w:rsidP="00043CCF">
    <w:pPr>
      <w:pStyle w:val="Avsndare"/>
      <w:framePr w:w="0" w:hRule="auto" w:hSpace="0" w:wrap="auto" w:vAnchor="margin" w:hAnchor="text" w:xAlign="left" w:yAlign="inline"/>
      <w:rPr>
        <w:b/>
        <w:i w:val="0"/>
        <w:sz w:val="22"/>
      </w:rPr>
    </w:pPr>
    <w:r>
      <w:rPr>
        <w:b/>
        <w:i w:val="0"/>
        <w:sz w:val="22"/>
      </w:rPr>
      <w:t>Statsrådsberedningen</w:t>
    </w:r>
  </w:p>
  <w:p w14:paraId="2D7189D8" w14:textId="77777777" w:rsidR="00043CCF" w:rsidRDefault="00043CCF" w:rsidP="00043CCF">
    <w:pPr>
      <w:pStyle w:val="Avsndare"/>
      <w:framePr w:w="0" w:hRule="auto" w:hSpace="0" w:wrap="auto" w:vAnchor="margin" w:hAnchor="text" w:xAlign="left" w:yAlign="inline"/>
    </w:pPr>
  </w:p>
  <w:p w14:paraId="2D7189D9" w14:textId="77777777" w:rsidR="00043CCF" w:rsidRDefault="00043CCF" w:rsidP="00043CCF">
    <w:pPr>
      <w:pStyle w:val="Avsndare"/>
      <w:framePr w:w="0" w:hRule="auto" w:hSpace="0" w:wrap="auto" w:vAnchor="margin" w:hAnchor="text" w:xAlign="left" w:yAlign="inline"/>
    </w:pPr>
    <w:r>
      <w:t>EU-kansliet</w:t>
    </w:r>
  </w:p>
  <w:p w14:paraId="2D7189DA" w14:textId="77777777" w:rsidR="00043CCF" w:rsidRDefault="00043CC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F047ED4">
      <w:start w:val="1"/>
      <w:numFmt w:val="decimal"/>
      <w:pStyle w:val="Rubrik1"/>
      <w:lvlText w:val="%1."/>
      <w:lvlJc w:val="left"/>
      <w:pPr>
        <w:ind w:left="720" w:hanging="360"/>
      </w:pPr>
    </w:lvl>
    <w:lvl w:ilvl="1" w:tplc="F3326BF6" w:tentative="1">
      <w:start w:val="1"/>
      <w:numFmt w:val="lowerLetter"/>
      <w:lvlText w:val="%2."/>
      <w:lvlJc w:val="left"/>
      <w:pPr>
        <w:ind w:left="1440" w:hanging="360"/>
      </w:pPr>
    </w:lvl>
    <w:lvl w:ilvl="2" w:tplc="14D0F10E" w:tentative="1">
      <w:start w:val="1"/>
      <w:numFmt w:val="lowerRoman"/>
      <w:lvlText w:val="%3."/>
      <w:lvlJc w:val="right"/>
      <w:pPr>
        <w:ind w:left="2160" w:hanging="180"/>
      </w:pPr>
    </w:lvl>
    <w:lvl w:ilvl="3" w:tplc="3796FE34" w:tentative="1">
      <w:start w:val="1"/>
      <w:numFmt w:val="decimal"/>
      <w:lvlText w:val="%4."/>
      <w:lvlJc w:val="left"/>
      <w:pPr>
        <w:ind w:left="2880" w:hanging="360"/>
      </w:pPr>
    </w:lvl>
    <w:lvl w:ilvl="4" w:tplc="D3CCF70E" w:tentative="1">
      <w:start w:val="1"/>
      <w:numFmt w:val="lowerLetter"/>
      <w:lvlText w:val="%5."/>
      <w:lvlJc w:val="left"/>
      <w:pPr>
        <w:ind w:left="3600" w:hanging="360"/>
      </w:pPr>
    </w:lvl>
    <w:lvl w:ilvl="5" w:tplc="8280EF20" w:tentative="1">
      <w:start w:val="1"/>
      <w:numFmt w:val="lowerRoman"/>
      <w:lvlText w:val="%6."/>
      <w:lvlJc w:val="right"/>
      <w:pPr>
        <w:ind w:left="4320" w:hanging="180"/>
      </w:pPr>
    </w:lvl>
    <w:lvl w:ilvl="6" w:tplc="6288850E" w:tentative="1">
      <w:start w:val="1"/>
      <w:numFmt w:val="decimal"/>
      <w:lvlText w:val="%7."/>
      <w:lvlJc w:val="left"/>
      <w:pPr>
        <w:ind w:left="5040" w:hanging="360"/>
      </w:pPr>
    </w:lvl>
    <w:lvl w:ilvl="7" w:tplc="0540DB5E" w:tentative="1">
      <w:start w:val="1"/>
      <w:numFmt w:val="lowerLetter"/>
      <w:lvlText w:val="%8."/>
      <w:lvlJc w:val="left"/>
      <w:pPr>
        <w:ind w:left="5760" w:hanging="360"/>
      </w:pPr>
    </w:lvl>
    <w:lvl w:ilvl="8" w:tplc="590C91BA" w:tentative="1">
      <w:start w:val="1"/>
      <w:numFmt w:val="lowerRoman"/>
      <w:lvlText w:val="%9."/>
      <w:lvlJc w:val="right"/>
      <w:pPr>
        <w:ind w:left="6480" w:hanging="180"/>
      </w:pPr>
    </w:lvl>
  </w:abstractNum>
  <w:abstractNum w:abstractNumId="1">
    <w:nsid w:val="73990993"/>
    <w:multiLevelType w:val="hybridMultilevel"/>
    <w:tmpl w:val="3BD822EE"/>
    <w:lvl w:ilvl="0" w:tplc="F6A84C6C">
      <w:start w:val="1"/>
      <w:numFmt w:val="decimal"/>
      <w:lvlText w:val="%1."/>
      <w:lvlJc w:val="left"/>
      <w:pPr>
        <w:ind w:left="360" w:hanging="360"/>
      </w:pPr>
      <w:rPr>
        <w:b w:val="0"/>
      </w:rPr>
    </w:lvl>
    <w:lvl w:ilvl="1" w:tplc="3272AE1E" w:tentative="1">
      <w:start w:val="1"/>
      <w:numFmt w:val="lowerLetter"/>
      <w:lvlText w:val="%2."/>
      <w:lvlJc w:val="left"/>
      <w:pPr>
        <w:ind w:left="1080" w:hanging="360"/>
      </w:pPr>
    </w:lvl>
    <w:lvl w:ilvl="2" w:tplc="499670F8" w:tentative="1">
      <w:start w:val="1"/>
      <w:numFmt w:val="lowerRoman"/>
      <w:lvlText w:val="%3."/>
      <w:lvlJc w:val="right"/>
      <w:pPr>
        <w:ind w:left="1800" w:hanging="180"/>
      </w:pPr>
    </w:lvl>
    <w:lvl w:ilvl="3" w:tplc="5562E2DA" w:tentative="1">
      <w:start w:val="1"/>
      <w:numFmt w:val="decimal"/>
      <w:lvlText w:val="%4."/>
      <w:lvlJc w:val="left"/>
      <w:pPr>
        <w:ind w:left="2520" w:hanging="360"/>
      </w:pPr>
    </w:lvl>
    <w:lvl w:ilvl="4" w:tplc="735C020A" w:tentative="1">
      <w:start w:val="1"/>
      <w:numFmt w:val="lowerLetter"/>
      <w:lvlText w:val="%5."/>
      <w:lvlJc w:val="left"/>
      <w:pPr>
        <w:ind w:left="3240" w:hanging="360"/>
      </w:pPr>
    </w:lvl>
    <w:lvl w:ilvl="5" w:tplc="B6F0C83C" w:tentative="1">
      <w:start w:val="1"/>
      <w:numFmt w:val="lowerRoman"/>
      <w:lvlText w:val="%6."/>
      <w:lvlJc w:val="right"/>
      <w:pPr>
        <w:ind w:left="3960" w:hanging="180"/>
      </w:pPr>
    </w:lvl>
    <w:lvl w:ilvl="6" w:tplc="253A64D4" w:tentative="1">
      <w:start w:val="1"/>
      <w:numFmt w:val="decimal"/>
      <w:lvlText w:val="%7."/>
      <w:lvlJc w:val="left"/>
      <w:pPr>
        <w:ind w:left="4680" w:hanging="360"/>
      </w:pPr>
    </w:lvl>
    <w:lvl w:ilvl="7" w:tplc="7FEA9296" w:tentative="1">
      <w:start w:val="1"/>
      <w:numFmt w:val="lowerLetter"/>
      <w:lvlText w:val="%8."/>
      <w:lvlJc w:val="left"/>
      <w:pPr>
        <w:ind w:left="5400" w:hanging="360"/>
      </w:pPr>
    </w:lvl>
    <w:lvl w:ilvl="8" w:tplc="24E25F0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1C"/>
    <w:rsid w:val="00043CCF"/>
    <w:rsid w:val="00053683"/>
    <w:rsid w:val="00287504"/>
    <w:rsid w:val="002F2ED2"/>
    <w:rsid w:val="003144E1"/>
    <w:rsid w:val="00663DC2"/>
    <w:rsid w:val="007002AF"/>
    <w:rsid w:val="0081221D"/>
    <w:rsid w:val="00892E22"/>
    <w:rsid w:val="009B541C"/>
    <w:rsid w:val="00BD0D2D"/>
    <w:rsid w:val="00FC6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043CCF"/>
  </w:style>
  <w:style w:type="paragraph" w:styleId="Normalwebb">
    <w:name w:val="Normal (Web)"/>
    <w:basedOn w:val="Normal"/>
    <w:uiPriority w:val="99"/>
    <w:semiHidden/>
    <w:unhideWhenUsed/>
    <w:rsid w:val="00892E22"/>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892E22"/>
  </w:style>
  <w:style w:type="character" w:styleId="Stark">
    <w:name w:val="Strong"/>
    <w:basedOn w:val="Standardstycketeckensnitt"/>
    <w:uiPriority w:val="22"/>
    <w:qFormat/>
    <w:rsid w:val="007002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043CCF"/>
  </w:style>
  <w:style w:type="paragraph" w:styleId="Normalwebb">
    <w:name w:val="Normal (Web)"/>
    <w:basedOn w:val="Normal"/>
    <w:uiPriority w:val="99"/>
    <w:semiHidden/>
    <w:unhideWhenUsed/>
    <w:rsid w:val="00892E22"/>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892E22"/>
  </w:style>
  <w:style w:type="character" w:styleId="Stark">
    <w:name w:val="Strong"/>
    <w:basedOn w:val="Standardstycketeckensnitt"/>
    <w:uiPriority w:val="22"/>
    <w:qFormat/>
    <w:rsid w:val="00700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46403">
      <w:bodyDiv w:val="1"/>
      <w:marLeft w:val="0"/>
      <w:marRight w:val="0"/>
      <w:marTop w:val="0"/>
      <w:marBottom w:val="0"/>
      <w:divBdr>
        <w:top w:val="none" w:sz="0" w:space="0" w:color="auto"/>
        <w:left w:val="none" w:sz="0" w:space="0" w:color="auto"/>
        <w:bottom w:val="none" w:sz="0" w:space="0" w:color="auto"/>
        <w:right w:val="none" w:sz="0" w:space="0" w:color="auto"/>
      </w:divBdr>
      <w:divsChild>
        <w:div w:id="11884171">
          <w:marLeft w:val="0"/>
          <w:marRight w:val="0"/>
          <w:marTop w:val="0"/>
          <w:marBottom w:val="0"/>
          <w:divBdr>
            <w:top w:val="none" w:sz="0" w:space="0" w:color="auto"/>
            <w:left w:val="none" w:sz="0" w:space="0" w:color="auto"/>
            <w:bottom w:val="none" w:sz="0" w:space="0" w:color="auto"/>
            <w:right w:val="none" w:sz="0" w:space="0" w:color="auto"/>
          </w:divBdr>
          <w:divsChild>
            <w:div w:id="513961705">
              <w:marLeft w:val="0"/>
              <w:marRight w:val="0"/>
              <w:marTop w:val="0"/>
              <w:marBottom w:val="0"/>
              <w:divBdr>
                <w:top w:val="none" w:sz="0" w:space="0" w:color="auto"/>
                <w:left w:val="none" w:sz="0" w:space="0" w:color="auto"/>
                <w:bottom w:val="none" w:sz="0" w:space="0" w:color="auto"/>
                <w:right w:val="none" w:sz="0" w:space="0" w:color="auto"/>
              </w:divBdr>
              <w:divsChild>
                <w:div w:id="105587708">
                  <w:marLeft w:val="0"/>
                  <w:marRight w:val="0"/>
                  <w:marTop w:val="0"/>
                  <w:marBottom w:val="0"/>
                  <w:divBdr>
                    <w:top w:val="none" w:sz="0" w:space="0" w:color="auto"/>
                    <w:left w:val="none" w:sz="0" w:space="0" w:color="auto"/>
                    <w:bottom w:val="none" w:sz="0" w:space="0" w:color="auto"/>
                    <w:right w:val="none" w:sz="0" w:space="0" w:color="auto"/>
                  </w:divBdr>
                  <w:divsChild>
                    <w:div w:id="1503856047">
                      <w:marLeft w:val="0"/>
                      <w:marRight w:val="0"/>
                      <w:marTop w:val="0"/>
                      <w:marBottom w:val="0"/>
                      <w:divBdr>
                        <w:top w:val="none" w:sz="0" w:space="0" w:color="auto"/>
                        <w:left w:val="none" w:sz="0" w:space="0" w:color="auto"/>
                        <w:bottom w:val="none" w:sz="0" w:space="0" w:color="auto"/>
                        <w:right w:val="none" w:sz="0" w:space="0" w:color="auto"/>
                      </w:divBdr>
                      <w:divsChild>
                        <w:div w:id="2119442587">
                          <w:marLeft w:val="2325"/>
                          <w:marRight w:val="0"/>
                          <w:marTop w:val="0"/>
                          <w:marBottom w:val="0"/>
                          <w:divBdr>
                            <w:top w:val="none" w:sz="0" w:space="0" w:color="auto"/>
                            <w:left w:val="none" w:sz="0" w:space="0" w:color="auto"/>
                            <w:bottom w:val="none" w:sz="0" w:space="0" w:color="auto"/>
                            <w:right w:val="none" w:sz="0" w:space="0" w:color="auto"/>
                          </w:divBdr>
                          <w:divsChild>
                            <w:div w:id="799957763">
                              <w:marLeft w:val="0"/>
                              <w:marRight w:val="0"/>
                              <w:marTop w:val="0"/>
                              <w:marBottom w:val="0"/>
                              <w:divBdr>
                                <w:top w:val="none" w:sz="0" w:space="0" w:color="auto"/>
                                <w:left w:val="none" w:sz="0" w:space="0" w:color="auto"/>
                                <w:bottom w:val="none" w:sz="0" w:space="0" w:color="auto"/>
                                <w:right w:val="none" w:sz="0" w:space="0" w:color="auto"/>
                              </w:divBdr>
                              <w:divsChild>
                                <w:div w:id="1073770902">
                                  <w:marLeft w:val="0"/>
                                  <w:marRight w:val="0"/>
                                  <w:marTop w:val="0"/>
                                  <w:marBottom w:val="0"/>
                                  <w:divBdr>
                                    <w:top w:val="none" w:sz="0" w:space="0" w:color="auto"/>
                                    <w:left w:val="none" w:sz="0" w:space="0" w:color="auto"/>
                                    <w:bottom w:val="none" w:sz="0" w:space="0" w:color="auto"/>
                                    <w:right w:val="none" w:sz="0" w:space="0" w:color="auto"/>
                                  </w:divBdr>
                                  <w:divsChild>
                                    <w:div w:id="428548997">
                                      <w:marLeft w:val="0"/>
                                      <w:marRight w:val="0"/>
                                      <w:marTop w:val="0"/>
                                      <w:marBottom w:val="0"/>
                                      <w:divBdr>
                                        <w:top w:val="none" w:sz="0" w:space="0" w:color="auto"/>
                                        <w:left w:val="none" w:sz="0" w:space="0" w:color="auto"/>
                                        <w:bottom w:val="none" w:sz="0" w:space="0" w:color="auto"/>
                                        <w:right w:val="none" w:sz="0" w:space="0" w:color="auto"/>
                                      </w:divBdr>
                                      <w:divsChild>
                                        <w:div w:id="1865436836">
                                          <w:marLeft w:val="480"/>
                                          <w:marRight w:val="0"/>
                                          <w:marTop w:val="0"/>
                                          <w:marBottom w:val="0"/>
                                          <w:divBdr>
                                            <w:top w:val="none" w:sz="0" w:space="0" w:color="auto"/>
                                            <w:left w:val="none" w:sz="0" w:space="0" w:color="auto"/>
                                            <w:bottom w:val="none" w:sz="0" w:space="0" w:color="auto"/>
                                            <w:right w:val="none" w:sz="0" w:space="0" w:color="auto"/>
                                          </w:divBdr>
                                          <w:divsChild>
                                            <w:div w:id="720833990">
                                              <w:marLeft w:val="0"/>
                                              <w:marRight w:val="0"/>
                                              <w:marTop w:val="0"/>
                                              <w:marBottom w:val="0"/>
                                              <w:divBdr>
                                                <w:top w:val="none" w:sz="0" w:space="0" w:color="auto"/>
                                                <w:left w:val="none" w:sz="0" w:space="0" w:color="auto"/>
                                                <w:bottom w:val="none" w:sz="0" w:space="0" w:color="auto"/>
                                                <w:right w:val="none" w:sz="0" w:space="0" w:color="auto"/>
                                              </w:divBdr>
                                              <w:divsChild>
                                                <w:div w:id="593324657">
                                                  <w:marLeft w:val="0"/>
                                                  <w:marRight w:val="0"/>
                                                  <w:marTop w:val="0"/>
                                                  <w:marBottom w:val="0"/>
                                                  <w:divBdr>
                                                    <w:top w:val="none" w:sz="0" w:space="0" w:color="auto"/>
                                                    <w:left w:val="none" w:sz="0" w:space="0" w:color="auto"/>
                                                    <w:bottom w:val="none" w:sz="0" w:space="0" w:color="auto"/>
                                                    <w:right w:val="none" w:sz="0" w:space="0" w:color="auto"/>
                                                  </w:divBdr>
                                                  <w:divsChild>
                                                    <w:div w:id="2065367331">
                                                      <w:marLeft w:val="0"/>
                                                      <w:marRight w:val="0"/>
                                                      <w:marTop w:val="0"/>
                                                      <w:marBottom w:val="0"/>
                                                      <w:divBdr>
                                                        <w:top w:val="none" w:sz="0" w:space="0" w:color="auto"/>
                                                        <w:left w:val="none" w:sz="0" w:space="0" w:color="auto"/>
                                                        <w:bottom w:val="none" w:sz="0" w:space="0" w:color="auto"/>
                                                        <w:right w:val="none" w:sz="0" w:space="0" w:color="auto"/>
                                                      </w:divBdr>
                                                      <w:divsChild>
                                                        <w:div w:id="1886794218">
                                                          <w:marLeft w:val="0"/>
                                                          <w:marRight w:val="0"/>
                                                          <w:marTop w:val="0"/>
                                                          <w:marBottom w:val="0"/>
                                                          <w:divBdr>
                                                            <w:top w:val="none" w:sz="0" w:space="0" w:color="auto"/>
                                                            <w:left w:val="none" w:sz="0" w:space="0" w:color="auto"/>
                                                            <w:bottom w:val="none" w:sz="0" w:space="0" w:color="auto"/>
                                                            <w:right w:val="none" w:sz="0" w:space="0" w:color="auto"/>
                                                          </w:divBdr>
                                                          <w:divsChild>
                                                            <w:div w:id="1287080114">
                                                              <w:marLeft w:val="0"/>
                                                              <w:marRight w:val="0"/>
                                                              <w:marTop w:val="0"/>
                                                              <w:marBottom w:val="0"/>
                                                              <w:divBdr>
                                                                <w:top w:val="none" w:sz="0" w:space="0" w:color="auto"/>
                                                                <w:left w:val="none" w:sz="0" w:space="0" w:color="auto"/>
                                                                <w:bottom w:val="none" w:sz="0" w:space="0" w:color="auto"/>
                                                                <w:right w:val="none" w:sz="0" w:space="0" w:color="auto"/>
                                                              </w:divBdr>
                                                              <w:divsChild>
                                                                <w:div w:id="1095905699">
                                                                  <w:marLeft w:val="0"/>
                                                                  <w:marRight w:val="0"/>
                                                                  <w:marTop w:val="0"/>
                                                                  <w:marBottom w:val="0"/>
                                                                  <w:divBdr>
                                                                    <w:top w:val="none" w:sz="0" w:space="0" w:color="auto"/>
                                                                    <w:left w:val="none" w:sz="0" w:space="0" w:color="auto"/>
                                                                    <w:bottom w:val="none" w:sz="0" w:space="0" w:color="auto"/>
                                                                    <w:right w:val="none" w:sz="0" w:space="0" w:color="auto"/>
                                                                  </w:divBdr>
                                                                  <w:divsChild>
                                                                    <w:div w:id="971639870">
                                                                      <w:marLeft w:val="0"/>
                                                                      <w:marRight w:val="0"/>
                                                                      <w:marTop w:val="96"/>
                                                                      <w:marBottom w:val="0"/>
                                                                      <w:divBdr>
                                                                        <w:top w:val="none" w:sz="0" w:space="0" w:color="auto"/>
                                                                        <w:left w:val="none" w:sz="0" w:space="0" w:color="auto"/>
                                                                        <w:bottom w:val="none" w:sz="0" w:space="0" w:color="auto"/>
                                                                        <w:right w:val="none" w:sz="0" w:space="0" w:color="auto"/>
                                                                      </w:divBdr>
                                                                      <w:divsChild>
                                                                        <w:div w:id="660082537">
                                                                          <w:marLeft w:val="0"/>
                                                                          <w:marRight w:val="0"/>
                                                                          <w:marTop w:val="72"/>
                                                                          <w:marBottom w:val="0"/>
                                                                          <w:divBdr>
                                                                            <w:top w:val="none" w:sz="0" w:space="0" w:color="auto"/>
                                                                            <w:left w:val="none" w:sz="0" w:space="0" w:color="auto"/>
                                                                            <w:bottom w:val="none" w:sz="0" w:space="0" w:color="auto"/>
                                                                            <w:right w:val="none" w:sz="0" w:space="0" w:color="auto"/>
                                                                          </w:divBdr>
                                                                          <w:divsChild>
                                                                            <w:div w:id="42413277">
                                                                              <w:marLeft w:val="0"/>
                                                                              <w:marRight w:val="0"/>
                                                                              <w:marTop w:val="0"/>
                                                                              <w:marBottom w:val="0"/>
                                                                              <w:divBdr>
                                                                                <w:top w:val="none" w:sz="0" w:space="0" w:color="auto"/>
                                                                                <w:left w:val="none" w:sz="0" w:space="0" w:color="auto"/>
                                                                                <w:bottom w:val="none" w:sz="0" w:space="0" w:color="auto"/>
                                                                                <w:right w:val="none" w:sz="0" w:space="0" w:color="auto"/>
                                                                              </w:divBdr>
                                                                              <w:divsChild>
                                                                                <w:div w:id="1584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123153">
      <w:bodyDiv w:val="1"/>
      <w:marLeft w:val="0"/>
      <w:marRight w:val="0"/>
      <w:marTop w:val="0"/>
      <w:marBottom w:val="0"/>
      <w:divBdr>
        <w:top w:val="none" w:sz="0" w:space="0" w:color="auto"/>
        <w:left w:val="none" w:sz="0" w:space="0" w:color="auto"/>
        <w:bottom w:val="none" w:sz="0" w:space="0" w:color="auto"/>
        <w:right w:val="none" w:sz="0" w:space="0" w:color="auto"/>
      </w:divBdr>
      <w:divsChild>
        <w:div w:id="460345218">
          <w:marLeft w:val="0"/>
          <w:marRight w:val="0"/>
          <w:marTop w:val="0"/>
          <w:marBottom w:val="0"/>
          <w:divBdr>
            <w:top w:val="none" w:sz="0" w:space="0" w:color="auto"/>
            <w:left w:val="none" w:sz="0" w:space="0" w:color="auto"/>
            <w:bottom w:val="none" w:sz="0" w:space="0" w:color="auto"/>
            <w:right w:val="none" w:sz="0" w:space="0" w:color="auto"/>
          </w:divBdr>
          <w:divsChild>
            <w:div w:id="1458911523">
              <w:marLeft w:val="0"/>
              <w:marRight w:val="0"/>
              <w:marTop w:val="0"/>
              <w:marBottom w:val="0"/>
              <w:divBdr>
                <w:top w:val="none" w:sz="0" w:space="0" w:color="auto"/>
                <w:left w:val="none" w:sz="0" w:space="0" w:color="auto"/>
                <w:bottom w:val="none" w:sz="0" w:space="0" w:color="auto"/>
                <w:right w:val="none" w:sz="0" w:space="0" w:color="auto"/>
              </w:divBdr>
              <w:divsChild>
                <w:div w:id="358317454">
                  <w:marLeft w:val="0"/>
                  <w:marRight w:val="0"/>
                  <w:marTop w:val="0"/>
                  <w:marBottom w:val="0"/>
                  <w:divBdr>
                    <w:top w:val="none" w:sz="0" w:space="0" w:color="auto"/>
                    <w:left w:val="none" w:sz="0" w:space="0" w:color="auto"/>
                    <w:bottom w:val="none" w:sz="0" w:space="0" w:color="auto"/>
                    <w:right w:val="none" w:sz="0" w:space="0" w:color="auto"/>
                  </w:divBdr>
                  <w:divsChild>
                    <w:div w:id="937517297">
                      <w:marLeft w:val="0"/>
                      <w:marRight w:val="0"/>
                      <w:marTop w:val="0"/>
                      <w:marBottom w:val="0"/>
                      <w:divBdr>
                        <w:top w:val="none" w:sz="0" w:space="0" w:color="auto"/>
                        <w:left w:val="none" w:sz="0" w:space="0" w:color="auto"/>
                        <w:bottom w:val="none" w:sz="0" w:space="0" w:color="auto"/>
                        <w:right w:val="none" w:sz="0" w:space="0" w:color="auto"/>
                      </w:divBdr>
                      <w:divsChild>
                        <w:div w:id="1723597529">
                          <w:marLeft w:val="2325"/>
                          <w:marRight w:val="0"/>
                          <w:marTop w:val="0"/>
                          <w:marBottom w:val="0"/>
                          <w:divBdr>
                            <w:top w:val="none" w:sz="0" w:space="0" w:color="auto"/>
                            <w:left w:val="none" w:sz="0" w:space="0" w:color="auto"/>
                            <w:bottom w:val="none" w:sz="0" w:space="0" w:color="auto"/>
                            <w:right w:val="none" w:sz="0" w:space="0" w:color="auto"/>
                          </w:divBdr>
                          <w:divsChild>
                            <w:div w:id="1478567928">
                              <w:marLeft w:val="0"/>
                              <w:marRight w:val="0"/>
                              <w:marTop w:val="0"/>
                              <w:marBottom w:val="0"/>
                              <w:divBdr>
                                <w:top w:val="none" w:sz="0" w:space="0" w:color="auto"/>
                                <w:left w:val="none" w:sz="0" w:space="0" w:color="auto"/>
                                <w:bottom w:val="none" w:sz="0" w:space="0" w:color="auto"/>
                                <w:right w:val="none" w:sz="0" w:space="0" w:color="auto"/>
                              </w:divBdr>
                              <w:divsChild>
                                <w:div w:id="1368218259">
                                  <w:marLeft w:val="0"/>
                                  <w:marRight w:val="0"/>
                                  <w:marTop w:val="0"/>
                                  <w:marBottom w:val="0"/>
                                  <w:divBdr>
                                    <w:top w:val="none" w:sz="0" w:space="0" w:color="auto"/>
                                    <w:left w:val="none" w:sz="0" w:space="0" w:color="auto"/>
                                    <w:bottom w:val="none" w:sz="0" w:space="0" w:color="auto"/>
                                    <w:right w:val="none" w:sz="0" w:space="0" w:color="auto"/>
                                  </w:divBdr>
                                  <w:divsChild>
                                    <w:div w:id="385418766">
                                      <w:marLeft w:val="0"/>
                                      <w:marRight w:val="0"/>
                                      <w:marTop w:val="0"/>
                                      <w:marBottom w:val="0"/>
                                      <w:divBdr>
                                        <w:top w:val="none" w:sz="0" w:space="0" w:color="auto"/>
                                        <w:left w:val="none" w:sz="0" w:space="0" w:color="auto"/>
                                        <w:bottom w:val="none" w:sz="0" w:space="0" w:color="auto"/>
                                        <w:right w:val="none" w:sz="0" w:space="0" w:color="auto"/>
                                      </w:divBdr>
                                      <w:divsChild>
                                        <w:div w:id="1513372220">
                                          <w:marLeft w:val="480"/>
                                          <w:marRight w:val="0"/>
                                          <w:marTop w:val="0"/>
                                          <w:marBottom w:val="0"/>
                                          <w:divBdr>
                                            <w:top w:val="none" w:sz="0" w:space="0" w:color="auto"/>
                                            <w:left w:val="none" w:sz="0" w:space="0" w:color="auto"/>
                                            <w:bottom w:val="none" w:sz="0" w:space="0" w:color="auto"/>
                                            <w:right w:val="none" w:sz="0" w:space="0" w:color="auto"/>
                                          </w:divBdr>
                                          <w:divsChild>
                                            <w:div w:id="503403445">
                                              <w:marLeft w:val="0"/>
                                              <w:marRight w:val="0"/>
                                              <w:marTop w:val="0"/>
                                              <w:marBottom w:val="0"/>
                                              <w:divBdr>
                                                <w:top w:val="none" w:sz="0" w:space="0" w:color="auto"/>
                                                <w:left w:val="none" w:sz="0" w:space="0" w:color="auto"/>
                                                <w:bottom w:val="none" w:sz="0" w:space="0" w:color="auto"/>
                                                <w:right w:val="none" w:sz="0" w:space="0" w:color="auto"/>
                                              </w:divBdr>
                                              <w:divsChild>
                                                <w:div w:id="1089959511">
                                                  <w:marLeft w:val="0"/>
                                                  <w:marRight w:val="0"/>
                                                  <w:marTop w:val="0"/>
                                                  <w:marBottom w:val="0"/>
                                                  <w:divBdr>
                                                    <w:top w:val="none" w:sz="0" w:space="0" w:color="auto"/>
                                                    <w:left w:val="none" w:sz="0" w:space="0" w:color="auto"/>
                                                    <w:bottom w:val="none" w:sz="0" w:space="0" w:color="auto"/>
                                                    <w:right w:val="none" w:sz="0" w:space="0" w:color="auto"/>
                                                  </w:divBdr>
                                                  <w:divsChild>
                                                    <w:div w:id="1572353513">
                                                      <w:marLeft w:val="0"/>
                                                      <w:marRight w:val="0"/>
                                                      <w:marTop w:val="0"/>
                                                      <w:marBottom w:val="0"/>
                                                      <w:divBdr>
                                                        <w:top w:val="none" w:sz="0" w:space="0" w:color="auto"/>
                                                        <w:left w:val="none" w:sz="0" w:space="0" w:color="auto"/>
                                                        <w:bottom w:val="none" w:sz="0" w:space="0" w:color="auto"/>
                                                        <w:right w:val="none" w:sz="0" w:space="0" w:color="auto"/>
                                                      </w:divBdr>
                                                      <w:divsChild>
                                                        <w:div w:id="376930062">
                                                          <w:marLeft w:val="0"/>
                                                          <w:marRight w:val="0"/>
                                                          <w:marTop w:val="0"/>
                                                          <w:marBottom w:val="0"/>
                                                          <w:divBdr>
                                                            <w:top w:val="none" w:sz="0" w:space="0" w:color="auto"/>
                                                            <w:left w:val="none" w:sz="0" w:space="0" w:color="auto"/>
                                                            <w:bottom w:val="none" w:sz="0" w:space="0" w:color="auto"/>
                                                            <w:right w:val="none" w:sz="0" w:space="0" w:color="auto"/>
                                                          </w:divBdr>
                                                          <w:divsChild>
                                                            <w:div w:id="326053832">
                                                              <w:marLeft w:val="0"/>
                                                              <w:marRight w:val="0"/>
                                                              <w:marTop w:val="0"/>
                                                              <w:marBottom w:val="0"/>
                                                              <w:divBdr>
                                                                <w:top w:val="none" w:sz="0" w:space="0" w:color="auto"/>
                                                                <w:left w:val="none" w:sz="0" w:space="0" w:color="auto"/>
                                                                <w:bottom w:val="none" w:sz="0" w:space="0" w:color="auto"/>
                                                                <w:right w:val="none" w:sz="0" w:space="0" w:color="auto"/>
                                                              </w:divBdr>
                                                              <w:divsChild>
                                                                <w:div w:id="75592549">
                                                                  <w:marLeft w:val="0"/>
                                                                  <w:marRight w:val="0"/>
                                                                  <w:marTop w:val="0"/>
                                                                  <w:marBottom w:val="0"/>
                                                                  <w:divBdr>
                                                                    <w:top w:val="none" w:sz="0" w:space="0" w:color="auto"/>
                                                                    <w:left w:val="none" w:sz="0" w:space="0" w:color="auto"/>
                                                                    <w:bottom w:val="none" w:sz="0" w:space="0" w:color="auto"/>
                                                                    <w:right w:val="none" w:sz="0" w:space="0" w:color="auto"/>
                                                                  </w:divBdr>
                                                                  <w:divsChild>
                                                                    <w:div w:id="1046758608">
                                                                      <w:marLeft w:val="0"/>
                                                                      <w:marRight w:val="0"/>
                                                                      <w:marTop w:val="96"/>
                                                                      <w:marBottom w:val="0"/>
                                                                      <w:divBdr>
                                                                        <w:top w:val="none" w:sz="0" w:space="0" w:color="auto"/>
                                                                        <w:left w:val="none" w:sz="0" w:space="0" w:color="auto"/>
                                                                        <w:bottom w:val="none" w:sz="0" w:space="0" w:color="auto"/>
                                                                        <w:right w:val="none" w:sz="0" w:space="0" w:color="auto"/>
                                                                      </w:divBdr>
                                                                      <w:divsChild>
                                                                        <w:div w:id="1211110570">
                                                                          <w:marLeft w:val="0"/>
                                                                          <w:marRight w:val="0"/>
                                                                          <w:marTop w:val="72"/>
                                                                          <w:marBottom w:val="0"/>
                                                                          <w:divBdr>
                                                                            <w:top w:val="none" w:sz="0" w:space="0" w:color="auto"/>
                                                                            <w:left w:val="none" w:sz="0" w:space="0" w:color="auto"/>
                                                                            <w:bottom w:val="none" w:sz="0" w:space="0" w:color="auto"/>
                                                                            <w:right w:val="none" w:sz="0" w:space="0" w:color="auto"/>
                                                                          </w:divBdr>
                                                                        </w:div>
                                                                      </w:divsChild>
                                                                    </w:div>
                                                                    <w:div w:id="150485300">
                                                                      <w:marLeft w:val="0"/>
                                                                      <w:marRight w:val="0"/>
                                                                      <w:marTop w:val="96"/>
                                                                      <w:marBottom w:val="0"/>
                                                                      <w:divBdr>
                                                                        <w:top w:val="none" w:sz="0" w:space="0" w:color="auto"/>
                                                                        <w:left w:val="none" w:sz="0" w:space="0" w:color="auto"/>
                                                                        <w:bottom w:val="none" w:sz="0" w:space="0" w:color="auto"/>
                                                                        <w:right w:val="none" w:sz="0" w:space="0" w:color="auto"/>
                                                                      </w:divBdr>
                                                                      <w:divsChild>
                                                                        <w:div w:id="1812554739">
                                                                          <w:marLeft w:val="0"/>
                                                                          <w:marRight w:val="0"/>
                                                                          <w:marTop w:val="72"/>
                                                                          <w:marBottom w:val="0"/>
                                                                          <w:divBdr>
                                                                            <w:top w:val="none" w:sz="0" w:space="0" w:color="auto"/>
                                                                            <w:left w:val="none" w:sz="0" w:space="0" w:color="auto"/>
                                                                            <w:bottom w:val="none" w:sz="0" w:space="0" w:color="auto"/>
                                                                            <w:right w:val="none" w:sz="0" w:space="0" w:color="auto"/>
                                                                          </w:divBdr>
                                                                        </w:div>
                                                                      </w:divsChild>
                                                                    </w:div>
                                                                    <w:div w:id="1512449579">
                                                                      <w:marLeft w:val="0"/>
                                                                      <w:marRight w:val="0"/>
                                                                      <w:marTop w:val="96"/>
                                                                      <w:marBottom w:val="0"/>
                                                                      <w:divBdr>
                                                                        <w:top w:val="none" w:sz="0" w:space="0" w:color="auto"/>
                                                                        <w:left w:val="none" w:sz="0" w:space="0" w:color="auto"/>
                                                                        <w:bottom w:val="none" w:sz="0" w:space="0" w:color="auto"/>
                                                                        <w:right w:val="none" w:sz="0" w:space="0" w:color="auto"/>
                                                                      </w:divBdr>
                                                                      <w:divsChild>
                                                                        <w:div w:id="451704799">
                                                                          <w:marLeft w:val="0"/>
                                                                          <w:marRight w:val="0"/>
                                                                          <w:marTop w:val="0"/>
                                                                          <w:marBottom w:val="0"/>
                                                                          <w:divBdr>
                                                                            <w:top w:val="none" w:sz="0" w:space="0" w:color="auto"/>
                                                                            <w:left w:val="none" w:sz="0" w:space="0" w:color="auto"/>
                                                                            <w:bottom w:val="none" w:sz="0" w:space="0" w:color="auto"/>
                                                                            <w:right w:val="none" w:sz="0" w:space="0" w:color="auto"/>
                                                                          </w:divBdr>
                                                                        </w:div>
                                                                      </w:divsChild>
                                                                    </w:div>
                                                                    <w:div w:id="1294872959">
                                                                      <w:marLeft w:val="0"/>
                                                                      <w:marRight w:val="0"/>
                                                                      <w:marTop w:val="0"/>
                                                                      <w:marBottom w:val="0"/>
                                                                      <w:divBdr>
                                                                        <w:top w:val="none" w:sz="0" w:space="0" w:color="auto"/>
                                                                        <w:left w:val="none" w:sz="0" w:space="0" w:color="auto"/>
                                                                        <w:bottom w:val="none" w:sz="0" w:space="0" w:color="auto"/>
                                                                        <w:right w:val="none" w:sz="0" w:space="0" w:color="auto"/>
                                                                      </w:divBdr>
                                                                      <w:divsChild>
                                                                        <w:div w:id="292029589">
                                                                          <w:marLeft w:val="0"/>
                                                                          <w:marRight w:val="0"/>
                                                                          <w:marTop w:val="96"/>
                                                                          <w:marBottom w:val="0"/>
                                                                          <w:divBdr>
                                                                            <w:top w:val="none" w:sz="0" w:space="0" w:color="auto"/>
                                                                            <w:left w:val="none" w:sz="0" w:space="0" w:color="auto"/>
                                                                            <w:bottom w:val="none" w:sz="0" w:space="0" w:color="auto"/>
                                                                            <w:right w:val="none" w:sz="0" w:space="0" w:color="auto"/>
                                                                          </w:divBdr>
                                                                          <w:divsChild>
                                                                            <w:div w:id="16836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9272">
                                                                      <w:marLeft w:val="0"/>
                                                                      <w:marRight w:val="0"/>
                                                                      <w:marTop w:val="0"/>
                                                                      <w:marBottom w:val="0"/>
                                                                      <w:divBdr>
                                                                        <w:top w:val="none" w:sz="0" w:space="0" w:color="auto"/>
                                                                        <w:left w:val="none" w:sz="0" w:space="0" w:color="auto"/>
                                                                        <w:bottom w:val="none" w:sz="0" w:space="0" w:color="auto"/>
                                                                        <w:right w:val="none" w:sz="0" w:space="0" w:color="auto"/>
                                                                      </w:divBdr>
                                                                      <w:divsChild>
                                                                        <w:div w:id="1506818029">
                                                                          <w:marLeft w:val="0"/>
                                                                          <w:marRight w:val="0"/>
                                                                          <w:marTop w:val="96"/>
                                                                          <w:marBottom w:val="0"/>
                                                                          <w:divBdr>
                                                                            <w:top w:val="none" w:sz="0" w:space="0" w:color="auto"/>
                                                                            <w:left w:val="none" w:sz="0" w:space="0" w:color="auto"/>
                                                                            <w:bottom w:val="none" w:sz="0" w:space="0" w:color="auto"/>
                                                                            <w:right w:val="none" w:sz="0" w:space="0" w:color="auto"/>
                                                                          </w:divBdr>
                                                                          <w:divsChild>
                                                                            <w:div w:id="20371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67051">
                                                                      <w:marLeft w:val="0"/>
                                                                      <w:marRight w:val="0"/>
                                                                      <w:marTop w:val="96"/>
                                                                      <w:marBottom w:val="0"/>
                                                                      <w:divBdr>
                                                                        <w:top w:val="none" w:sz="0" w:space="0" w:color="auto"/>
                                                                        <w:left w:val="none" w:sz="0" w:space="0" w:color="auto"/>
                                                                        <w:bottom w:val="none" w:sz="0" w:space="0" w:color="auto"/>
                                                                        <w:right w:val="none" w:sz="0" w:space="0" w:color="auto"/>
                                                                      </w:divBdr>
                                                                      <w:divsChild>
                                                                        <w:div w:id="343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382018">
      <w:bodyDiv w:val="1"/>
      <w:marLeft w:val="0"/>
      <w:marRight w:val="0"/>
      <w:marTop w:val="0"/>
      <w:marBottom w:val="0"/>
      <w:divBdr>
        <w:top w:val="none" w:sz="0" w:space="0" w:color="auto"/>
        <w:left w:val="none" w:sz="0" w:space="0" w:color="auto"/>
        <w:bottom w:val="none" w:sz="0" w:space="0" w:color="auto"/>
        <w:right w:val="none" w:sz="0" w:space="0" w:color="auto"/>
      </w:divBdr>
      <w:divsChild>
        <w:div w:id="1658651537">
          <w:marLeft w:val="0"/>
          <w:marRight w:val="0"/>
          <w:marTop w:val="0"/>
          <w:marBottom w:val="0"/>
          <w:divBdr>
            <w:top w:val="none" w:sz="0" w:space="0" w:color="auto"/>
            <w:left w:val="none" w:sz="0" w:space="0" w:color="auto"/>
            <w:bottom w:val="none" w:sz="0" w:space="0" w:color="auto"/>
            <w:right w:val="none" w:sz="0" w:space="0" w:color="auto"/>
          </w:divBdr>
          <w:divsChild>
            <w:div w:id="397293114">
              <w:marLeft w:val="0"/>
              <w:marRight w:val="0"/>
              <w:marTop w:val="0"/>
              <w:marBottom w:val="0"/>
              <w:divBdr>
                <w:top w:val="none" w:sz="0" w:space="0" w:color="auto"/>
                <w:left w:val="none" w:sz="0" w:space="0" w:color="auto"/>
                <w:bottom w:val="none" w:sz="0" w:space="0" w:color="auto"/>
                <w:right w:val="none" w:sz="0" w:space="0" w:color="auto"/>
              </w:divBdr>
              <w:divsChild>
                <w:div w:id="1897163487">
                  <w:marLeft w:val="0"/>
                  <w:marRight w:val="0"/>
                  <w:marTop w:val="0"/>
                  <w:marBottom w:val="0"/>
                  <w:divBdr>
                    <w:top w:val="none" w:sz="0" w:space="0" w:color="auto"/>
                    <w:left w:val="none" w:sz="0" w:space="0" w:color="auto"/>
                    <w:bottom w:val="none" w:sz="0" w:space="0" w:color="auto"/>
                    <w:right w:val="none" w:sz="0" w:space="0" w:color="auto"/>
                  </w:divBdr>
                  <w:divsChild>
                    <w:div w:id="1577520315">
                      <w:marLeft w:val="0"/>
                      <w:marRight w:val="0"/>
                      <w:marTop w:val="0"/>
                      <w:marBottom w:val="0"/>
                      <w:divBdr>
                        <w:top w:val="none" w:sz="0" w:space="0" w:color="auto"/>
                        <w:left w:val="none" w:sz="0" w:space="0" w:color="auto"/>
                        <w:bottom w:val="none" w:sz="0" w:space="0" w:color="auto"/>
                        <w:right w:val="none" w:sz="0" w:space="0" w:color="auto"/>
                      </w:divBdr>
                      <w:divsChild>
                        <w:div w:id="1924221666">
                          <w:marLeft w:val="2325"/>
                          <w:marRight w:val="0"/>
                          <w:marTop w:val="0"/>
                          <w:marBottom w:val="0"/>
                          <w:divBdr>
                            <w:top w:val="none" w:sz="0" w:space="0" w:color="auto"/>
                            <w:left w:val="none" w:sz="0" w:space="0" w:color="auto"/>
                            <w:bottom w:val="none" w:sz="0" w:space="0" w:color="auto"/>
                            <w:right w:val="none" w:sz="0" w:space="0" w:color="auto"/>
                          </w:divBdr>
                          <w:divsChild>
                            <w:div w:id="446000395">
                              <w:marLeft w:val="0"/>
                              <w:marRight w:val="0"/>
                              <w:marTop w:val="0"/>
                              <w:marBottom w:val="0"/>
                              <w:divBdr>
                                <w:top w:val="none" w:sz="0" w:space="0" w:color="auto"/>
                                <w:left w:val="none" w:sz="0" w:space="0" w:color="auto"/>
                                <w:bottom w:val="none" w:sz="0" w:space="0" w:color="auto"/>
                                <w:right w:val="none" w:sz="0" w:space="0" w:color="auto"/>
                              </w:divBdr>
                              <w:divsChild>
                                <w:div w:id="484250015">
                                  <w:marLeft w:val="0"/>
                                  <w:marRight w:val="0"/>
                                  <w:marTop w:val="0"/>
                                  <w:marBottom w:val="0"/>
                                  <w:divBdr>
                                    <w:top w:val="none" w:sz="0" w:space="0" w:color="auto"/>
                                    <w:left w:val="none" w:sz="0" w:space="0" w:color="auto"/>
                                    <w:bottom w:val="none" w:sz="0" w:space="0" w:color="auto"/>
                                    <w:right w:val="none" w:sz="0" w:space="0" w:color="auto"/>
                                  </w:divBdr>
                                  <w:divsChild>
                                    <w:div w:id="2044360486">
                                      <w:marLeft w:val="0"/>
                                      <w:marRight w:val="0"/>
                                      <w:marTop w:val="0"/>
                                      <w:marBottom w:val="0"/>
                                      <w:divBdr>
                                        <w:top w:val="none" w:sz="0" w:space="0" w:color="auto"/>
                                        <w:left w:val="none" w:sz="0" w:space="0" w:color="auto"/>
                                        <w:bottom w:val="none" w:sz="0" w:space="0" w:color="auto"/>
                                        <w:right w:val="none" w:sz="0" w:space="0" w:color="auto"/>
                                      </w:divBdr>
                                      <w:divsChild>
                                        <w:div w:id="7299973">
                                          <w:marLeft w:val="480"/>
                                          <w:marRight w:val="0"/>
                                          <w:marTop w:val="0"/>
                                          <w:marBottom w:val="0"/>
                                          <w:divBdr>
                                            <w:top w:val="none" w:sz="0" w:space="0" w:color="auto"/>
                                            <w:left w:val="none" w:sz="0" w:space="0" w:color="auto"/>
                                            <w:bottom w:val="none" w:sz="0" w:space="0" w:color="auto"/>
                                            <w:right w:val="none" w:sz="0" w:space="0" w:color="auto"/>
                                          </w:divBdr>
                                          <w:divsChild>
                                            <w:div w:id="1208252458">
                                              <w:marLeft w:val="0"/>
                                              <w:marRight w:val="0"/>
                                              <w:marTop w:val="0"/>
                                              <w:marBottom w:val="0"/>
                                              <w:divBdr>
                                                <w:top w:val="none" w:sz="0" w:space="0" w:color="auto"/>
                                                <w:left w:val="none" w:sz="0" w:space="0" w:color="auto"/>
                                                <w:bottom w:val="none" w:sz="0" w:space="0" w:color="auto"/>
                                                <w:right w:val="none" w:sz="0" w:space="0" w:color="auto"/>
                                              </w:divBdr>
                                              <w:divsChild>
                                                <w:div w:id="1132361825">
                                                  <w:marLeft w:val="0"/>
                                                  <w:marRight w:val="0"/>
                                                  <w:marTop w:val="0"/>
                                                  <w:marBottom w:val="0"/>
                                                  <w:divBdr>
                                                    <w:top w:val="none" w:sz="0" w:space="0" w:color="auto"/>
                                                    <w:left w:val="none" w:sz="0" w:space="0" w:color="auto"/>
                                                    <w:bottom w:val="none" w:sz="0" w:space="0" w:color="auto"/>
                                                    <w:right w:val="none" w:sz="0" w:space="0" w:color="auto"/>
                                                  </w:divBdr>
                                                  <w:divsChild>
                                                    <w:div w:id="302001197">
                                                      <w:marLeft w:val="0"/>
                                                      <w:marRight w:val="0"/>
                                                      <w:marTop w:val="0"/>
                                                      <w:marBottom w:val="0"/>
                                                      <w:divBdr>
                                                        <w:top w:val="none" w:sz="0" w:space="0" w:color="auto"/>
                                                        <w:left w:val="none" w:sz="0" w:space="0" w:color="auto"/>
                                                        <w:bottom w:val="none" w:sz="0" w:space="0" w:color="auto"/>
                                                        <w:right w:val="none" w:sz="0" w:space="0" w:color="auto"/>
                                                      </w:divBdr>
                                                      <w:divsChild>
                                                        <w:div w:id="712274365">
                                                          <w:marLeft w:val="0"/>
                                                          <w:marRight w:val="0"/>
                                                          <w:marTop w:val="0"/>
                                                          <w:marBottom w:val="0"/>
                                                          <w:divBdr>
                                                            <w:top w:val="none" w:sz="0" w:space="0" w:color="auto"/>
                                                            <w:left w:val="none" w:sz="0" w:space="0" w:color="auto"/>
                                                            <w:bottom w:val="none" w:sz="0" w:space="0" w:color="auto"/>
                                                            <w:right w:val="none" w:sz="0" w:space="0" w:color="auto"/>
                                                          </w:divBdr>
                                                          <w:divsChild>
                                                            <w:div w:id="713846659">
                                                              <w:marLeft w:val="0"/>
                                                              <w:marRight w:val="0"/>
                                                              <w:marTop w:val="0"/>
                                                              <w:marBottom w:val="0"/>
                                                              <w:divBdr>
                                                                <w:top w:val="none" w:sz="0" w:space="0" w:color="auto"/>
                                                                <w:left w:val="none" w:sz="0" w:space="0" w:color="auto"/>
                                                                <w:bottom w:val="none" w:sz="0" w:space="0" w:color="auto"/>
                                                                <w:right w:val="none" w:sz="0" w:space="0" w:color="auto"/>
                                                              </w:divBdr>
                                                              <w:divsChild>
                                                                <w:div w:id="229123319">
                                                                  <w:marLeft w:val="0"/>
                                                                  <w:marRight w:val="0"/>
                                                                  <w:marTop w:val="0"/>
                                                                  <w:marBottom w:val="0"/>
                                                                  <w:divBdr>
                                                                    <w:top w:val="none" w:sz="0" w:space="0" w:color="auto"/>
                                                                    <w:left w:val="none" w:sz="0" w:space="0" w:color="auto"/>
                                                                    <w:bottom w:val="none" w:sz="0" w:space="0" w:color="auto"/>
                                                                    <w:right w:val="none" w:sz="0" w:space="0" w:color="auto"/>
                                                                  </w:divBdr>
                                                                  <w:divsChild>
                                                                    <w:div w:id="2073306375">
                                                                      <w:marLeft w:val="0"/>
                                                                      <w:marRight w:val="0"/>
                                                                      <w:marTop w:val="96"/>
                                                                      <w:marBottom w:val="0"/>
                                                                      <w:divBdr>
                                                                        <w:top w:val="none" w:sz="0" w:space="0" w:color="auto"/>
                                                                        <w:left w:val="none" w:sz="0" w:space="0" w:color="auto"/>
                                                                        <w:bottom w:val="none" w:sz="0" w:space="0" w:color="auto"/>
                                                                        <w:right w:val="none" w:sz="0" w:space="0" w:color="auto"/>
                                                                      </w:divBdr>
                                                                      <w:divsChild>
                                                                        <w:div w:id="1374229435">
                                                                          <w:marLeft w:val="0"/>
                                                                          <w:marRight w:val="0"/>
                                                                          <w:marTop w:val="72"/>
                                                                          <w:marBottom w:val="0"/>
                                                                          <w:divBdr>
                                                                            <w:top w:val="none" w:sz="0" w:space="0" w:color="auto"/>
                                                                            <w:left w:val="none" w:sz="0" w:space="0" w:color="auto"/>
                                                                            <w:bottom w:val="none" w:sz="0" w:space="0" w:color="auto"/>
                                                                            <w:right w:val="none" w:sz="0" w:space="0" w:color="auto"/>
                                                                          </w:divBdr>
                                                                          <w:divsChild>
                                                                            <w:div w:id="599947842">
                                                                              <w:marLeft w:val="0"/>
                                                                              <w:marRight w:val="0"/>
                                                                              <w:marTop w:val="0"/>
                                                                              <w:marBottom w:val="0"/>
                                                                              <w:divBdr>
                                                                                <w:top w:val="none" w:sz="0" w:space="0" w:color="auto"/>
                                                                                <w:left w:val="none" w:sz="0" w:space="0" w:color="auto"/>
                                                                                <w:bottom w:val="none" w:sz="0" w:space="0" w:color="auto"/>
                                                                                <w:right w:val="none" w:sz="0" w:space="0" w:color="auto"/>
                                                                              </w:divBdr>
                                                                              <w:divsChild>
                                                                                <w:div w:id="16837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JE6N4JFJXNNF-9-69283</_dlc_DocId>
    <_dlc_DocIdUrl xmlns="8b66ae41-1ec6-402e-b662-35d1932ca064">
      <Url>http://rkdhs-sb/enhet/EUKansli/_layouts/DocIdRedir.aspx?ID=JE6N4JFJXNNF-9-69283</Url>
      <Description>JE6N4JFJXNNF-9-69283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573C-48FC-43E8-BF20-F0E82426074A}">
  <ds:schemaRefs>
    <ds:schemaRef ds:uri="http://schemas.microsoft.com/sharepoint/v3/contenttype/forms"/>
  </ds:schemaRefs>
</ds:datastoreItem>
</file>

<file path=customXml/itemProps2.xml><?xml version="1.0" encoding="utf-8"?>
<ds:datastoreItem xmlns:ds="http://schemas.openxmlformats.org/officeDocument/2006/customXml" ds:itemID="{BBE1E699-1AB8-495F-BFA4-DB8975B6FCB1}">
  <ds:schemaRefs>
    <ds:schemaRef ds:uri="http://purl.org/dc/elements/1.1/"/>
    <ds:schemaRef ds:uri="http://purl.org/dc/dcmitype/"/>
    <ds:schemaRef ds:uri="8b66ae41-1ec6-402e-b662-35d1932ca064"/>
    <ds:schemaRef ds:uri="e4c0beb7-0294-4d25-9600-346807c0961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D261534-A999-48B9-BD9C-BC5D13A0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0DFF1-B0F8-45CD-92E0-9BE15FD666EF}">
  <ds:schemaRefs>
    <ds:schemaRef ds:uri="http://schemas.microsoft.com/sharepoint/events"/>
  </ds:schemaRefs>
</ds:datastoreItem>
</file>

<file path=customXml/itemProps5.xml><?xml version="1.0" encoding="utf-8"?>
<ds:datastoreItem xmlns:ds="http://schemas.openxmlformats.org/officeDocument/2006/customXml" ds:itemID="{23BE19E4-79A0-43FC-8843-C9C4E62890F1}">
  <ds:schemaRefs>
    <ds:schemaRef ds:uri="http://schemas.microsoft.com/office/2006/metadata/customXsn"/>
  </ds:schemaRefs>
</ds:datastoreItem>
</file>

<file path=customXml/itemProps6.xml><?xml version="1.0" encoding="utf-8"?>
<ds:datastoreItem xmlns:ds="http://schemas.openxmlformats.org/officeDocument/2006/customXml" ds:itemID="{AE6D3A69-FA47-4F17-B38E-200389994F64}">
  <ds:schemaRefs>
    <ds:schemaRef ds:uri="http://schemas.microsoft.com/sharepoint/v3/contenttype/forms/url"/>
  </ds:schemaRefs>
</ds:datastoreItem>
</file>

<file path=customXml/itemProps7.xml><?xml version="1.0" encoding="utf-8"?>
<ds:datastoreItem xmlns:ds="http://schemas.openxmlformats.org/officeDocument/2006/customXml" ds:itemID="{011E5DA6-974F-4D38-91D8-1E58F30B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7152</Words>
  <Characters>37906</Characters>
  <Application>Microsoft Office Word</Application>
  <DocSecurity>4</DocSecurity>
  <Lines>315</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Caroline Torén</cp:lastModifiedBy>
  <cp:revision>2</cp:revision>
  <dcterms:created xsi:type="dcterms:W3CDTF">2015-10-07T09:26:00Z</dcterms:created>
  <dcterms:modified xsi:type="dcterms:W3CDTF">2015-10-07T09:26:00Z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21f7ec49-0c7b-4f2d-b25c-b0382dcd5bc8</vt:lpwstr>
  </property>
</Properties>
</file>