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7D26732E204B4A983C7C4B2A7DEC92"/>
        </w:placeholder>
        <w:text/>
      </w:sdtPr>
      <w:sdtEndPr/>
      <w:sdtContent>
        <w:p w:rsidRPr="009B062B" w:rsidR="00AF30DD" w:rsidP="00626915" w:rsidRDefault="00AF30DD" w14:paraId="6398F51C" w14:textId="77777777">
          <w:pPr>
            <w:pStyle w:val="Rubrik1"/>
            <w:spacing w:after="300"/>
          </w:pPr>
          <w:r w:rsidRPr="009B062B">
            <w:t>Förslag till riksdagsbeslut</w:t>
          </w:r>
        </w:p>
      </w:sdtContent>
    </w:sdt>
    <w:sdt>
      <w:sdtPr>
        <w:alias w:val="Yrkande 1"/>
        <w:tag w:val="43b629ef-9769-4a1b-816b-d2618408f065"/>
        <w:id w:val="-928733775"/>
        <w:lock w:val="sdtLocked"/>
      </w:sdtPr>
      <w:sdtEndPr/>
      <w:sdtContent>
        <w:p w:rsidR="005901CD" w:rsidRDefault="005958A4" w14:paraId="4C5E9A4F" w14:textId="77777777">
          <w:pPr>
            <w:pStyle w:val="Frslagstext"/>
          </w:pPr>
          <w:r>
            <w:t>Riksdagen anvisar anslagen för 2021 inom utgiftsområde 24 Näringsliv enligt förslaget i tabell 1 i motionen.</w:t>
          </w:r>
        </w:p>
      </w:sdtContent>
    </w:sdt>
    <w:sdt>
      <w:sdtPr>
        <w:alias w:val="Yrkande 2"/>
        <w:tag w:val="45fd8272-8f07-4b80-b7f4-1b482fc63dcb"/>
        <w:id w:val="-611508064"/>
        <w:lock w:val="sdtLocked"/>
      </w:sdtPr>
      <w:sdtEndPr/>
      <w:sdtContent>
        <w:p w:rsidR="005901CD" w:rsidRDefault="005958A4" w14:paraId="698D5373" w14:textId="77777777">
          <w:pPr>
            <w:pStyle w:val="Frslagstext"/>
          </w:pPr>
          <w:r>
            <w:t>Riksdagen ställer sig bakom det som anförs i motionen om att minska anslag 1:3 Institutens strategiska kompetensmedel och tillkännager detta för regeringen.</w:t>
          </w:r>
        </w:p>
      </w:sdtContent>
    </w:sdt>
    <w:sdt>
      <w:sdtPr>
        <w:alias w:val="Yrkande 3"/>
        <w:tag w:val="c4958879-47f7-468b-8464-1798d4e463a6"/>
        <w:id w:val="174861330"/>
        <w:lock w:val="sdtLocked"/>
      </w:sdtPr>
      <w:sdtEndPr/>
      <w:sdtContent>
        <w:p w:rsidR="005901CD" w:rsidRDefault="005958A4" w14:paraId="76A0785D" w14:textId="77777777">
          <w:pPr>
            <w:pStyle w:val="Frslagstext"/>
          </w:pPr>
          <w:r>
            <w:t>Riksdagen ställer sig bakom det som anförs i motionen om att minska ägandet eller sälja statens andel i Green Cargo AB och tillkännager detta för regeringen.</w:t>
          </w:r>
        </w:p>
      </w:sdtContent>
    </w:sdt>
    <w:sdt>
      <w:sdtPr>
        <w:alias w:val="Yrkande 4"/>
        <w:tag w:val="566fd81e-bea2-4e1e-8513-98935031d3f7"/>
        <w:id w:val="1531759730"/>
        <w:lock w:val="sdtLocked"/>
      </w:sdtPr>
      <w:sdtEndPr/>
      <w:sdtContent>
        <w:p w:rsidR="005901CD" w:rsidRDefault="005958A4" w14:paraId="7B921116" w14:textId="77777777">
          <w:pPr>
            <w:pStyle w:val="Frslagstext"/>
          </w:pPr>
          <w:r>
            <w:t>Riksdagen ställer sig bakom det som anförs i motionen om att öka anslag 2:3 Exportfrämjande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5D2E394AE042A1853640E7D7E982B2"/>
        </w:placeholder>
        <w:text/>
      </w:sdtPr>
      <w:sdtEndPr/>
      <w:sdtContent>
        <w:p w:rsidRPr="00D955E3" w:rsidR="006D79C9" w:rsidP="00333E95" w:rsidRDefault="00990EC3" w14:paraId="589305E0" w14:textId="154E12D2">
          <w:pPr>
            <w:pStyle w:val="Rubrik1"/>
          </w:pPr>
          <w:r>
            <w:t>Förslag till anslagsfördelning</w:t>
          </w:r>
        </w:p>
      </w:sdtContent>
    </w:sdt>
    <w:p w:rsidRPr="00D955E3" w:rsidR="00626915" w:rsidP="00A60E07" w:rsidRDefault="00E26A5A" w14:paraId="62C87B5C" w14:textId="66352FB3">
      <w:pPr>
        <w:pStyle w:val="Rubrik2"/>
        <w:spacing w:before="440"/>
        <w:rPr>
          <w:lang w:eastAsia="sv-SE"/>
        </w:rPr>
      </w:pPr>
      <w:r w:rsidRPr="00D955E3">
        <w:rPr>
          <w:lang w:eastAsia="sv-SE"/>
        </w:rPr>
        <w:t>Anslagsförslag 2021 för utgiftsområde 24 Näringsliv</w:t>
      </w:r>
    </w:p>
    <w:p w:rsidRPr="00A60E07" w:rsidR="003E6836" w:rsidP="00A60E07" w:rsidRDefault="003E6836" w14:paraId="04177298" w14:textId="77777777">
      <w:pPr>
        <w:pStyle w:val="Tabellrubrik"/>
        <w:keepNext/>
      </w:pPr>
      <w:r w:rsidRPr="00A60E07">
        <w:t>Tabell 1 Moderaternas förslag till anslag för 2020 uttryckt som differens gentemot regeringens förslag</w:t>
      </w:r>
    </w:p>
    <w:p w:rsidRPr="00A60E07" w:rsidR="00626915" w:rsidP="00A60E07" w:rsidRDefault="00626915" w14:paraId="570863D2" w14:textId="645AA276">
      <w:pPr>
        <w:pStyle w:val="Tabellunderrubrik"/>
        <w:keepNext/>
      </w:pPr>
      <w:r w:rsidRPr="00A60E07">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D955E3" w:rsidR="00626915" w:rsidTr="00BA3C57" w14:paraId="3B08E359" w14:textId="77777777">
        <w:trPr>
          <w:cantSplit/>
          <w:tblHeader/>
        </w:trPr>
        <w:tc>
          <w:tcPr>
            <w:tcW w:w="5047"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D955E3" w:rsidR="00626915" w:rsidP="00A60E07" w:rsidRDefault="00626915" w14:paraId="77EA5BB5" w14:textId="77777777">
            <w:pPr>
              <w:spacing w:line="240" w:lineRule="exact"/>
              <w:ind w:firstLine="0"/>
              <w:rPr>
                <w:rFonts w:ascii="Times New Roman" w:hAnsi="Times New Roman" w:cs="Times New Roman"/>
                <w:b/>
                <w:bCs/>
                <w:color w:val="000000"/>
                <w:sz w:val="20"/>
                <w:szCs w:val="20"/>
                <w:lang w:eastAsia="sv-SE"/>
              </w:rPr>
            </w:pPr>
            <w:r w:rsidRPr="00D955E3">
              <w:rPr>
                <w:rFonts w:ascii="Times New Roman" w:hAnsi="Times New Roman" w:cs="Times New Roman"/>
                <w:b/>
                <w:bCs/>
                <w:color w:val="000000"/>
                <w:sz w:val="20"/>
                <w:szCs w:val="20"/>
                <w:lang w:eastAsia="sv-SE"/>
              </w:rPr>
              <w:t>Ramanslag</w:t>
            </w:r>
          </w:p>
        </w:tc>
        <w:tc>
          <w:tcPr>
            <w:tcW w:w="1729"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D955E3" w:rsidR="00626915" w:rsidP="00A60E07" w:rsidRDefault="00626915" w14:paraId="74CD2896" w14:textId="77777777">
            <w:pPr>
              <w:spacing w:line="240" w:lineRule="exact"/>
              <w:ind w:firstLine="0"/>
              <w:jc w:val="right"/>
              <w:rPr>
                <w:rFonts w:ascii="Times New Roman" w:hAnsi="Times New Roman" w:cs="Times New Roman"/>
                <w:b/>
                <w:bCs/>
                <w:color w:val="000000"/>
                <w:sz w:val="20"/>
                <w:szCs w:val="20"/>
                <w:lang w:eastAsia="sv-SE"/>
              </w:rPr>
            </w:pPr>
            <w:r w:rsidRPr="00D955E3">
              <w:rPr>
                <w:rFonts w:ascii="Times New Roman" w:hAnsi="Times New Roman" w:cs="Times New Roman"/>
                <w:b/>
                <w:bCs/>
                <w:color w:val="000000"/>
                <w:sz w:val="20"/>
                <w:szCs w:val="20"/>
                <w:lang w:eastAsia="sv-SE"/>
              </w:rPr>
              <w:t>Regeringens förslag</w:t>
            </w:r>
          </w:p>
        </w:tc>
        <w:tc>
          <w:tcPr>
            <w:tcW w:w="1729"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D955E3" w:rsidR="00626915" w:rsidP="00A60E07" w:rsidRDefault="00626915" w14:paraId="7D9AE9D1" w14:textId="77777777">
            <w:pPr>
              <w:spacing w:line="240" w:lineRule="exact"/>
              <w:ind w:firstLine="0"/>
              <w:jc w:val="right"/>
              <w:rPr>
                <w:rFonts w:ascii="Times New Roman" w:hAnsi="Times New Roman" w:cs="Times New Roman"/>
                <w:b/>
                <w:bCs/>
                <w:color w:val="000000"/>
                <w:sz w:val="20"/>
                <w:szCs w:val="20"/>
                <w:lang w:eastAsia="sv-SE"/>
              </w:rPr>
            </w:pPr>
            <w:r w:rsidRPr="00D955E3">
              <w:rPr>
                <w:rFonts w:ascii="Times New Roman" w:hAnsi="Times New Roman" w:cs="Times New Roman"/>
                <w:b/>
                <w:bCs/>
                <w:color w:val="000000"/>
                <w:sz w:val="20"/>
                <w:szCs w:val="20"/>
                <w:lang w:eastAsia="sv-SE"/>
              </w:rPr>
              <w:t>Avvikelse från regeringen</w:t>
            </w:r>
          </w:p>
        </w:tc>
      </w:tr>
      <w:tr w:rsidRPr="00D955E3" w:rsidR="00626915" w:rsidTr="00BA3C57" w14:paraId="50BED2A0"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5F06A0E0"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1C569F86"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Verket för innovationssystem</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42328B9B"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255 442</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28228E6E"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1F64FD3A"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3A31499"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1:2</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625A0E91"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Verket för innovationssystem: Forskning och utveckling</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33EDBA7A"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3 548 255</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4217A014"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5040AE06"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00536B5F"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1:3</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1B4AD210"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Institutens strategiska kompetensmedel</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20696C49"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1 054 268</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76BDE6D"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−200 000</w:t>
            </w:r>
          </w:p>
        </w:tc>
      </w:tr>
      <w:tr w:rsidRPr="00D955E3" w:rsidR="00626915" w:rsidTr="00BA3C57" w14:paraId="062254FC"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5C60FF62"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1:4</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10323F53"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Tillväxtverket</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72B41C21"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327 175</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2A81B0C"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308697BF"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6E22EECF"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1:5</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4D3072ED"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Näringslivsutveckling</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6B5C2D7"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977 022</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6009CA8"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0762B553"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36785580"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lastRenderedPageBreak/>
              <w:t>1:6</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4174E48B"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Myndigheten för tillväxtpolitiska utvärderingar och analyser</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3C70888E"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65 342</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4433842E"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2B054CDC"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70D2F81B"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1:7</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68852489"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Turistfrämjande</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6D77801"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144 613</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2323AF35"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22DD94BE"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05626E24"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1:8</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2C2802DE"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Sveriges geologiska undersökning</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602C36F"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244 872</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310496D"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5CC9E184"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29A01511"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1:9</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7D55080F"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Geovetenskaplig forskning</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42233451"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5 923</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B9ACD7B"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3FE81F1C"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7DD6C21"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1:10</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148A0C67"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Miljösäkring av oljelagringsanläggningar</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F0A79CD"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14 000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FEF71A9"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024B526D"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6FE5049"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1:11</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255AD591"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Bolagsverket</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28BFD55F"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45 898</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6269721B"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499F41A8"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1EA5C032"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1:12</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57CAF22A"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Bidrag till Kungl. Ingenjörsvetenskapsakademien</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FB9285A"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8 327</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D4DB82C"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6CECA469"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7DA6A36B"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1:13</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7CD83475"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Konkurrensverket</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D615EA0"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164 697</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6B77C5D0"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4719B4CE"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D6C470E"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1:14</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4DEEC81D"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Konkurrensforskning</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C7FED2E"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10 804</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32BAE616"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0D2F42FC"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03A225F"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1:15</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114560B2"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Upprustning och drift av Göta kanal</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2D9B3966"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119 910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36F5C264"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72F4C147"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69296A0D"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1:16</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74D670E0"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Omstrukturering och genomlysning av statligt ägda företag</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61B540C0"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24 850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181FDDD"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10935BE6"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32A7B143"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1:17</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66482F14"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Kapitalinsatser i statligt ägda företag</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7A430700"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1 401 000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78708B0D"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7CF46175"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003948DF"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1:18</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30AD3CF9"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Avgifter till vissa internationella organisationer</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108EB83"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16 780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4E3FB44A"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15D9B608"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64BC45C"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1:19</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63B8C4D4"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Finansiering av rättegångskostnader</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4263D6D3"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18 000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B354661"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24F0DB4C"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5C290C9F"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1:20</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2DD6270D"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Bidrag till företagsutveckling och innovation</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BA4D7CC"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269 472</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4DF757D1"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3CE784D3"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719BB71"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1:21</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4138A6CE"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Patent- och registreringsverket</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356414FD"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340 812</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B85F3D1"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256620E9"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18DF5BB6"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1:22</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4BCE0C6A"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Stöd vid korttidsarbete</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3ABF1A4C"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2 080 000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0609CA4"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313833B5"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5A09629C"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1:23</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3518DDF4"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Stöd till enskilda näringsidkare</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607A6F8"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1 500 000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3E9D3CF4"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023B0D57"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54248324"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1:24</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17C7D47F"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Omställningsstöd</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682FCC7F"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2 000 000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CC52577"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4275837E"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2E7B848B"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2:1</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53989C58"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Styrelsen för ackreditering och teknisk kontroll: Myndighetsverksamhet</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20B2B044"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36 059</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0220E172"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7F302A53"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314251A4"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2:2</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5842DB64"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Kommerskollegium</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7E76ADD"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92 240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23FB6A77"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67945ED9"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75D49CD9"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2:3</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789223D8"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Exportfrämjande verksamhet</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9760EC8"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339 867</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6121C521"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50 000</w:t>
            </w:r>
          </w:p>
        </w:tc>
      </w:tr>
      <w:tr w:rsidRPr="00D955E3" w:rsidR="00626915" w:rsidTr="00BA3C57" w14:paraId="44C2A3BF"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2079F32"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2:4</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39731E60"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Investeringsfrämjande</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10612138"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97 772</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79441ABC"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7F85D452"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7A109D31"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2:5</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6A6B5397"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Avgifter till internationella handelsorganisationer</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3272AC30"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20 517</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7444693A"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4EBD17D0"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C2F508A"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2:6</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4E31969F"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Bidrag till standardiseringen</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F6C3F75"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31 336</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6CB4258"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397E47A9" w14:textId="77777777">
        <w:trPr>
          <w:cantSplit/>
        </w:trPr>
        <w:tc>
          <w:tcPr>
            <w:tcW w:w="415" w:type="dxa"/>
            <w:shd w:val="clear" w:color="auto" w:fill="FFFFFF"/>
            <w:tcMar>
              <w:top w:w="68" w:type="dxa"/>
              <w:left w:w="28" w:type="dxa"/>
              <w:bottom w:w="0" w:type="dxa"/>
              <w:right w:w="28" w:type="dxa"/>
            </w:tcMar>
            <w:hideMark/>
          </w:tcPr>
          <w:p w:rsidRPr="00D955E3" w:rsidR="00626915" w:rsidP="00A60E07" w:rsidRDefault="00626915" w14:paraId="47476B57"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2:7</w:t>
            </w:r>
          </w:p>
        </w:tc>
        <w:tc>
          <w:tcPr>
            <w:tcW w:w="4632" w:type="dxa"/>
            <w:shd w:val="clear" w:color="auto" w:fill="FFFFFF"/>
            <w:tcMar>
              <w:top w:w="68" w:type="dxa"/>
              <w:left w:w="28" w:type="dxa"/>
              <w:bottom w:w="0" w:type="dxa"/>
              <w:right w:w="28" w:type="dxa"/>
            </w:tcMar>
            <w:vAlign w:val="center"/>
            <w:hideMark/>
          </w:tcPr>
          <w:p w:rsidRPr="00D955E3" w:rsidR="00626915" w:rsidP="00A60E07" w:rsidRDefault="00626915" w14:paraId="19EDCE36" w14:textId="77777777">
            <w:pPr>
              <w:spacing w:line="240" w:lineRule="exact"/>
              <w:ind w:firstLine="0"/>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AB Svensk Exportkredits statsstödda exportkreditgivning</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530CACC8"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100 000</w:t>
            </w:r>
          </w:p>
        </w:tc>
        <w:tc>
          <w:tcPr>
            <w:tcW w:w="1729" w:type="dxa"/>
            <w:shd w:val="clear" w:color="auto" w:fill="FFFFFF"/>
            <w:tcMar>
              <w:top w:w="68" w:type="dxa"/>
              <w:left w:w="28" w:type="dxa"/>
              <w:bottom w:w="0" w:type="dxa"/>
              <w:right w:w="28" w:type="dxa"/>
            </w:tcMar>
            <w:vAlign w:val="bottom"/>
            <w:hideMark/>
          </w:tcPr>
          <w:p w:rsidRPr="00D955E3" w:rsidR="00626915" w:rsidP="00BA3C57" w:rsidRDefault="00626915" w14:paraId="284D5338" w14:textId="77777777">
            <w:pPr>
              <w:spacing w:line="240" w:lineRule="exact"/>
              <w:ind w:firstLine="0"/>
              <w:jc w:val="right"/>
              <w:rPr>
                <w:rFonts w:ascii="Times New Roman" w:hAnsi="Times New Roman" w:cs="Times New Roman"/>
                <w:color w:val="000000"/>
                <w:sz w:val="20"/>
                <w:szCs w:val="20"/>
                <w:lang w:eastAsia="sv-SE"/>
              </w:rPr>
            </w:pPr>
            <w:r w:rsidRPr="00D955E3">
              <w:rPr>
                <w:rFonts w:ascii="Times New Roman" w:hAnsi="Times New Roman" w:cs="Times New Roman"/>
                <w:color w:val="000000"/>
                <w:sz w:val="20"/>
                <w:szCs w:val="20"/>
                <w:lang w:eastAsia="sv-SE"/>
              </w:rPr>
              <w:t>±0</w:t>
            </w:r>
          </w:p>
        </w:tc>
      </w:tr>
      <w:tr w:rsidRPr="00D955E3" w:rsidR="00626915" w:rsidTr="00BA3C57" w14:paraId="5D0F5BD5" w14:textId="77777777">
        <w:trPr>
          <w:cantSplit/>
        </w:trPr>
        <w:tc>
          <w:tcPr>
            <w:tcW w:w="5047"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D955E3" w:rsidR="00626915" w:rsidP="00A60E07" w:rsidRDefault="00626915" w14:paraId="3C9000B3" w14:textId="77777777">
            <w:pPr>
              <w:spacing w:line="240" w:lineRule="exact"/>
              <w:ind w:firstLine="0"/>
              <w:rPr>
                <w:rFonts w:ascii="Times New Roman" w:hAnsi="Times New Roman" w:cs="Times New Roman"/>
                <w:b/>
                <w:bCs/>
                <w:color w:val="000000"/>
                <w:sz w:val="20"/>
                <w:szCs w:val="20"/>
                <w:lang w:eastAsia="sv-SE"/>
              </w:rPr>
            </w:pPr>
            <w:r w:rsidRPr="00D955E3">
              <w:rPr>
                <w:rFonts w:ascii="Times New Roman" w:hAnsi="Times New Roman" w:cs="Times New Roman"/>
                <w:b/>
                <w:bCs/>
                <w:color w:val="000000"/>
                <w:sz w:val="20"/>
                <w:szCs w:val="20"/>
                <w:lang w:eastAsia="sv-SE"/>
              </w:rPr>
              <w:t>Summa</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D955E3" w:rsidR="00626915" w:rsidP="00BA3C57" w:rsidRDefault="00626915" w14:paraId="7B77B8DA" w14:textId="77777777">
            <w:pPr>
              <w:spacing w:line="240" w:lineRule="exact"/>
              <w:ind w:firstLine="0"/>
              <w:jc w:val="right"/>
              <w:rPr>
                <w:rFonts w:ascii="Times New Roman" w:hAnsi="Times New Roman" w:cs="Times New Roman"/>
                <w:b/>
                <w:bCs/>
                <w:color w:val="000000"/>
                <w:sz w:val="20"/>
                <w:szCs w:val="20"/>
                <w:lang w:eastAsia="sv-SE"/>
              </w:rPr>
            </w:pPr>
            <w:r w:rsidRPr="00D955E3">
              <w:rPr>
                <w:rFonts w:ascii="Times New Roman" w:hAnsi="Times New Roman" w:cs="Times New Roman"/>
                <w:b/>
                <w:bCs/>
                <w:color w:val="000000"/>
                <w:sz w:val="20"/>
                <w:szCs w:val="20"/>
                <w:lang w:eastAsia="sv-SE"/>
              </w:rPr>
              <w:t>15 355 253</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D955E3" w:rsidR="00626915" w:rsidP="00BA3C57" w:rsidRDefault="00626915" w14:paraId="3AFB7DA1" w14:textId="77777777">
            <w:pPr>
              <w:spacing w:line="240" w:lineRule="exact"/>
              <w:ind w:firstLine="0"/>
              <w:jc w:val="right"/>
              <w:rPr>
                <w:rFonts w:ascii="Times New Roman" w:hAnsi="Times New Roman" w:cs="Times New Roman"/>
                <w:b/>
                <w:bCs/>
                <w:color w:val="000000"/>
                <w:sz w:val="20"/>
                <w:szCs w:val="20"/>
                <w:lang w:eastAsia="sv-SE"/>
              </w:rPr>
            </w:pPr>
            <w:r w:rsidRPr="00D955E3">
              <w:rPr>
                <w:rFonts w:ascii="Times New Roman" w:hAnsi="Times New Roman" w:cs="Times New Roman"/>
                <w:b/>
                <w:bCs/>
                <w:color w:val="000000"/>
                <w:sz w:val="20"/>
                <w:szCs w:val="20"/>
                <w:lang w:eastAsia="sv-SE"/>
              </w:rPr>
              <w:t>−150 000</w:t>
            </w:r>
          </w:p>
        </w:tc>
      </w:tr>
    </w:tbl>
    <w:p w:rsidRPr="00D955E3" w:rsidR="00171E9E" w:rsidP="00171E9E" w:rsidRDefault="00990EC3" w14:paraId="7CF6E9B0" w14:textId="2BE38EE0">
      <w:pPr>
        <w:pStyle w:val="Rubrik1"/>
      </w:pPr>
      <w:r w:rsidRPr="00D955E3">
        <w:t>Politikens inriktning</w:t>
      </w:r>
    </w:p>
    <w:p w:rsidRPr="00D955E3" w:rsidR="005D7ED2" w:rsidP="00BA3C57" w:rsidRDefault="005D7ED2" w14:paraId="1B553CF7" w14:textId="6449AECE">
      <w:pPr>
        <w:pStyle w:val="Normalutanindragellerluft"/>
      </w:pPr>
      <w:r w:rsidRPr="00D955E3">
        <w:t xml:space="preserve">Sverige har under lång tid haft en konkurrenskraft i internationell toppklass. I vårt land finns allt från storskalig tillverkningsindustri och ett rikt småföretagande till innovativa techbolag och världsledande forskning. </w:t>
      </w:r>
    </w:p>
    <w:p w:rsidRPr="00D955E3" w:rsidR="005D7ED2" w:rsidP="00BA3C57" w:rsidRDefault="005D7ED2" w14:paraId="30109A5C" w14:textId="24C28339">
      <w:r w:rsidRPr="00D955E3">
        <w:t>Men Sveriges långsiktiga konkurrenskraft står också inför stora utmaningar. Ett högt skattetryck, omfattande regelkrångel, bristande flexibilitet på arbetsmarknaden och brister i utbildningssystemet är exempel på problemområden för svensk konkurrens</w:t>
      </w:r>
      <w:r w:rsidR="00BA3C57">
        <w:softHyphen/>
      </w:r>
      <w:r w:rsidRPr="00D955E3">
        <w:t xml:space="preserve">kraft. </w:t>
      </w:r>
    </w:p>
    <w:p w:rsidRPr="00D955E3" w:rsidR="005D7ED2" w:rsidP="00BA3C57" w:rsidRDefault="005D7ED2" w14:paraId="07FE91F8" w14:textId="5AFC47CD">
      <w:r w:rsidRPr="00D955E3">
        <w:lastRenderedPageBreak/>
        <w:t xml:space="preserve">Sveriges fortsatta tillväxt och konkurrenskraft står därutöver inför stora utmaningar på grund av coronakrisens konvensekvenser på näringslivet. Hundratusentals jobb kan gå förlorade och tusentals livskraftiga företag hotas. </w:t>
      </w:r>
    </w:p>
    <w:p w:rsidRPr="00D955E3" w:rsidR="005D7ED2" w:rsidP="00BA3C57" w:rsidRDefault="005D7ED2" w14:paraId="4C3282B4" w14:textId="5530E717">
      <w:r w:rsidRPr="00D955E3">
        <w:t>Vi kan därför inte slå oss till ro, utan behöver fortsätta utveckla villkoren för före</w:t>
      </w:r>
      <w:r w:rsidR="00BA3C57">
        <w:softHyphen/>
      </w:r>
      <w:r w:rsidRPr="00D955E3">
        <w:t xml:space="preserve">tagande och tillväxt. Vi måste fortsätta arbeta för att Sverige ska vara ett land </w:t>
      </w:r>
      <w:r w:rsidRPr="00D955E3" w:rsidR="00E5217D">
        <w:t xml:space="preserve">med </w:t>
      </w:r>
      <w:r w:rsidRPr="00D955E3">
        <w:t xml:space="preserve">ett fritt näringsliv där företag väljer att etablera sig för att villkoren är gynnsamma. </w:t>
      </w:r>
    </w:p>
    <w:p w:rsidRPr="00D955E3" w:rsidR="00422B9E" w:rsidP="00BA3C57" w:rsidRDefault="005D7ED2" w14:paraId="48CD024A" w14:textId="1B5B7105">
      <w:r w:rsidRPr="00D955E3">
        <w:t>Ett Sverige som drar nytta av den nya tekniken och som värnar och utvecklar den storskaliga industrin såväl som det småskaliga företagande</w:t>
      </w:r>
      <w:r w:rsidR="00B40AD6">
        <w:t>t</w:t>
      </w:r>
      <w:r w:rsidRPr="00D955E3">
        <w:t>.</w:t>
      </w:r>
    </w:p>
    <w:p w:rsidRPr="00D955E3" w:rsidR="005D7ED2" w:rsidP="005D7ED2" w:rsidRDefault="005D7ED2" w14:paraId="7BDDB4FC" w14:textId="77777777">
      <w:pPr>
        <w:pStyle w:val="Rubrik2"/>
      </w:pPr>
      <w:bookmarkStart w:name="_Hlk52314538" w:id="1"/>
      <w:r w:rsidRPr="00D955E3">
        <w:t>1:3</w:t>
      </w:r>
      <w:r w:rsidRPr="00D955E3">
        <w:tab/>
        <w:t>Institutens strategiska kompetensmedel</w:t>
      </w:r>
    </w:p>
    <w:bookmarkEnd w:id="1"/>
    <w:p w:rsidRPr="00D955E3" w:rsidR="005D7ED2" w:rsidP="00BA3C57" w:rsidRDefault="005D7ED2" w14:paraId="03751B2A" w14:textId="24A9FDFB">
      <w:pPr>
        <w:pStyle w:val="Normalutanindragellerluft"/>
      </w:pPr>
      <w:r w:rsidRPr="00D955E3">
        <w:t xml:space="preserve">Moderaterna </w:t>
      </w:r>
      <w:r w:rsidRPr="00D955E3" w:rsidR="00F53A9A">
        <w:t xml:space="preserve">minskar anslaget i syfte att omfördela medel för </w:t>
      </w:r>
      <w:r w:rsidRPr="00D955E3">
        <w:t xml:space="preserve">modernisering av RISE testbäddar till förmån för satsningar inom utgiftsområde 20, </w:t>
      </w:r>
      <w:r w:rsidRPr="00D955E3" w:rsidR="00E5217D">
        <w:t>ett nytt anslag</w:t>
      </w:r>
      <w:r w:rsidRPr="00D955E3" w:rsidR="00171E9E">
        <w:t xml:space="preserve">, </w:t>
      </w:r>
      <w:r w:rsidRPr="00D955E3" w:rsidR="00990EC3">
        <w:t xml:space="preserve">Grönt </w:t>
      </w:r>
      <w:r w:rsidRPr="00D955E3" w:rsidR="00171E9E">
        <w:t xml:space="preserve">bränslestöd, </w:t>
      </w:r>
      <w:r w:rsidRPr="00D955E3" w:rsidR="00F53A9A">
        <w:t>som innefattar satsningar på testanläggningar för produktion av biodriv</w:t>
      </w:r>
      <w:r w:rsidR="00BA3C57">
        <w:softHyphen/>
      </w:r>
      <w:r w:rsidRPr="00D955E3" w:rsidR="00F53A9A">
        <w:t xml:space="preserve">medel. Anslaget minskas med 200 miljoner kronor 2021 och 150 miljoner kronor 2022. </w:t>
      </w:r>
    </w:p>
    <w:p w:rsidRPr="00D955E3" w:rsidR="005D7ED2" w:rsidP="005D7ED2" w:rsidRDefault="005D7ED2" w14:paraId="3E9FD839" w14:textId="77777777">
      <w:pPr>
        <w:pStyle w:val="Rubrik2"/>
      </w:pPr>
      <w:r w:rsidRPr="00D955E3">
        <w:t>1:17 Kapitalinsatser i statligt ägda företag</w:t>
      </w:r>
    </w:p>
    <w:p w:rsidRPr="00D955E3" w:rsidR="007A4740" w:rsidP="00BA3C57" w:rsidRDefault="007A4740" w14:paraId="1536E4DE" w14:textId="563FA1C9">
      <w:pPr>
        <w:pStyle w:val="Normalutanindragellerluft"/>
      </w:pPr>
      <w:r w:rsidRPr="00D955E3">
        <w:t>Moderaterna anser att statens uppgift normalt inte bör vara att äga och driva bolag, utan att ange de ramar och regler som ska gälla för ett dynamiskt näringsliv, där företag kon</w:t>
      </w:r>
      <w:r w:rsidR="00BA3C57">
        <w:softHyphen/>
      </w:r>
      <w:r w:rsidRPr="00D955E3">
        <w:t>kurrerar på lika villkor. Därför bör staten i princip inte äga bolag som verkar på kom</w:t>
      </w:r>
      <w:r w:rsidR="00BA3C57">
        <w:softHyphen/>
      </w:r>
      <w:r w:rsidRPr="00D955E3">
        <w:t>mersiella marknader med fungerande konkurrens</w:t>
      </w:r>
      <w:r w:rsidRPr="00D955E3" w:rsidR="00171E9E">
        <w:t>, s</w:t>
      </w:r>
      <w:r w:rsidRPr="00D955E3">
        <w:t>åvida inte bolaget har ett särskilt samhällsuppdrag som är svårt att klara av på annat sätt eller om det motiveras ur ett säkerhetspolitiskt perspektiv.</w:t>
      </w:r>
    </w:p>
    <w:p w:rsidRPr="00D955E3" w:rsidR="00F53A9A" w:rsidP="00BA3C57" w:rsidRDefault="00F53A9A" w14:paraId="75F6CA2C" w14:textId="210493D7">
      <w:r w:rsidRPr="00D955E3">
        <w:t>Att minska statens ägande i bolag ska alltid ske med hänsyn till bolagens och skatte</w:t>
      </w:r>
      <w:r w:rsidR="00BA3C57">
        <w:softHyphen/>
      </w:r>
      <w:r w:rsidRPr="00D955E3">
        <w:t xml:space="preserve">betalarnas intresse. Eventuella försäljningar ska genomföras vid en tidpunkt då det utifrån en samlad bedömning kan antas ge det mest affärsmässiga utfallet. Intäkter från försäljningar ska användas för att amortera på statsskulden. </w:t>
      </w:r>
    </w:p>
    <w:p w:rsidRPr="00D955E3" w:rsidR="00F53A9A" w:rsidP="00BA3C57" w:rsidRDefault="00F53A9A" w14:paraId="17B6FCA9" w14:textId="7D3CF2E1">
      <w:r w:rsidRPr="00D955E3">
        <w:t xml:space="preserve">Moderaterna anser att det är klokt att biträda förslaget om att göra ett ägartillskott till Green Cargo AB. Staten har som ägare ett ansvar för bolaget och dess roll på </w:t>
      </w:r>
      <w:proofErr w:type="spellStart"/>
      <w:r w:rsidRPr="00D955E3">
        <w:t>godsmark</w:t>
      </w:r>
      <w:r w:rsidR="00BA3C57">
        <w:softHyphen/>
      </w:r>
      <w:r w:rsidRPr="00D955E3">
        <w:t>naden</w:t>
      </w:r>
      <w:proofErr w:type="spellEnd"/>
      <w:r w:rsidRPr="00D955E3">
        <w:t xml:space="preserve">. Däremot vill vi vara tydliga med att vår förväntan är att regeringen skärper sin kontroll över och styrning av Green Cargo AB så att inte skattebetalarna återigen ska behöva bekosta en räddningsinsats. </w:t>
      </w:r>
    </w:p>
    <w:p w:rsidRPr="00D955E3" w:rsidR="00F53A9A" w:rsidP="00BA3C57" w:rsidRDefault="00F53A9A" w14:paraId="6207B0D7" w14:textId="263EABE8">
      <w:r w:rsidRPr="00D955E3">
        <w:t xml:space="preserve">Vidare anser vi att det inte finns några starka skäl för att staten på sikt ska äga Green Cargo AB, däremot har staten en självklar roll för att stärka infrastruktursystemet inom </w:t>
      </w:r>
      <w:r w:rsidRPr="00D955E3">
        <w:lastRenderedPageBreak/>
        <w:t>såväl järnvägen som andra transportslag. Moderaterna anser därför att riksdagen bör ge regeringen ett mandat att på sikt, och med strikta förbehåll, minska eller helt sälja stat</w:t>
      </w:r>
      <w:r w:rsidR="00BA3C57">
        <w:softHyphen/>
      </w:r>
      <w:r w:rsidRPr="00D955E3">
        <w:t>ens ägande i Green Cargo AB.</w:t>
      </w:r>
    </w:p>
    <w:p w:rsidRPr="00D955E3" w:rsidR="00E26A5A" w:rsidP="00E26A5A" w:rsidRDefault="00E26A5A" w14:paraId="04CC6E92" w14:textId="77777777">
      <w:pPr>
        <w:pStyle w:val="Rubrik2"/>
      </w:pPr>
      <w:r w:rsidRPr="00D955E3">
        <w:t>2:3 Exportfrämjande insatser</w:t>
      </w:r>
    </w:p>
    <w:p w:rsidRPr="00D955E3" w:rsidR="00E26A5A" w:rsidP="00BA3C57" w:rsidRDefault="00E26A5A" w14:paraId="6641121B" w14:textId="2E263E4C">
      <w:pPr>
        <w:pStyle w:val="Normalutanindragellerluft"/>
      </w:pPr>
      <w:r w:rsidRPr="00D955E3">
        <w:t>Sverige är ett land som är beroende av handel. En stor del av vår ekonomi kommer av handel och i synnerhet är handeln med andra EU-länder viktig. Coronapandemin har slagit hårt mot svensk ekonomi</w:t>
      </w:r>
      <w:r w:rsidR="00A47B0B">
        <w:t>,</w:t>
      </w:r>
      <w:r w:rsidRPr="00D955E3">
        <w:t xml:space="preserve"> vilket syns på såväl BNP-siffror och arbetslöshet som handelsstatistik.</w:t>
      </w:r>
    </w:p>
    <w:p w:rsidRPr="00BA3C57" w:rsidR="00E26A5A" w:rsidP="00E26A5A" w:rsidRDefault="00E26A5A" w14:paraId="7C347FA0" w14:textId="338E9A7B">
      <w:pPr>
        <w:rPr>
          <w:spacing w:val="-1"/>
        </w:rPr>
      </w:pPr>
      <w:r w:rsidRPr="00BA3C57">
        <w:rPr>
          <w:spacing w:val="-1"/>
        </w:rPr>
        <w:t>Regeringen har föreslagit en förstärkning av anslagen till investeringsfrämjande. Det är klokt, men otillräckligt. Moderaterna vill, till skillnad från regeringen som föreslår oför</w:t>
      </w:r>
      <w:bookmarkStart w:name="_GoBack" w:id="2"/>
      <w:bookmarkEnd w:id="2"/>
      <w:r w:rsidRPr="00BA3C57">
        <w:rPr>
          <w:spacing w:val="-1"/>
        </w:rPr>
        <w:t>ändrade medel för exportfrämjande, göra en riktad satsning på svensk export. Med</w:t>
      </w:r>
      <w:r w:rsidR="00BA3C57">
        <w:rPr>
          <w:spacing w:val="-1"/>
        </w:rPr>
        <w:softHyphen/>
      </w:r>
      <w:r w:rsidRPr="00BA3C57">
        <w:rPr>
          <w:spacing w:val="-1"/>
        </w:rPr>
        <w:t>len ska användas för att främja export och på så sätt stötta företag och lägga en grund för nya affärsmöjligheter för Sverige och svenska företag.</w:t>
      </w:r>
      <w:r w:rsidRPr="00BA3C57" w:rsidR="00990EC3">
        <w:rPr>
          <w:spacing w:val="-1"/>
        </w:rPr>
        <w:t xml:space="preserve"> Moderaterna ökar därför anslaget med 50 miljoner kronor årligen 2021</w:t>
      </w:r>
      <w:r w:rsidRPr="00BA3C57" w:rsidR="00A47B0B">
        <w:rPr>
          <w:spacing w:val="-1"/>
        </w:rPr>
        <w:t>–</w:t>
      </w:r>
      <w:r w:rsidRPr="00BA3C57" w:rsidR="00990EC3">
        <w:rPr>
          <w:spacing w:val="-1"/>
        </w:rPr>
        <w:t xml:space="preserve">2023. </w:t>
      </w:r>
    </w:p>
    <w:sdt>
      <w:sdtPr>
        <w:rPr>
          <w:i/>
          <w:noProof/>
        </w:rPr>
        <w:alias w:val="CC_Underskrifter"/>
        <w:tag w:val="CC_Underskrifter"/>
        <w:id w:val="583496634"/>
        <w:lock w:val="sdtContentLocked"/>
        <w:placeholder>
          <w:docPart w:val="7BD11FF3A05144888AA65D751B35ACDA"/>
        </w:placeholder>
      </w:sdtPr>
      <w:sdtEndPr/>
      <w:sdtContent>
        <w:p w:rsidR="00626915" w:rsidP="00D955E3" w:rsidRDefault="00626915" w14:paraId="69C421C6" w14:textId="77777777"/>
        <w:p w:rsidRPr="008E0FE2" w:rsidR="004801AC" w:rsidP="00D955E3" w:rsidRDefault="009F067F" w14:paraId="35B4CC59" w14:textId="4B4D9A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653055" w:rsidRDefault="00653055" w14:paraId="4FEFD96F" w14:textId="77777777"/>
    <w:sectPr w:rsidR="006530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B817F" w14:textId="77777777" w:rsidR="005B6A23" w:rsidRDefault="005B6A23" w:rsidP="000C1CAD">
      <w:pPr>
        <w:spacing w:line="240" w:lineRule="auto"/>
      </w:pPr>
      <w:r>
        <w:separator/>
      </w:r>
    </w:p>
  </w:endnote>
  <w:endnote w:type="continuationSeparator" w:id="0">
    <w:p w14:paraId="2F1E03E4" w14:textId="77777777" w:rsidR="005B6A23" w:rsidRDefault="005B6A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F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68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653C" w14:textId="70612150" w:rsidR="00262EA3" w:rsidRPr="00D955E3" w:rsidRDefault="00262EA3" w:rsidP="00D95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E7FE3" w14:textId="77777777" w:rsidR="005B6A23" w:rsidRDefault="005B6A23" w:rsidP="000C1CAD">
      <w:pPr>
        <w:spacing w:line="240" w:lineRule="auto"/>
      </w:pPr>
      <w:r>
        <w:separator/>
      </w:r>
    </w:p>
  </w:footnote>
  <w:footnote w:type="continuationSeparator" w:id="0">
    <w:p w14:paraId="5D8C299C" w14:textId="77777777" w:rsidR="005B6A23" w:rsidRDefault="005B6A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4C7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01F80" wp14:anchorId="15153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067F" w14:paraId="6A4BFFCA" w14:textId="77777777">
                          <w:pPr>
                            <w:jc w:val="right"/>
                          </w:pPr>
                          <w:sdt>
                            <w:sdtPr>
                              <w:alias w:val="CC_Noformat_Partikod"/>
                              <w:tag w:val="CC_Noformat_Partikod"/>
                              <w:id w:val="-53464382"/>
                              <w:placeholder>
                                <w:docPart w:val="C52BE0CEF93345DFB2A6E5E18B85E2A1"/>
                              </w:placeholder>
                              <w:text/>
                            </w:sdtPr>
                            <w:sdtEndPr/>
                            <w:sdtContent>
                              <w:r w:rsidR="00DE3305">
                                <w:t>M</w:t>
                              </w:r>
                            </w:sdtContent>
                          </w:sdt>
                          <w:sdt>
                            <w:sdtPr>
                              <w:alias w:val="CC_Noformat_Partinummer"/>
                              <w:tag w:val="CC_Noformat_Partinummer"/>
                              <w:id w:val="-1709555926"/>
                              <w:placeholder>
                                <w:docPart w:val="B2067172610E481FB7996D94F0E94D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153F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067F" w14:paraId="6A4BFFCA" w14:textId="77777777">
                    <w:pPr>
                      <w:jc w:val="right"/>
                    </w:pPr>
                    <w:sdt>
                      <w:sdtPr>
                        <w:alias w:val="CC_Noformat_Partikod"/>
                        <w:tag w:val="CC_Noformat_Partikod"/>
                        <w:id w:val="-53464382"/>
                        <w:placeholder>
                          <w:docPart w:val="C52BE0CEF93345DFB2A6E5E18B85E2A1"/>
                        </w:placeholder>
                        <w:text/>
                      </w:sdtPr>
                      <w:sdtEndPr/>
                      <w:sdtContent>
                        <w:r w:rsidR="00DE3305">
                          <w:t>M</w:t>
                        </w:r>
                      </w:sdtContent>
                    </w:sdt>
                    <w:sdt>
                      <w:sdtPr>
                        <w:alias w:val="CC_Noformat_Partinummer"/>
                        <w:tag w:val="CC_Noformat_Partinummer"/>
                        <w:id w:val="-1709555926"/>
                        <w:placeholder>
                          <w:docPart w:val="B2067172610E481FB7996D94F0E94D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8DBD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51A7D1" w14:textId="77777777">
    <w:pPr>
      <w:jc w:val="right"/>
    </w:pPr>
  </w:p>
  <w:p w:rsidR="00262EA3" w:rsidP="00776B74" w:rsidRDefault="00262EA3" w14:paraId="5D9FDA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067F" w14:paraId="77E489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AE1443" wp14:anchorId="303573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067F" w14:paraId="1572BA91" w14:textId="22C9E39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E3305">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F067F" w14:paraId="6D6BFD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067F" w14:paraId="62E72E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:3489</w:t>
        </w:r>
      </w:sdtContent>
    </w:sdt>
  </w:p>
  <w:p w:rsidR="00262EA3" w:rsidP="00E03A3D" w:rsidRDefault="009F067F" w14:paraId="59EF9294" w14:textId="77777777">
    <w:pPr>
      <w:pStyle w:val="Motionr"/>
    </w:pPr>
    <w:sdt>
      <w:sdtPr>
        <w:alias w:val="CC_Noformat_Avtext"/>
        <w:tag w:val="CC_Noformat_Avtext"/>
        <w:id w:val="-2020768203"/>
        <w:lock w:val="sdtContentLocked"/>
        <w:placeholder>
          <w:docPart w:val="CDD0079FB0854C848B2D7BCE2A52FE22"/>
        </w:placeholder>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2C31C8" w14:paraId="56D72CCD"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17DEAA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33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4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1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51"/>
    <w:rsid w:val="000B480A"/>
    <w:rsid w:val="000B4FD1"/>
    <w:rsid w:val="000B559E"/>
    <w:rsid w:val="000B5A17"/>
    <w:rsid w:val="000B5BD0"/>
    <w:rsid w:val="000B5FA9"/>
    <w:rsid w:val="000B605E"/>
    <w:rsid w:val="000B612A"/>
    <w:rsid w:val="000B680E"/>
    <w:rsid w:val="000B79EA"/>
    <w:rsid w:val="000C0B3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1BF"/>
    <w:rsid w:val="00116CAF"/>
    <w:rsid w:val="00116EC0"/>
    <w:rsid w:val="00116EED"/>
    <w:rsid w:val="00117122"/>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E9E"/>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1C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AE"/>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CD"/>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36"/>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B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C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FF8"/>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1CD"/>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8A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A2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D2"/>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15"/>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3B"/>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55"/>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11"/>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82"/>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4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2CD"/>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C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7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C1"/>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0B"/>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E0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AD6"/>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C5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5CA"/>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1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0A3"/>
    <w:rsid w:val="00D735F7"/>
    <w:rsid w:val="00D736CB"/>
    <w:rsid w:val="00D73A5F"/>
    <w:rsid w:val="00D7401C"/>
    <w:rsid w:val="00D74E67"/>
    <w:rsid w:val="00D75CE2"/>
    <w:rsid w:val="00D76A6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5E3"/>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27"/>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05"/>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9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7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00"/>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0F"/>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9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B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C635D5"/>
  <w15:chartTrackingRefBased/>
  <w15:docId w15:val="{E48EB5F5-E2C8-4617-9E5E-BD95C027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3077">
      <w:bodyDiv w:val="1"/>
      <w:marLeft w:val="0"/>
      <w:marRight w:val="0"/>
      <w:marTop w:val="0"/>
      <w:marBottom w:val="0"/>
      <w:divBdr>
        <w:top w:val="none" w:sz="0" w:space="0" w:color="auto"/>
        <w:left w:val="none" w:sz="0" w:space="0" w:color="auto"/>
        <w:bottom w:val="none" w:sz="0" w:space="0" w:color="auto"/>
        <w:right w:val="none" w:sz="0" w:space="0" w:color="auto"/>
      </w:divBdr>
    </w:div>
    <w:div w:id="111217926">
      <w:bodyDiv w:val="1"/>
      <w:marLeft w:val="0"/>
      <w:marRight w:val="0"/>
      <w:marTop w:val="0"/>
      <w:marBottom w:val="0"/>
      <w:divBdr>
        <w:top w:val="none" w:sz="0" w:space="0" w:color="auto"/>
        <w:left w:val="none" w:sz="0" w:space="0" w:color="auto"/>
        <w:bottom w:val="none" w:sz="0" w:space="0" w:color="auto"/>
        <w:right w:val="none" w:sz="0" w:space="0" w:color="auto"/>
      </w:divBdr>
    </w:div>
    <w:div w:id="118571361">
      <w:bodyDiv w:val="1"/>
      <w:marLeft w:val="0"/>
      <w:marRight w:val="0"/>
      <w:marTop w:val="0"/>
      <w:marBottom w:val="0"/>
      <w:divBdr>
        <w:top w:val="none" w:sz="0" w:space="0" w:color="auto"/>
        <w:left w:val="none" w:sz="0" w:space="0" w:color="auto"/>
        <w:bottom w:val="none" w:sz="0" w:space="0" w:color="auto"/>
        <w:right w:val="none" w:sz="0" w:space="0" w:color="auto"/>
      </w:divBdr>
    </w:div>
    <w:div w:id="329602703">
      <w:bodyDiv w:val="1"/>
      <w:marLeft w:val="0"/>
      <w:marRight w:val="0"/>
      <w:marTop w:val="0"/>
      <w:marBottom w:val="0"/>
      <w:divBdr>
        <w:top w:val="none" w:sz="0" w:space="0" w:color="auto"/>
        <w:left w:val="none" w:sz="0" w:space="0" w:color="auto"/>
        <w:bottom w:val="none" w:sz="0" w:space="0" w:color="auto"/>
        <w:right w:val="none" w:sz="0" w:space="0" w:color="auto"/>
      </w:divBdr>
    </w:div>
    <w:div w:id="526017591">
      <w:bodyDiv w:val="1"/>
      <w:marLeft w:val="0"/>
      <w:marRight w:val="0"/>
      <w:marTop w:val="0"/>
      <w:marBottom w:val="0"/>
      <w:divBdr>
        <w:top w:val="none" w:sz="0" w:space="0" w:color="auto"/>
        <w:left w:val="none" w:sz="0" w:space="0" w:color="auto"/>
        <w:bottom w:val="none" w:sz="0" w:space="0" w:color="auto"/>
        <w:right w:val="none" w:sz="0" w:space="0" w:color="auto"/>
      </w:divBdr>
    </w:div>
    <w:div w:id="987369473">
      <w:bodyDiv w:val="1"/>
      <w:marLeft w:val="0"/>
      <w:marRight w:val="0"/>
      <w:marTop w:val="0"/>
      <w:marBottom w:val="0"/>
      <w:divBdr>
        <w:top w:val="none" w:sz="0" w:space="0" w:color="auto"/>
        <w:left w:val="none" w:sz="0" w:space="0" w:color="auto"/>
        <w:bottom w:val="none" w:sz="0" w:space="0" w:color="auto"/>
        <w:right w:val="none" w:sz="0" w:space="0" w:color="auto"/>
      </w:divBdr>
    </w:div>
    <w:div w:id="1053306981">
      <w:bodyDiv w:val="1"/>
      <w:marLeft w:val="0"/>
      <w:marRight w:val="0"/>
      <w:marTop w:val="0"/>
      <w:marBottom w:val="0"/>
      <w:divBdr>
        <w:top w:val="none" w:sz="0" w:space="0" w:color="auto"/>
        <w:left w:val="none" w:sz="0" w:space="0" w:color="auto"/>
        <w:bottom w:val="none" w:sz="0" w:space="0" w:color="auto"/>
        <w:right w:val="none" w:sz="0" w:space="0" w:color="auto"/>
      </w:divBdr>
    </w:div>
    <w:div w:id="1078864783">
      <w:bodyDiv w:val="1"/>
      <w:marLeft w:val="0"/>
      <w:marRight w:val="0"/>
      <w:marTop w:val="0"/>
      <w:marBottom w:val="0"/>
      <w:divBdr>
        <w:top w:val="none" w:sz="0" w:space="0" w:color="auto"/>
        <w:left w:val="none" w:sz="0" w:space="0" w:color="auto"/>
        <w:bottom w:val="none" w:sz="0" w:space="0" w:color="auto"/>
        <w:right w:val="none" w:sz="0" w:space="0" w:color="auto"/>
      </w:divBdr>
    </w:div>
    <w:div w:id="1106576699">
      <w:bodyDiv w:val="1"/>
      <w:marLeft w:val="0"/>
      <w:marRight w:val="0"/>
      <w:marTop w:val="0"/>
      <w:marBottom w:val="0"/>
      <w:divBdr>
        <w:top w:val="none" w:sz="0" w:space="0" w:color="auto"/>
        <w:left w:val="none" w:sz="0" w:space="0" w:color="auto"/>
        <w:bottom w:val="none" w:sz="0" w:space="0" w:color="auto"/>
        <w:right w:val="none" w:sz="0" w:space="0" w:color="auto"/>
      </w:divBdr>
    </w:div>
    <w:div w:id="1485585063">
      <w:bodyDiv w:val="1"/>
      <w:marLeft w:val="0"/>
      <w:marRight w:val="0"/>
      <w:marTop w:val="0"/>
      <w:marBottom w:val="0"/>
      <w:divBdr>
        <w:top w:val="none" w:sz="0" w:space="0" w:color="auto"/>
        <w:left w:val="none" w:sz="0" w:space="0" w:color="auto"/>
        <w:bottom w:val="none" w:sz="0" w:space="0" w:color="auto"/>
        <w:right w:val="none" w:sz="0" w:space="0" w:color="auto"/>
      </w:divBdr>
    </w:div>
    <w:div w:id="1485664368">
      <w:bodyDiv w:val="1"/>
      <w:marLeft w:val="0"/>
      <w:marRight w:val="0"/>
      <w:marTop w:val="0"/>
      <w:marBottom w:val="0"/>
      <w:divBdr>
        <w:top w:val="none" w:sz="0" w:space="0" w:color="auto"/>
        <w:left w:val="none" w:sz="0" w:space="0" w:color="auto"/>
        <w:bottom w:val="none" w:sz="0" w:space="0" w:color="auto"/>
        <w:right w:val="none" w:sz="0" w:space="0" w:color="auto"/>
      </w:divBdr>
    </w:div>
    <w:div w:id="1569075179">
      <w:bodyDiv w:val="1"/>
      <w:marLeft w:val="0"/>
      <w:marRight w:val="0"/>
      <w:marTop w:val="0"/>
      <w:marBottom w:val="0"/>
      <w:divBdr>
        <w:top w:val="none" w:sz="0" w:space="0" w:color="auto"/>
        <w:left w:val="none" w:sz="0" w:space="0" w:color="auto"/>
        <w:bottom w:val="none" w:sz="0" w:space="0" w:color="auto"/>
        <w:right w:val="none" w:sz="0" w:space="0" w:color="auto"/>
      </w:divBdr>
    </w:div>
    <w:div w:id="1601063600">
      <w:bodyDiv w:val="1"/>
      <w:marLeft w:val="0"/>
      <w:marRight w:val="0"/>
      <w:marTop w:val="0"/>
      <w:marBottom w:val="0"/>
      <w:divBdr>
        <w:top w:val="none" w:sz="0" w:space="0" w:color="auto"/>
        <w:left w:val="none" w:sz="0" w:space="0" w:color="auto"/>
        <w:bottom w:val="none" w:sz="0" w:space="0" w:color="auto"/>
        <w:right w:val="none" w:sz="0" w:space="0" w:color="auto"/>
      </w:divBdr>
    </w:div>
    <w:div w:id="1641380377">
      <w:bodyDiv w:val="1"/>
      <w:marLeft w:val="0"/>
      <w:marRight w:val="0"/>
      <w:marTop w:val="0"/>
      <w:marBottom w:val="0"/>
      <w:divBdr>
        <w:top w:val="none" w:sz="0" w:space="0" w:color="auto"/>
        <w:left w:val="none" w:sz="0" w:space="0" w:color="auto"/>
        <w:bottom w:val="none" w:sz="0" w:space="0" w:color="auto"/>
        <w:right w:val="none" w:sz="0" w:space="0" w:color="auto"/>
      </w:divBdr>
    </w:div>
    <w:div w:id="1689867881">
      <w:bodyDiv w:val="1"/>
      <w:marLeft w:val="0"/>
      <w:marRight w:val="0"/>
      <w:marTop w:val="0"/>
      <w:marBottom w:val="0"/>
      <w:divBdr>
        <w:top w:val="none" w:sz="0" w:space="0" w:color="auto"/>
        <w:left w:val="none" w:sz="0" w:space="0" w:color="auto"/>
        <w:bottom w:val="none" w:sz="0" w:space="0" w:color="auto"/>
        <w:right w:val="none" w:sz="0" w:space="0" w:color="auto"/>
      </w:divBdr>
    </w:div>
    <w:div w:id="1921475430">
      <w:bodyDiv w:val="1"/>
      <w:marLeft w:val="0"/>
      <w:marRight w:val="0"/>
      <w:marTop w:val="0"/>
      <w:marBottom w:val="0"/>
      <w:divBdr>
        <w:top w:val="none" w:sz="0" w:space="0" w:color="auto"/>
        <w:left w:val="none" w:sz="0" w:space="0" w:color="auto"/>
        <w:bottom w:val="none" w:sz="0" w:space="0" w:color="auto"/>
        <w:right w:val="none" w:sz="0" w:space="0" w:color="auto"/>
      </w:divBdr>
    </w:div>
    <w:div w:id="1991979305">
      <w:bodyDiv w:val="1"/>
      <w:marLeft w:val="0"/>
      <w:marRight w:val="0"/>
      <w:marTop w:val="0"/>
      <w:marBottom w:val="0"/>
      <w:divBdr>
        <w:top w:val="none" w:sz="0" w:space="0" w:color="auto"/>
        <w:left w:val="none" w:sz="0" w:space="0" w:color="auto"/>
        <w:bottom w:val="none" w:sz="0" w:space="0" w:color="auto"/>
        <w:right w:val="none" w:sz="0" w:space="0" w:color="auto"/>
      </w:divBdr>
    </w:div>
    <w:div w:id="209933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7D26732E204B4A983C7C4B2A7DEC92"/>
        <w:category>
          <w:name w:val="Allmänt"/>
          <w:gallery w:val="placeholder"/>
        </w:category>
        <w:types>
          <w:type w:val="bbPlcHdr"/>
        </w:types>
        <w:behaviors>
          <w:behavior w:val="content"/>
        </w:behaviors>
        <w:guid w:val="{F372058B-A0C4-43ED-85A4-7DD760C6766D}"/>
      </w:docPartPr>
      <w:docPartBody>
        <w:p w:rsidR="001876CC" w:rsidRDefault="00E97C15">
          <w:pPr>
            <w:pStyle w:val="F77D26732E204B4A983C7C4B2A7DEC92"/>
          </w:pPr>
          <w:r w:rsidRPr="005A0A93">
            <w:rPr>
              <w:rStyle w:val="Platshllartext"/>
            </w:rPr>
            <w:t>Förslag till riksdagsbeslut</w:t>
          </w:r>
        </w:p>
      </w:docPartBody>
    </w:docPart>
    <w:docPart>
      <w:docPartPr>
        <w:name w:val="735D2E394AE042A1853640E7D7E982B2"/>
        <w:category>
          <w:name w:val="Allmänt"/>
          <w:gallery w:val="placeholder"/>
        </w:category>
        <w:types>
          <w:type w:val="bbPlcHdr"/>
        </w:types>
        <w:behaviors>
          <w:behavior w:val="content"/>
        </w:behaviors>
        <w:guid w:val="{DFF05874-D334-475A-A7FF-D7B551809D64}"/>
      </w:docPartPr>
      <w:docPartBody>
        <w:p w:rsidR="001876CC" w:rsidRDefault="00E97C15">
          <w:pPr>
            <w:pStyle w:val="735D2E394AE042A1853640E7D7E982B2"/>
          </w:pPr>
          <w:r w:rsidRPr="005A0A93">
            <w:rPr>
              <w:rStyle w:val="Platshllartext"/>
            </w:rPr>
            <w:t>Motivering</w:t>
          </w:r>
        </w:p>
      </w:docPartBody>
    </w:docPart>
    <w:docPart>
      <w:docPartPr>
        <w:name w:val="C52BE0CEF93345DFB2A6E5E18B85E2A1"/>
        <w:category>
          <w:name w:val="Allmänt"/>
          <w:gallery w:val="placeholder"/>
        </w:category>
        <w:types>
          <w:type w:val="bbPlcHdr"/>
        </w:types>
        <w:behaviors>
          <w:behavior w:val="content"/>
        </w:behaviors>
        <w:guid w:val="{F146FACF-62AA-45DD-9685-7EE0DB715170}"/>
      </w:docPartPr>
      <w:docPartBody>
        <w:p w:rsidR="001876CC" w:rsidRDefault="00E97C15">
          <w:pPr>
            <w:pStyle w:val="C52BE0CEF93345DFB2A6E5E18B85E2A1"/>
          </w:pPr>
          <w:r>
            <w:rPr>
              <w:rStyle w:val="Platshllartext"/>
            </w:rPr>
            <w:t xml:space="preserve"> </w:t>
          </w:r>
        </w:p>
      </w:docPartBody>
    </w:docPart>
    <w:docPart>
      <w:docPartPr>
        <w:name w:val="B2067172610E481FB7996D94F0E94D0E"/>
        <w:category>
          <w:name w:val="Allmänt"/>
          <w:gallery w:val="placeholder"/>
        </w:category>
        <w:types>
          <w:type w:val="bbPlcHdr"/>
        </w:types>
        <w:behaviors>
          <w:behavior w:val="content"/>
        </w:behaviors>
        <w:guid w:val="{B71804D7-B36F-417B-87B8-4F6C0B5751E1}"/>
      </w:docPartPr>
      <w:docPartBody>
        <w:p w:rsidR="001876CC" w:rsidRDefault="00E97C15">
          <w:pPr>
            <w:pStyle w:val="B2067172610E481FB7996D94F0E94D0E"/>
          </w:pPr>
          <w:r>
            <w:t xml:space="preserve"> </w:t>
          </w:r>
        </w:p>
      </w:docPartBody>
    </w:docPart>
    <w:docPart>
      <w:docPartPr>
        <w:name w:val="CDD0079FB0854C848B2D7BCE2A52FE22"/>
        <w:category>
          <w:name w:val="Allmänt"/>
          <w:gallery w:val="placeholder"/>
        </w:category>
        <w:types>
          <w:type w:val="bbPlcHdr"/>
        </w:types>
        <w:behaviors>
          <w:behavior w:val="content"/>
        </w:behaviors>
        <w:guid w:val="{D18F0429-56EC-4BA9-831B-520A36131AEE}"/>
      </w:docPartPr>
      <w:docPartBody>
        <w:p w:rsidR="001876CC" w:rsidRDefault="00210BEE" w:rsidP="00210BEE">
          <w:pPr>
            <w:pStyle w:val="CDD0079FB0854C848B2D7BCE2A52FE22"/>
          </w:pPr>
          <w:r>
            <w:rPr>
              <w:rStyle w:val="Platshllartext"/>
              <w:color w:val="808080" w:themeColor="background1" w:themeShade="80"/>
            </w:rPr>
            <w:t>Vänligen skriv in yrkandena här. Genom att använda knapparna under fliken Motion blir de rätt formulerade.</w:t>
          </w:r>
        </w:p>
      </w:docPartBody>
    </w:docPart>
    <w:docPart>
      <w:docPartPr>
        <w:name w:val="7BD11FF3A05144888AA65D751B35ACDA"/>
        <w:category>
          <w:name w:val="Allmänt"/>
          <w:gallery w:val="placeholder"/>
        </w:category>
        <w:types>
          <w:type w:val="bbPlcHdr"/>
        </w:types>
        <w:behaviors>
          <w:behavior w:val="content"/>
        </w:behaviors>
        <w:guid w:val="{535300B7-5CAF-4EB7-B4AC-0424A179259F}"/>
      </w:docPartPr>
      <w:docPartBody>
        <w:p w:rsidR="00BD44A7" w:rsidRDefault="00BD44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EE"/>
    <w:rsid w:val="000C52BA"/>
    <w:rsid w:val="001876CC"/>
    <w:rsid w:val="00210BEE"/>
    <w:rsid w:val="00363480"/>
    <w:rsid w:val="003B13B6"/>
    <w:rsid w:val="009D2A9C"/>
    <w:rsid w:val="00BD44A7"/>
    <w:rsid w:val="00C361F4"/>
    <w:rsid w:val="00E2222E"/>
    <w:rsid w:val="00E97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0BEE"/>
  </w:style>
  <w:style w:type="paragraph" w:customStyle="1" w:styleId="F77D26732E204B4A983C7C4B2A7DEC92">
    <w:name w:val="F77D26732E204B4A983C7C4B2A7DEC92"/>
  </w:style>
  <w:style w:type="paragraph" w:customStyle="1" w:styleId="3940FDF2C3D04959995CF6FE34589AAD">
    <w:name w:val="3940FDF2C3D04959995CF6FE34589A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7C9CE3F00245AB990521FCB2891EC9">
    <w:name w:val="1B7C9CE3F00245AB990521FCB2891EC9"/>
  </w:style>
  <w:style w:type="paragraph" w:customStyle="1" w:styleId="735D2E394AE042A1853640E7D7E982B2">
    <w:name w:val="735D2E394AE042A1853640E7D7E982B2"/>
  </w:style>
  <w:style w:type="paragraph" w:customStyle="1" w:styleId="8AFC0E56B4E345CBAF8FF0ABA79D2AAA">
    <w:name w:val="8AFC0E56B4E345CBAF8FF0ABA79D2AAA"/>
  </w:style>
  <w:style w:type="paragraph" w:customStyle="1" w:styleId="D5C4DB00FE3F418DB1FA71266D6169D8">
    <w:name w:val="D5C4DB00FE3F418DB1FA71266D6169D8"/>
  </w:style>
  <w:style w:type="paragraph" w:customStyle="1" w:styleId="C52BE0CEF93345DFB2A6E5E18B85E2A1">
    <w:name w:val="C52BE0CEF93345DFB2A6E5E18B85E2A1"/>
  </w:style>
  <w:style w:type="paragraph" w:customStyle="1" w:styleId="B2067172610E481FB7996D94F0E94D0E">
    <w:name w:val="B2067172610E481FB7996D94F0E94D0E"/>
  </w:style>
  <w:style w:type="paragraph" w:customStyle="1" w:styleId="CDD0079FB0854C848B2D7BCE2A52FE22">
    <w:name w:val="CDD0079FB0854C848B2D7BCE2A52FE22"/>
    <w:rsid w:val="00210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6D494-496F-413F-B69E-B297D21D30C4}"/>
</file>

<file path=customXml/itemProps2.xml><?xml version="1.0" encoding="utf-8"?>
<ds:datastoreItem xmlns:ds="http://schemas.openxmlformats.org/officeDocument/2006/customXml" ds:itemID="{4728A6FB-9D2F-41DD-B230-E1BE5A9B7DB2}"/>
</file>

<file path=customXml/itemProps3.xml><?xml version="1.0" encoding="utf-8"?>
<ds:datastoreItem xmlns:ds="http://schemas.openxmlformats.org/officeDocument/2006/customXml" ds:itemID="{87EA3D52-ED13-4151-829D-8A26F347204A}"/>
</file>

<file path=docProps/app.xml><?xml version="1.0" encoding="utf-8"?>
<Properties xmlns="http://schemas.openxmlformats.org/officeDocument/2006/extended-properties" xmlns:vt="http://schemas.openxmlformats.org/officeDocument/2006/docPropsVTypes">
  <Template>Normal</Template>
  <TotalTime>32</TotalTime>
  <Pages>4</Pages>
  <Words>953</Words>
  <Characters>5537</Characters>
  <Application>Microsoft Office Word</Application>
  <DocSecurity>0</DocSecurity>
  <Lines>221</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24 Näringsliv</vt:lpstr>
      <vt:lpstr>
      </vt:lpstr>
    </vt:vector>
  </TitlesOfParts>
  <Company>Sveriges riksdag</Company>
  <LinksUpToDate>false</LinksUpToDate>
  <CharactersWithSpaces>6305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