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714" w:rsidRPr="00D32714" w:rsidRDefault="00D32714">
      <w:pPr>
        <w:pStyle w:val="Frslagsrubrik"/>
      </w:pPr>
      <w:r w:rsidRPr="00D32714">
        <w:t>Förslag till riksdagsbeslut</w:t>
      </w:r>
    </w:p>
    <w:p w:rsidR="00D32714" w:rsidRPr="00D32714" w:rsidRDefault="00D32714">
      <w:pPr>
        <w:pStyle w:val="Hemstlatt"/>
        <w:ind w:left="0"/>
      </w:pPr>
      <w:r w:rsidRPr="00D32714">
        <w:t>Riksdagen tillkännager för regeringen som sin mening vad som anförs i motionen om en reformerad expertskatt för att underlätta invandring av kvalificerad arbetskraft.</w:t>
      </w:r>
    </w:p>
    <w:p w:rsidR="00D32714" w:rsidRPr="00D32714" w:rsidRDefault="00D32714">
      <w:pPr>
        <w:pStyle w:val="Rubrik1"/>
      </w:pPr>
      <w:r w:rsidRPr="00D32714">
        <w:t>Motivering</w:t>
      </w:r>
    </w:p>
    <w:p w:rsidR="00D32714" w:rsidRPr="00D32714" w:rsidRDefault="00D32714">
      <w:r w:rsidRPr="00D32714">
        <w:t>I en globaliserad ekonomi konkurrerar inte bara företagen världen över om kunder utan även om kompetenta medarbetare. Ska Sverige kunna utvecklas som kunskapsnation och uthålligt behålla en stark ekonomisk tillväxt, behövs en ökad invandring av kvalificerad arbetskraft.</w:t>
      </w:r>
    </w:p>
    <w:p w:rsidR="00D32714" w:rsidRPr="00D32714" w:rsidRDefault="00D32714">
      <w:pPr>
        <w:pStyle w:val="Normaltindrag"/>
      </w:pPr>
      <w:r w:rsidRPr="00D32714">
        <w:t>Vårt relativt höga skattetryck anges ofta som ett hinder då företag och un</w:t>
      </w:r>
      <w:r w:rsidRPr="00D32714">
        <w:t>i</w:t>
      </w:r>
      <w:r w:rsidRPr="00D32714">
        <w:t>versitet eller högskolor vill rekrytera nödvändig kompetens utomlands. E</w:t>
      </w:r>
      <w:r w:rsidRPr="00D32714">
        <w:t>x</w:t>
      </w:r>
      <w:r w:rsidRPr="00D32714">
        <w:t>pertskatten infördes 2001 för att förbättra Sveriges möjligheter i konkurrensen om den mest kvalificerade arbetskraften och för att göra Sverige mer intre</w:t>
      </w:r>
      <w:r w:rsidRPr="00D32714">
        <w:t>s</w:t>
      </w:r>
      <w:r w:rsidRPr="00D32714">
        <w:t>sant för etablering av huvudkontor och forskningscentrum. Lagstiftningen omfa</w:t>
      </w:r>
      <w:r w:rsidRPr="00D32714">
        <w:t>t</w:t>
      </w:r>
      <w:r w:rsidRPr="00D32714">
        <w:t>tar experter, forskare och andra nyckelpersoner som arbetar tillfälligt i Sverige. För vissa av grupperna gäller särskilda kompetenskrav. Skattelättn</w:t>
      </w:r>
      <w:r w:rsidRPr="00D32714">
        <w:t>a</w:t>
      </w:r>
      <w:r w:rsidRPr="00D32714">
        <w:t>den innebär att 25 procent av inkomsten och vissa andra</w:t>
      </w:r>
      <w:r w:rsidRPr="00D32714">
        <w:t xml:space="preserve"> omkostnader blir skatt</w:t>
      </w:r>
      <w:r w:rsidRPr="00D32714">
        <w:t>e</w:t>
      </w:r>
      <w:r w:rsidRPr="00D32714">
        <w:t>fria och undantas från sociala avgifter.</w:t>
      </w:r>
    </w:p>
    <w:p w:rsidR="00D32714" w:rsidRPr="00D32714" w:rsidRDefault="00D32714">
      <w:pPr>
        <w:pStyle w:val="Normaltindrag"/>
      </w:pPr>
      <w:r w:rsidRPr="00D32714">
        <w:t>Kritik har framförts mot de befintliga reglerna främst för bristande föru</w:t>
      </w:r>
      <w:r w:rsidRPr="00D32714">
        <w:t>t</w:t>
      </w:r>
      <w:r w:rsidRPr="00D32714">
        <w:t>sebarhet och för det administrativa krångel som de förorsakar samt att det är för begränsat både i tid och vilka personer som kan omfattas.</w:t>
      </w:r>
    </w:p>
    <w:p w:rsidR="00D32714" w:rsidRPr="00D32714" w:rsidRDefault="00D32714">
      <w:pPr>
        <w:pStyle w:val="Normaltindrag"/>
      </w:pPr>
      <w:r w:rsidRPr="00D32714">
        <w:t>I Sverige bedöms varje enskilt fall huruvida det uppfyller de särskilda kr</w:t>
      </w:r>
      <w:r w:rsidRPr="00D32714">
        <w:t>i</w:t>
      </w:r>
      <w:r w:rsidRPr="00D32714">
        <w:t>ter</w:t>
      </w:r>
      <w:r w:rsidRPr="00D32714">
        <w:t>i</w:t>
      </w:r>
      <w:r w:rsidRPr="00D32714">
        <w:t>er som fastställts för att en person ska kunna betraktas som expert eller annan nyckelperson. I de fall där särskilda kompetenskrav krävs blir därför osäkerheten stor om skattelättnaden kommer att beviljas eller inte. Detta sk</w:t>
      </w:r>
      <w:r w:rsidRPr="00D32714">
        <w:t>a</w:t>
      </w:r>
      <w:r w:rsidRPr="00D32714">
        <w:t>par en osäkerhet hos såväl företag och institutioner som den enskilde som överväger en flytt.</w:t>
      </w:r>
    </w:p>
    <w:p w:rsidR="00D32714" w:rsidRPr="00D32714" w:rsidRDefault="00D32714">
      <w:pPr>
        <w:pStyle w:val="Normaltindrag"/>
      </w:pPr>
      <w:r w:rsidRPr="00D32714">
        <w:lastRenderedPageBreak/>
        <w:t>ITPS genomförde 2005 en utvärdering av expertskatten. Deras resultat t</w:t>
      </w:r>
      <w:r w:rsidRPr="00D32714">
        <w:t>y</w:t>
      </w:r>
      <w:r w:rsidRPr="00D32714">
        <w:t>der på att expertskatten inte i någon större utsträckning påverkade valet för expe</w:t>
      </w:r>
      <w:r w:rsidRPr="00D32714">
        <w:t>r</w:t>
      </w:r>
      <w:r w:rsidRPr="00D32714">
        <w:t>ten att flytta till Sverige. Samtidigt framhåller nästan vartannat företag att Sverige har sämre möjligheter att rekrytera utländska experter än andra länder och att behovet framöver kommer att vara stort. Det gör att företagen tycker skatten är viktig, trots den relativt svaga effekt som den haft under de inl</w:t>
      </w:r>
      <w:r w:rsidRPr="00D32714">
        <w:t>e</w:t>
      </w:r>
      <w:r w:rsidRPr="00D32714">
        <w:t>dande åren.</w:t>
      </w:r>
    </w:p>
    <w:p w:rsidR="00D32714" w:rsidRPr="00D32714" w:rsidRDefault="00D32714">
      <w:pPr>
        <w:pStyle w:val="Normaltindrag"/>
      </w:pPr>
      <w:r w:rsidRPr="00D32714">
        <w:t xml:space="preserve">Danmark nämns ofta som ett föregångsland när det gäller hanteringen av expertskatten. Där har ett annat </w:t>
      </w:r>
      <w:r w:rsidRPr="00D32714">
        <w:t>system än det svenska valts – en ren lön</w:t>
      </w:r>
      <w:r w:rsidRPr="00D32714">
        <w:t>e</w:t>
      </w:r>
      <w:r w:rsidRPr="00D32714">
        <w:t>gräns, 60 100 DKR/månad utan krav på uppvisande av specifik kompetens. För forskare inom såväl offentlig som privat verksamhet finns ingen lön</w:t>
      </w:r>
      <w:r w:rsidRPr="00D32714">
        <w:t>e</w:t>
      </w:r>
      <w:r w:rsidRPr="00D32714">
        <w:t>gräns, däremot ställs krav på att det ska vara fråga om forsknings- och utvec</w:t>
      </w:r>
      <w:r w:rsidRPr="00D32714">
        <w:t>k</w:t>
      </w:r>
      <w:r w:rsidRPr="00D32714">
        <w:t>lingsarbete enligt OECD:s definition. Den danska modellen har fördelen att den är förutsägbar eftersom den bygger på en ren inkomstgräns.</w:t>
      </w:r>
    </w:p>
    <w:p w:rsidR="00D32714" w:rsidRPr="00D32714" w:rsidRDefault="00D32714">
      <w:pPr>
        <w:pStyle w:val="Normaltindrag"/>
      </w:pPr>
      <w:r w:rsidRPr="00D32714">
        <w:t>Sverige konkurrerar med Danmark om världens högsta inkomstskatter. Det är dags att låta oss inspireras av den da</w:t>
      </w:r>
      <w:r w:rsidRPr="00D32714">
        <w:t>nska modellen för expertskatten genom att vidga kretsen som kan omfattas och göra systemet förutsägbart genom att införa definitionen för forsknings- och utvecklingsarbete som kriterium, inf</w:t>
      </w:r>
      <w:r w:rsidRPr="00D32714">
        <w:t>ö</w:t>
      </w:r>
      <w:r w:rsidRPr="00D32714">
        <w:t>ra en lönegräns och förlänga tiden till förslagsvis fem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714">
        <w:trPr>
          <w:cantSplit/>
        </w:trPr>
        <w:tc>
          <w:tcPr>
            <w:tcW w:w="3046" w:type="dxa"/>
          </w:tcPr>
          <w:p w:rsidR="00D32714" w:rsidRPr="00D32714" w:rsidRDefault="00D32714">
            <w:pPr>
              <w:pStyle w:val="UnderskriftDatum"/>
              <w:spacing w:before="240"/>
            </w:pPr>
            <w:r w:rsidRPr="00D32714">
              <w:t>Stockholm den 18 oktober 2010</w:t>
            </w:r>
          </w:p>
        </w:tc>
        <w:tc>
          <w:tcPr>
            <w:tcW w:w="3047" w:type="dxa"/>
          </w:tcPr>
          <w:p w:rsidR="00D32714" w:rsidRPr="00D32714" w:rsidRDefault="00D32714">
            <w:pPr>
              <w:pStyle w:val="Underskrifter"/>
              <w:spacing w:before="240"/>
            </w:pPr>
          </w:p>
        </w:tc>
      </w:tr>
      <w:tr w:rsidR="00000000" w:rsidRPr="00D32714">
        <w:trPr>
          <w:cantSplit/>
        </w:trPr>
        <w:tc>
          <w:tcPr>
            <w:tcW w:w="3046" w:type="dxa"/>
          </w:tcPr>
          <w:p w:rsidR="00D32714" w:rsidRPr="00D32714" w:rsidRDefault="00D32714">
            <w:pPr>
              <w:pStyle w:val="Underskrifter"/>
            </w:pPr>
            <w:r w:rsidRPr="00D32714">
              <w:t>Hans Backman (FP)</w:t>
            </w:r>
          </w:p>
        </w:tc>
        <w:tc>
          <w:tcPr>
            <w:tcW w:w="3046" w:type="dxa"/>
          </w:tcPr>
          <w:p w:rsidR="00D32714" w:rsidRPr="00D32714" w:rsidRDefault="00D32714">
            <w:pPr>
              <w:pStyle w:val="Underskrifter"/>
            </w:pPr>
          </w:p>
        </w:tc>
      </w:tr>
      <w:tr w:rsidR="00000000" w:rsidRPr="00D32714">
        <w:trPr>
          <w:cantSplit/>
        </w:trPr>
        <w:tc>
          <w:tcPr>
            <w:tcW w:w="3046" w:type="dxa"/>
          </w:tcPr>
          <w:p w:rsidR="00D32714" w:rsidRPr="00D32714" w:rsidRDefault="00D32714">
            <w:pPr>
              <w:pStyle w:val="Underskrifter"/>
            </w:pPr>
            <w:r w:rsidRPr="00D32714">
              <w:t>Jan Ertsborn (FP)</w:t>
            </w:r>
          </w:p>
        </w:tc>
        <w:tc>
          <w:tcPr>
            <w:tcW w:w="3046" w:type="dxa"/>
          </w:tcPr>
          <w:p w:rsidR="00D32714" w:rsidRPr="00D32714" w:rsidRDefault="00D32714">
            <w:pPr>
              <w:pStyle w:val="Underskrifter"/>
            </w:pPr>
            <w:r w:rsidRPr="00D32714">
              <w:t>Christer Nylander (FP)</w:t>
            </w:r>
          </w:p>
        </w:tc>
      </w:tr>
      <w:tr w:rsidR="00000000" w:rsidRPr="00D32714">
        <w:trPr>
          <w:cantSplit/>
        </w:trPr>
        <w:tc>
          <w:tcPr>
            <w:tcW w:w="3046" w:type="dxa"/>
          </w:tcPr>
          <w:p w:rsidR="00D32714" w:rsidRPr="00D32714" w:rsidRDefault="00D32714">
            <w:pPr>
              <w:pStyle w:val="Underskrifter"/>
            </w:pPr>
            <w:r w:rsidRPr="00D32714">
              <w:t>Maria Lundqvist-Brömster (FP)</w:t>
            </w:r>
          </w:p>
        </w:tc>
        <w:tc>
          <w:tcPr>
            <w:tcW w:w="3046" w:type="dxa"/>
          </w:tcPr>
          <w:p w:rsidR="00D32714" w:rsidRPr="00D32714" w:rsidRDefault="00D32714">
            <w:pPr>
              <w:pStyle w:val="Underskrifter"/>
            </w:pPr>
            <w:r w:rsidRPr="00D32714">
              <w:t>Liselott Hagberg (FP)</w:t>
            </w:r>
          </w:p>
        </w:tc>
      </w:tr>
    </w:tbl>
    <w:p w:rsidR="00D32714" w:rsidRPr="00D32714" w:rsidRDefault="00D32714">
      <w:pPr>
        <w:pStyle w:val="Normaltindrag"/>
      </w:pPr>
    </w:p>
    <w:sectPr w:rsidR="00000000" w:rsidRPr="00D327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714" w:rsidRPr="00D32714" w:rsidRDefault="00D32714">
      <w:r w:rsidRPr="00D32714">
        <w:separator/>
      </w:r>
    </w:p>
  </w:endnote>
  <w:endnote w:type="continuationSeparator" w:id="0">
    <w:p w:rsidR="00D32714" w:rsidRPr="00D32714" w:rsidRDefault="00D32714">
      <w:r w:rsidRPr="00D327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fot"/>
    </w:pPr>
    <w:r w:rsidRPr="00D327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886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2714" w:rsidRDefault="00D327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fot"/>
    </w:pPr>
    <w:r w:rsidRPr="00D327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711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2714" w:rsidRDefault="00D327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fot"/>
    </w:pPr>
    <w:r w:rsidRPr="00D327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615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2714" w:rsidRDefault="00D327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714" w:rsidRPr="00D32714" w:rsidRDefault="00D32714">
      <w:r w:rsidRPr="00D32714">
        <w:separator/>
      </w:r>
    </w:p>
  </w:footnote>
  <w:footnote w:type="continuationSeparator" w:id="0">
    <w:p w:rsidR="00D32714" w:rsidRPr="00D32714" w:rsidRDefault="00D32714">
      <w:r w:rsidRPr="00D327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huvud"/>
    </w:pPr>
    <w:r w:rsidRPr="00D327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107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2714" w:rsidRDefault="00D327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Sidhuvud"/>
    </w:pPr>
    <w:r w:rsidRPr="00D327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500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2714" w:rsidRDefault="00D327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2714" w:rsidRDefault="00D327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714" w:rsidRPr="00D32714" w:rsidRDefault="00D32714">
    <w:pPr>
      <w:pStyle w:val="FSHNormal"/>
      <w:tabs>
        <w:tab w:val="right" w:pos="5840"/>
      </w:tabs>
    </w:pPr>
    <w:r w:rsidRPr="00D32714">
      <w:br/>
    </w:r>
    <w:r w:rsidRPr="00D32714">
      <w:fldChar w:fldCharType="begin" w:fldLock="1"/>
    </w:r>
    <w:r w:rsidRPr="00D32714">
      <w:instrText xml:space="preserve"> DOCPROPERTY</w:instrText>
    </w:r>
    <w:r w:rsidRPr="00D32714">
      <w:rPr>
        <w:sz w:val="18"/>
      </w:rPr>
      <w:instrText xml:space="preserve"> "YearUser" *\charformat </w:instrText>
    </w:r>
    <w:r w:rsidRPr="00D32714">
      <w:fldChar w:fldCharType="separate"/>
    </w:r>
    <w:r w:rsidRPr="00D32714">
      <w:t>2010/11</w:t>
    </w:r>
    <w:r w:rsidRPr="00D32714">
      <w:fldChar w:fldCharType="end"/>
    </w:r>
    <w:r w:rsidRPr="00D32714">
      <w:t xml:space="preserve"> </w:t>
    </w:r>
    <w:r w:rsidRPr="00D32714">
      <w:tab/>
      <w:t xml:space="preserve">mnr: </w:t>
    </w:r>
    <w:r w:rsidRPr="00D32714">
      <w:fldChar w:fldCharType="begin" w:fldLock="1"/>
    </w:r>
    <w:r w:rsidRPr="00D32714">
      <w:instrText xml:space="preserve"> DOCPROPERTY</w:instrText>
    </w:r>
    <w:r w:rsidRPr="00D32714">
      <w:rPr>
        <w:sz w:val="18"/>
      </w:rPr>
      <w:instrText xml:space="preserve"> "Motionsnummer" *\charformat </w:instrText>
    </w:r>
    <w:r w:rsidRPr="00D32714">
      <w:fldChar w:fldCharType="separate"/>
    </w:r>
    <w:r w:rsidRPr="00D32714">
      <w:t>Sk232</w:t>
    </w:r>
    <w:r w:rsidRPr="00D32714">
      <w:fldChar w:fldCharType="end"/>
    </w:r>
    <w:r w:rsidRPr="00D32714">
      <w:br/>
    </w:r>
    <w:r w:rsidRPr="00D32714">
      <w:fldChar w:fldCharType="begin" w:fldLock="1"/>
    </w:r>
    <w:r w:rsidRPr="00D32714">
      <w:instrText xml:space="preserve"> DOCPROPERTY</w:instrText>
    </w:r>
    <w:r w:rsidRPr="00D32714">
      <w:rPr>
        <w:sz w:val="18"/>
      </w:rPr>
      <w:instrText xml:space="preserve"> "Samling" *\charformat </w:instrText>
    </w:r>
    <w:r w:rsidRPr="00D32714">
      <w:fldChar w:fldCharType="end"/>
    </w:r>
    <w:r w:rsidRPr="00D32714">
      <w:tab/>
      <w:t xml:space="preserve">pnr: </w:t>
    </w:r>
    <w:r w:rsidRPr="00D32714">
      <w:fldChar w:fldCharType="begin" w:fldLock="1"/>
    </w:r>
    <w:r w:rsidRPr="00D32714">
      <w:instrText xml:space="preserve"> DOCPROPERTY</w:instrText>
    </w:r>
    <w:r w:rsidRPr="00D32714">
      <w:rPr>
        <w:sz w:val="18"/>
      </w:rPr>
      <w:instrText xml:space="preserve"> "Partinummer" *\charformat </w:instrText>
    </w:r>
    <w:r w:rsidRPr="00D32714">
      <w:fldChar w:fldCharType="separate"/>
    </w:r>
    <w:r w:rsidRPr="00D32714">
      <w:t>FP1012</w:t>
    </w:r>
    <w:r w:rsidRPr="00D32714">
      <w:fldChar w:fldCharType="end"/>
    </w:r>
  </w:p>
  <w:p w:rsidR="00D32714" w:rsidRPr="00D32714" w:rsidRDefault="00D32714">
    <w:pPr>
      <w:pStyle w:val="FSHRub1"/>
    </w:pPr>
    <w:r w:rsidRPr="00D32714">
      <w:t>Motion till riksdagen</w:t>
    </w:r>
    <w:r w:rsidRPr="00D32714">
      <w:br/>
    </w:r>
    <w:r w:rsidRPr="00D32714">
      <w:fldChar w:fldCharType="begin" w:fldLock="1"/>
    </w:r>
    <w:r w:rsidRPr="00D32714">
      <w:instrText xml:space="preserve"> DOCPROPERTY "YearUser" *\charformat </w:instrText>
    </w:r>
    <w:r w:rsidRPr="00D32714">
      <w:fldChar w:fldCharType="separate"/>
    </w:r>
    <w:r w:rsidRPr="00D32714">
      <w:t>2010/11</w:t>
    </w:r>
    <w:r w:rsidRPr="00D32714">
      <w:fldChar w:fldCharType="end"/>
    </w:r>
    <w:r w:rsidRPr="00D32714">
      <w:t>:</w:t>
    </w:r>
    <w:r w:rsidRPr="00D32714">
      <w:fldChar w:fldCharType="begin" w:fldLock="1"/>
    </w:r>
    <w:r w:rsidRPr="00D32714">
      <w:instrText xml:space="preserve"> DOCPROPERTY "Motionsnummer" *\charformat </w:instrText>
    </w:r>
    <w:r w:rsidRPr="00D32714">
      <w:fldChar w:fldCharType="separate"/>
    </w:r>
    <w:r w:rsidRPr="00D32714">
      <w:t>Sk232</w:t>
    </w:r>
    <w:r w:rsidRPr="00D32714">
      <w:fldChar w:fldCharType="end"/>
    </w:r>
  </w:p>
  <w:p w:rsidR="00D32714" w:rsidRPr="00D32714" w:rsidRDefault="00D32714">
    <w:pPr>
      <w:pStyle w:val="FSHNormalS5"/>
    </w:pPr>
    <w:r w:rsidRPr="00D32714">
      <w:fldChar w:fldCharType="begin" w:fldLock="1"/>
    </w:r>
    <w:r w:rsidRPr="00D32714">
      <w:instrText xml:space="preserve"> DOCPROPERTY "MotionarText" *\charformat </w:instrText>
    </w:r>
    <w:r w:rsidRPr="00D32714">
      <w:fldChar w:fldCharType="separate"/>
    </w:r>
    <w:r w:rsidRPr="00D32714">
      <w:t>av Hans Backman m.fl. (FP)</w:t>
    </w:r>
    <w:r w:rsidRPr="00D32714">
      <w:fldChar w:fldCharType="end"/>
    </w:r>
    <w:r w:rsidRPr="00D32714">
      <w:br/>
    </w:r>
    <w:r w:rsidRPr="00D32714">
      <w:fldChar w:fldCharType="begin" w:fldLock="1"/>
    </w:r>
    <w:r w:rsidRPr="00D32714">
      <w:instrText xml:space="preserve"> DOCPROPERTY "SvarFrasKort" *\charformat </w:instrText>
    </w:r>
    <w:r w:rsidRPr="00D32714">
      <w:fldChar w:fldCharType="end"/>
    </w:r>
  </w:p>
  <w:p w:rsidR="00D32714" w:rsidRPr="00D32714" w:rsidRDefault="00D32714">
    <w:pPr>
      <w:pStyle w:val="FSHTitel"/>
    </w:pPr>
    <w:r w:rsidRPr="00D32714">
      <w:fldChar w:fldCharType="begin" w:fldLock="1"/>
    </w:r>
    <w:r w:rsidRPr="00D32714">
      <w:instrText xml:space="preserve"> DOCPROPERTY</w:instrText>
    </w:r>
    <w:r w:rsidRPr="00D32714">
      <w:rPr>
        <w:sz w:val="18"/>
      </w:rPr>
      <w:instrText xml:space="preserve"> "RubrikSvar" *\charformat </w:instrText>
    </w:r>
    <w:r w:rsidRPr="00D32714">
      <w:fldChar w:fldCharType="separate"/>
    </w:r>
    <w:r w:rsidRPr="00D32714">
      <w:t>Reformerad expertskatt</w:t>
    </w:r>
    <w:r w:rsidRPr="00D32714">
      <w:fldChar w:fldCharType="end"/>
    </w:r>
  </w:p>
  <w:p w:rsidR="00D32714" w:rsidRPr="00D32714" w:rsidRDefault="00D32714">
    <w:pPr>
      <w:pStyle w:val="Normal00"/>
    </w:pPr>
  </w:p>
  <w:p w:rsidR="00D32714" w:rsidRPr="00D32714" w:rsidRDefault="00D327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1110453">
    <w:abstractNumId w:val="3"/>
  </w:num>
  <w:num w:numId="2" w16cid:durableId="1869873622">
    <w:abstractNumId w:val="2"/>
  </w:num>
  <w:num w:numId="3" w16cid:durableId="712968778">
    <w:abstractNumId w:val="1"/>
  </w:num>
  <w:num w:numId="4" w16cid:durableId="1994288573">
    <w:abstractNumId w:val="0"/>
  </w:num>
  <w:num w:numId="5" w16cid:durableId="917248266">
    <w:abstractNumId w:val="7"/>
  </w:num>
  <w:num w:numId="6" w16cid:durableId="1247376770">
    <w:abstractNumId w:val="6"/>
  </w:num>
  <w:num w:numId="7" w16cid:durableId="1393458387">
    <w:abstractNumId w:val="5"/>
  </w:num>
  <w:num w:numId="8" w16cid:durableId="1855269335">
    <w:abstractNumId w:val="4"/>
  </w:num>
  <w:num w:numId="9" w16cid:durableId="1333606698">
    <w:abstractNumId w:val="8"/>
  </w:num>
  <w:num w:numId="10" w16cid:durableId="1163819873">
    <w:abstractNumId w:val="9"/>
  </w:num>
  <w:num w:numId="11" w16cid:durableId="2040005425">
    <w:abstractNumId w:val="10"/>
  </w:num>
  <w:num w:numId="12" w16cid:durableId="182670270">
    <w:abstractNumId w:val="13"/>
  </w:num>
  <w:num w:numId="13" w16cid:durableId="1572882295">
    <w:abstractNumId w:val="15"/>
  </w:num>
  <w:num w:numId="14" w16cid:durableId="1723863857">
    <w:abstractNumId w:val="16"/>
  </w:num>
  <w:num w:numId="15" w16cid:durableId="1652054769">
    <w:abstractNumId w:val="11"/>
  </w:num>
  <w:num w:numId="16" w16cid:durableId="309751907">
    <w:abstractNumId w:val="18"/>
  </w:num>
  <w:num w:numId="17" w16cid:durableId="1133595050">
    <w:abstractNumId w:val="17"/>
  </w:num>
  <w:num w:numId="18" w16cid:durableId="1242133464">
    <w:abstractNumId w:val="14"/>
  </w:num>
  <w:num w:numId="19" w16cid:durableId="1900556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3C659FD5-994E-483D-A995-4EA8D612814F},{2998228B-41E9-466F-80DA-3FF00D1CAC40},{615CFE12-283F-4F3C-8A99-CEF8DBAC2A97},{5846A409-2109-4FBC-B1F5-DB0F27FB8EF3},{FFE3460D-E740-4541-A8D4-0C9824D81DA7}"/>
  </w:docVars>
  <w:rsids>
    <w:rsidRoot w:val="00374D22"/>
    <w:rsid w:val="00374D22"/>
    <w:rsid w:val="00D327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E81712-0F9D-4E7A-B040-BE95070C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2771</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fp1012</vt:lpstr>
    </vt:vector>
  </TitlesOfParts>
  <Company>Riksdagen</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fp1012</dc:title>
  <dc:subject>fp1012</dc:subject>
  <dc:creator>Riksdagen</dc:creator>
  <cp:keywords>Riksdagen</cp:keywords>
  <dc:description>Versal/gemen i partibeteckning. Gemen i tryck för 0910, versal för 1011 och nyare</dc:description>
  <cp:lastModifiedBy>Lars Brink</cp:lastModifiedBy>
  <cp:revision>2</cp:revision>
  <cp:lastPrinted>2010-11-11T11:29:00Z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Reformerad expertskatt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expertskatt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Backman m.fl. (FP)</vt:lpwstr>
  </property>
  <property fmtid="{D5CDD505-2E9C-101B-9397-08002B2CF9AE}" pid="26" name="MotionarLista">
    <vt:lpwstr>Backman, Hans (FP)\Ertsborn, Jan (FP)\Nylander, Christer (FP)\Lundqvist-Brömster, Maria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Christer Nylander (FP), Maria Lundqvist-Brömster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20102011000001020112000010120069</vt:lpwstr>
  </property>
  <property fmtid="{D5CDD505-2E9C-101B-9397-08002B2CF9AE}" pid="47" name="datum">
    <vt:lpwstr>101018</vt:lpwstr>
  </property>
  <property fmtid="{D5CDD505-2E9C-101B-9397-08002B2CF9AE}" pid="48" name="avsändar-e-post">
    <vt:lpwstr>sofia.karlsson@riksdagen.se</vt:lpwstr>
  </property>
  <property fmtid="{D5CDD505-2E9C-101B-9397-08002B2CF9AE}" pid="49" name="id">
    <vt:lpwstr>20102011000001020112000010120069</vt:lpwstr>
  </property>
  <property fmtid="{D5CDD505-2E9C-101B-9397-08002B2CF9AE}" pid="50" name="nummer">
    <vt:lpwstr>232</vt:lpwstr>
  </property>
  <property fmtid="{D5CDD505-2E9C-101B-9397-08002B2CF9AE}" pid="51" name="utskottsbeteckning">
    <vt:lpwstr>Sk</vt:lpwstr>
  </property>
  <property fmtid="{D5CDD505-2E9C-101B-9397-08002B2CF9AE}" pid="52" name="GlobalUID">
    <vt:lpwstr>{A3D1AC15-8FC1-4500-984C-1A5D07FCA4A3}</vt:lpwstr>
  </property>
  <property fmtid="{D5CDD505-2E9C-101B-9397-08002B2CF9AE}" pid="53" name="Överföringar">
    <vt:i4>0</vt:i4>
  </property>
  <property fmtid="{D5CDD505-2E9C-101B-9397-08002B2CF9AE}" pid="54" name="Checksum">
    <vt:lpwstr>*0015463116359*</vt:lpwstr>
  </property>
  <property fmtid="{D5CDD505-2E9C-101B-9397-08002B2CF9AE}" pid="55" name="skuggnummer">
    <vt:lpwstr>324</vt:lpwstr>
  </property>
  <property fmtid="{D5CDD505-2E9C-101B-9397-08002B2CF9AE}" pid="56" name="urixVersion">
    <vt:lpwstr>4.3.0.0</vt:lpwstr>
  </property>
  <property fmtid="{D5CDD505-2E9C-101B-9397-08002B2CF9AE}" pid="57" name="urixOrigin">
    <vt:lpwstr>101111 12:31:53.849</vt:lpwstr>
  </property>
  <property fmtid="{D5CDD505-2E9C-101B-9397-08002B2CF9AE}" pid="58" name="urixGuid">
    <vt:lpwstr>{15A6431B-61E7-487D-A35D-3AC539DE46BE}</vt:lpwstr>
  </property>
</Properties>
</file>