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84B53">
        <w:tblPrEx>
          <w:tblCellMar>
            <w:top w:w="0" w:type="dxa"/>
            <w:bottom w:w="0" w:type="dxa"/>
          </w:tblCellMar>
        </w:tblPrEx>
        <w:trPr>
          <w:cantSplit/>
          <w:trHeight w:val="1720"/>
        </w:trPr>
        <w:tc>
          <w:tcPr>
            <w:tcW w:w="6024" w:type="dxa"/>
            <w:gridSpan w:val="2"/>
          </w:tcPr>
          <w:p w:rsidR="001E7809" w:rsidRPr="00A84B53" w:rsidRDefault="001E7809">
            <w:pPr>
              <w:pStyle w:val="HuvudRubrik"/>
            </w:pPr>
            <w:r w:rsidRPr="00A84B53">
              <w:t>Trafikutskottets yttrande</w:t>
            </w:r>
          </w:p>
          <w:p w:rsidR="001E7809" w:rsidRPr="00A84B53" w:rsidRDefault="001E7809">
            <w:pPr>
              <w:pStyle w:val="HuvudRubrikRad2"/>
            </w:pPr>
            <w:bookmarkStart w:id="0" w:name="BetänkandeNr"/>
            <w:bookmarkEnd w:id="0"/>
            <w:r w:rsidRPr="00A84B53">
              <w:t>2002/03:TU2y</w:t>
            </w:r>
          </w:p>
        </w:tc>
        <w:tc>
          <w:tcPr>
            <w:tcW w:w="1418" w:type="dxa"/>
            <w:tcBorders>
              <w:bottom w:val="nil"/>
            </w:tcBorders>
          </w:tcPr>
          <w:p w:rsidR="001E7809" w:rsidRPr="00A84B53" w:rsidRDefault="00A84B53">
            <w:pPr>
              <w:spacing w:line="230" w:lineRule="auto"/>
              <w:jc w:val="center"/>
            </w:pPr>
            <w:r w:rsidRPr="00A84B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7809" w:rsidRPr="00A84B53" w:rsidRDefault="001E7809">
            <w:pPr>
              <w:pStyle w:val="Normaltindrag"/>
              <w:jc w:val="center"/>
            </w:pPr>
          </w:p>
          <w:p w:rsidR="001E7809" w:rsidRPr="00A84B53" w:rsidRDefault="001E7809">
            <w:pPr>
              <w:pStyle w:val="StatusSida1"/>
            </w:pPr>
          </w:p>
          <w:p w:rsidR="001E7809" w:rsidRPr="00A84B53" w:rsidRDefault="001E7809">
            <w:pPr>
              <w:pStyle w:val="UtskriftsdatumSida1"/>
              <w:framePr w:wrap="around"/>
            </w:pPr>
          </w:p>
        </w:tc>
      </w:tr>
      <w:tr w:rsidR="00000000" w:rsidRPr="00A84B53">
        <w:tblPrEx>
          <w:tblCellMar>
            <w:top w:w="0" w:type="dxa"/>
            <w:bottom w:w="0" w:type="dxa"/>
          </w:tblCellMar>
        </w:tblPrEx>
        <w:trPr>
          <w:cantSplit/>
        </w:trPr>
        <w:tc>
          <w:tcPr>
            <w:tcW w:w="6024" w:type="dxa"/>
            <w:gridSpan w:val="2"/>
            <w:tcBorders>
              <w:bottom w:val="single" w:sz="4" w:space="0" w:color="auto"/>
            </w:tcBorders>
          </w:tcPr>
          <w:p w:rsidR="001E7809" w:rsidRPr="00A84B53" w:rsidRDefault="001E7809">
            <w:pPr>
              <w:pStyle w:val="DokumentRubrik"/>
              <w:rPr>
                <w:noProof w:val="0"/>
              </w:rPr>
            </w:pPr>
            <w:bookmarkStart w:id="1" w:name="Huvudrubrik"/>
            <w:bookmarkEnd w:id="1"/>
            <w:r w:rsidRPr="00A84B53">
              <w:rPr>
                <w:noProof w:val="0"/>
              </w:rPr>
              <w:t>Redogörelse för behandlingen av riksdagens skrivelser till regeringen</w:t>
            </w:r>
          </w:p>
        </w:tc>
        <w:tc>
          <w:tcPr>
            <w:tcW w:w="1418" w:type="dxa"/>
            <w:tcBorders>
              <w:bottom w:val="nil"/>
            </w:tcBorders>
          </w:tcPr>
          <w:p w:rsidR="001E7809" w:rsidRPr="00A84B53" w:rsidRDefault="001E7809"/>
        </w:tc>
      </w:tr>
      <w:tr w:rsidR="00000000" w:rsidRPr="00A84B53">
        <w:tblPrEx>
          <w:tblCellMar>
            <w:top w:w="0" w:type="dxa"/>
            <w:bottom w:w="0" w:type="dxa"/>
          </w:tblCellMar>
        </w:tblPrEx>
        <w:trPr>
          <w:cantSplit/>
          <w:trHeight w:hRule="exact" w:val="360"/>
        </w:trPr>
        <w:tc>
          <w:tcPr>
            <w:tcW w:w="3012" w:type="dxa"/>
          </w:tcPr>
          <w:p w:rsidR="001E7809" w:rsidRPr="00A84B53" w:rsidRDefault="001E7809"/>
        </w:tc>
        <w:tc>
          <w:tcPr>
            <w:tcW w:w="3012" w:type="dxa"/>
          </w:tcPr>
          <w:p w:rsidR="001E7809" w:rsidRPr="00A84B53" w:rsidRDefault="001E7809"/>
        </w:tc>
        <w:tc>
          <w:tcPr>
            <w:tcW w:w="1418" w:type="dxa"/>
          </w:tcPr>
          <w:p w:rsidR="001E7809" w:rsidRPr="00A84B53" w:rsidRDefault="001E7809"/>
        </w:tc>
      </w:tr>
    </w:tbl>
    <w:p w:rsidR="001E7809" w:rsidRPr="00A84B53" w:rsidRDefault="001E7809">
      <w:pPr>
        <w:pStyle w:val="R1"/>
        <w:spacing w:after="250"/>
      </w:pPr>
      <w:r w:rsidRPr="00A84B53">
        <w:t>Till konstitutionsutskottet</w:t>
      </w:r>
    </w:p>
    <w:p w:rsidR="001E7809" w:rsidRPr="00A84B53" w:rsidRDefault="001E7809">
      <w:r w:rsidRPr="00A84B53">
        <w:t xml:space="preserve">Konstitutionsutskottet har den 20 mars 2003 anmodat övriga utskott att yttra sig över regeringens skrivelse 2002/03:75 </w:t>
      </w:r>
      <w:r w:rsidRPr="00A84B53">
        <w:rPr>
          <w:i/>
        </w:rPr>
        <w:t>Redogörelse för behandlingen av riksdagens skrivelser till regeringen</w:t>
      </w:r>
      <w:r w:rsidRPr="00A84B53">
        <w:t xml:space="preserve">. Redogörelsen omfattar huvudsakligen regeringsbeslut under tiden den 1 januari–den 31 december 2002. </w:t>
      </w:r>
    </w:p>
    <w:p w:rsidR="001E7809" w:rsidRPr="00A84B53" w:rsidRDefault="001E7809">
      <w:pPr>
        <w:pStyle w:val="R2"/>
      </w:pPr>
      <w:r w:rsidRPr="00A84B53">
        <w:t>Motionsförslag</w:t>
      </w:r>
    </w:p>
    <w:p w:rsidR="001E7809" w:rsidRPr="00A84B53" w:rsidRDefault="001E7809">
      <w:r w:rsidRPr="00A84B53">
        <w:t xml:space="preserve">Två motioner har väckts med anledning av regeringens skrivelse. </w:t>
      </w:r>
    </w:p>
    <w:p w:rsidR="001E7809" w:rsidRPr="00A84B53" w:rsidRDefault="001E7809">
      <w:pPr>
        <w:pStyle w:val="Normaltindrag"/>
      </w:pPr>
      <w:r w:rsidRPr="00A84B53">
        <w:t>I motion 2002/03:K6 av Gunnar Hökmark m.fl. (m) anges att regeringen under den senaste mandatperioden underlåtit att efterkomma riksdagens b</w:t>
      </w:r>
      <w:r w:rsidRPr="00A84B53">
        <w:t>e</w:t>
      </w:r>
      <w:r w:rsidRPr="00A84B53">
        <w:t>slut i ett stort antal ärenden. Enligt motionärerna är det viktigt att regeringen uppfyller de mål som riksdagen sätter upp och som det finns en politisk maj</w:t>
      </w:r>
      <w:r w:rsidRPr="00A84B53">
        <w:t>o</w:t>
      </w:r>
      <w:r w:rsidRPr="00A84B53">
        <w:t>ritet för så att inte allmänhetens tilltro till det politiska systemet urholkas.</w:t>
      </w:r>
    </w:p>
    <w:p w:rsidR="001E7809" w:rsidRPr="00A84B53" w:rsidRDefault="001E7809">
      <w:pPr>
        <w:pStyle w:val="Normaltindrag"/>
      </w:pPr>
      <w:r w:rsidRPr="00A84B53">
        <w:t>I motion 2002/03:K7 av Helena Bargholtz m.fl. (fp) begärs, mot bakgrund av några exempel på ärendehandläggning, att rutinerna skärps för att ver</w:t>
      </w:r>
      <w:r w:rsidRPr="00A84B53">
        <w:t>k</w:t>
      </w:r>
      <w:r w:rsidRPr="00A84B53">
        <w:t>ställa riksdagens beslut. Motionärerna framhåller att i de fall särskilda skäl finns för att regeringen inte kan följa ett av riksdagen fattat beslut, bör rege</w:t>
      </w:r>
      <w:r w:rsidRPr="00A84B53">
        <w:t>r</w:t>
      </w:r>
      <w:r w:rsidRPr="00A84B53">
        <w:t>ingen skyndsamt meddela riksdagen detta och för riksdagen noggrant redov</w:t>
      </w:r>
      <w:r w:rsidRPr="00A84B53">
        <w:t>i</w:t>
      </w:r>
      <w:r w:rsidRPr="00A84B53">
        <w:t>sa skälen härför.</w:t>
      </w:r>
    </w:p>
    <w:p w:rsidR="001E7809" w:rsidRPr="00A84B53" w:rsidRDefault="001E7809">
      <w:pPr>
        <w:pStyle w:val="R2"/>
      </w:pPr>
      <w:r w:rsidRPr="00A84B53">
        <w:t>Utskottets överväganden</w:t>
      </w:r>
    </w:p>
    <w:p w:rsidR="001E7809" w:rsidRPr="00A84B53" w:rsidRDefault="001E7809">
      <w:pPr>
        <w:pStyle w:val="R4"/>
      </w:pPr>
      <w:r w:rsidRPr="00A84B53">
        <w:t>Uppföljning av tidigare yttrande</w:t>
      </w:r>
    </w:p>
    <w:p w:rsidR="001E7809" w:rsidRPr="00A84B53" w:rsidRDefault="001E7809">
      <w:r w:rsidRPr="00A84B53">
        <w:t>Trafikutskottet har som ett led i arbetet med uppföljning och utvärdering under senare år ägnat en ökad uppmärksamhet åt regeringens redogörelser för riksdagens skrivelser till regeringen. Under år 2002 anmärkte ett enigt trafi</w:t>
      </w:r>
      <w:r w:rsidRPr="00A84B53">
        <w:t>k</w:t>
      </w:r>
      <w:r w:rsidRPr="00A84B53">
        <w:t xml:space="preserve">utskott på att regeringen enligt sin redogörelse hade slutbehandlat ett ärende med tillkännagivande från riksdagens sida om åtgärder för ökad säkerhet för </w:t>
      </w:r>
      <w:r w:rsidRPr="00A84B53">
        <w:lastRenderedPageBreak/>
        <w:t>barn i trafiken trots att de åtgärder som riksdagen efterlyst enligt utskottets mening inte syntes vara genomfört (2001/02:TU3y). Utskottet konstaterar nu att enligt årets redovisning har denna riksdagsskrivelse med tillkännagivande omregistrerats och anges vara under b</w:t>
      </w:r>
      <w:r w:rsidRPr="00A84B53">
        <w:t>e</w:t>
      </w:r>
      <w:r w:rsidRPr="00A84B53">
        <w:t xml:space="preserve">redning (rskr. 2000/01:249). </w:t>
      </w:r>
    </w:p>
    <w:p w:rsidR="001E7809" w:rsidRPr="00A84B53" w:rsidRDefault="001E7809">
      <w:pPr>
        <w:pStyle w:val="Normaltindrag"/>
      </w:pPr>
      <w:r w:rsidRPr="00A84B53">
        <w:t>I sitt yttrande våren 2002 framhöll trafikutskottet vid</w:t>
      </w:r>
      <w:r w:rsidRPr="00A84B53">
        <w:t>are att regeringens r</w:t>
      </w:r>
      <w:r w:rsidRPr="00A84B53">
        <w:t>e</w:t>
      </w:r>
      <w:r w:rsidRPr="00A84B53">
        <w:t>dogörelse inte var helt lättillgänglig och förde fram olika synpunkter på hur skrivelsen skulle kunna förbättras.  Även andra utskott har i sina yttranden till konstitutionsutskottet redovisat synpunkter på hur förbättringar skulle kunna åstadkommas. Utskottet konstaterar att årets redovisning följer tidigare up</w:t>
      </w:r>
      <w:r w:rsidRPr="00A84B53">
        <w:t>p</w:t>
      </w:r>
      <w:r w:rsidRPr="00A84B53">
        <w:t>läggning. Enligt vad utskottet erfarit pågår dock ett beredningsarbete om hur regeringens redogörelse kan vidareutvecklas. Enligt utskottets mening är det angeläget att detta a</w:t>
      </w:r>
      <w:r w:rsidRPr="00A84B53">
        <w:t>rbete slutförs och resulterar i en mer lättillgänglig och använ</w:t>
      </w:r>
      <w:r w:rsidRPr="00A84B53">
        <w:t>d</w:t>
      </w:r>
      <w:r w:rsidRPr="00A84B53">
        <w:t xml:space="preserve">bar produkt. </w:t>
      </w:r>
    </w:p>
    <w:p w:rsidR="001E7809" w:rsidRPr="00A84B53" w:rsidRDefault="001E7809">
      <w:pPr>
        <w:pStyle w:val="R4"/>
      </w:pPr>
      <w:r w:rsidRPr="00A84B53">
        <w:t xml:space="preserve">Årets redovisning omfattar 26 riksdagsskrivelser från trafikutskottet </w:t>
      </w:r>
    </w:p>
    <w:p w:rsidR="001E7809" w:rsidRPr="00A84B53" w:rsidRDefault="001E7809">
      <w:r w:rsidRPr="00A84B53">
        <w:t>I regeringens redogörelse redovisas sammanlagt 26 riksdagsskrivelser i frågor som behandlats i trafikutskottets betänkanden. Som framgår av följande sammanställning redovisas tolv av dessa som slutbehandlade.</w:t>
      </w:r>
    </w:p>
    <w:p w:rsidR="001E7809" w:rsidRPr="00A84B53" w:rsidRDefault="001E7809">
      <w:pPr>
        <w:pStyle w:val="Normaltindrag"/>
        <w:tabs>
          <w:tab w:val="right" w:pos="1701"/>
          <w:tab w:val="right" w:pos="3119"/>
          <w:tab w:val="right" w:pos="4678"/>
        </w:tabs>
      </w:pPr>
    </w:p>
    <w:tbl>
      <w:tblPr>
        <w:tblW w:w="0" w:type="auto"/>
        <w:jc w:val="right"/>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048"/>
        <w:gridCol w:w="1432"/>
        <w:gridCol w:w="1418"/>
        <w:gridCol w:w="1584"/>
      </w:tblGrid>
      <w:tr w:rsidR="00000000" w:rsidRPr="00A84B53">
        <w:tblPrEx>
          <w:tblCellMar>
            <w:top w:w="0" w:type="dxa"/>
            <w:bottom w:w="0" w:type="dxa"/>
          </w:tblCellMar>
        </w:tblPrEx>
        <w:trPr>
          <w:jc w:val="right"/>
        </w:trPr>
        <w:tc>
          <w:tcPr>
            <w:tcW w:w="1048" w:type="dxa"/>
            <w:tcBorders>
              <w:bottom w:val="single" w:sz="6" w:space="0" w:color="008000"/>
            </w:tcBorders>
          </w:tcPr>
          <w:p w:rsidR="001E7809" w:rsidRPr="00A84B53" w:rsidRDefault="001E7809">
            <w:pPr>
              <w:pStyle w:val="Normaltindrag"/>
              <w:tabs>
                <w:tab w:val="right" w:pos="1701"/>
                <w:tab w:val="right" w:pos="3119"/>
                <w:tab w:val="right" w:pos="4678"/>
              </w:tabs>
              <w:ind w:firstLine="0"/>
              <w:rPr>
                <w:b/>
                <w:sz w:val="16"/>
              </w:rPr>
            </w:pPr>
            <w:r w:rsidRPr="00A84B53">
              <w:rPr>
                <w:b/>
                <w:sz w:val="16"/>
              </w:rPr>
              <w:t>Riksmöte</w:t>
            </w:r>
          </w:p>
        </w:tc>
        <w:tc>
          <w:tcPr>
            <w:tcW w:w="1432" w:type="dxa"/>
            <w:tcBorders>
              <w:bottom w:val="single" w:sz="6" w:space="0" w:color="008000"/>
            </w:tcBorders>
          </w:tcPr>
          <w:p w:rsidR="001E7809" w:rsidRPr="00A84B53" w:rsidRDefault="001E7809">
            <w:pPr>
              <w:pStyle w:val="Normaltindrag"/>
              <w:tabs>
                <w:tab w:val="right" w:pos="1701"/>
                <w:tab w:val="right" w:pos="3119"/>
                <w:tab w:val="right" w:pos="4678"/>
              </w:tabs>
              <w:ind w:firstLine="0"/>
              <w:rPr>
                <w:b/>
                <w:sz w:val="16"/>
              </w:rPr>
            </w:pPr>
            <w:r w:rsidRPr="00A84B53">
              <w:rPr>
                <w:b/>
                <w:sz w:val="16"/>
              </w:rPr>
              <w:t xml:space="preserve">     Antal skrive</w:t>
            </w:r>
            <w:r w:rsidRPr="00A84B53">
              <w:rPr>
                <w:b/>
                <w:sz w:val="16"/>
              </w:rPr>
              <w:t>l</w:t>
            </w:r>
            <w:r w:rsidRPr="00A84B53">
              <w:rPr>
                <w:b/>
                <w:sz w:val="16"/>
              </w:rPr>
              <w:t>ser</w:t>
            </w:r>
          </w:p>
        </w:tc>
        <w:tc>
          <w:tcPr>
            <w:tcW w:w="1418" w:type="dxa"/>
            <w:tcBorders>
              <w:bottom w:val="single" w:sz="6" w:space="0" w:color="008000"/>
            </w:tcBorders>
          </w:tcPr>
          <w:p w:rsidR="001E7809" w:rsidRPr="00A84B53" w:rsidRDefault="001E7809">
            <w:pPr>
              <w:pStyle w:val="Normaltindrag"/>
              <w:tabs>
                <w:tab w:val="right" w:pos="1701"/>
                <w:tab w:val="right" w:pos="3119"/>
                <w:tab w:val="right" w:pos="4678"/>
              </w:tabs>
              <w:ind w:firstLine="0"/>
              <w:rPr>
                <w:b/>
                <w:sz w:val="16"/>
              </w:rPr>
            </w:pPr>
            <w:r w:rsidRPr="00A84B53">
              <w:rPr>
                <w:b/>
                <w:sz w:val="16"/>
              </w:rPr>
              <w:t xml:space="preserve">     Slutbehandl</w:t>
            </w:r>
            <w:r w:rsidRPr="00A84B53">
              <w:rPr>
                <w:b/>
                <w:sz w:val="16"/>
              </w:rPr>
              <w:t>a</w:t>
            </w:r>
            <w:r w:rsidRPr="00A84B53">
              <w:rPr>
                <w:b/>
                <w:sz w:val="16"/>
              </w:rPr>
              <w:t>de</w:t>
            </w:r>
          </w:p>
        </w:tc>
        <w:tc>
          <w:tcPr>
            <w:tcW w:w="1584" w:type="dxa"/>
            <w:tcBorders>
              <w:bottom w:val="single" w:sz="6" w:space="0" w:color="008000"/>
            </w:tcBorders>
          </w:tcPr>
          <w:p w:rsidR="001E7809" w:rsidRPr="00A84B53" w:rsidRDefault="001E7809">
            <w:pPr>
              <w:pStyle w:val="Normaltindrag"/>
              <w:tabs>
                <w:tab w:val="right" w:pos="1701"/>
                <w:tab w:val="right" w:pos="3119"/>
                <w:tab w:val="right" w:pos="4678"/>
              </w:tabs>
              <w:ind w:firstLine="0"/>
              <w:rPr>
                <w:b/>
                <w:sz w:val="16"/>
              </w:rPr>
            </w:pPr>
            <w:r w:rsidRPr="00A84B53">
              <w:rPr>
                <w:b/>
                <w:sz w:val="16"/>
              </w:rPr>
              <w:t xml:space="preserve">     Ej slutbehandl</w:t>
            </w:r>
            <w:r w:rsidRPr="00A84B53">
              <w:rPr>
                <w:b/>
                <w:sz w:val="16"/>
              </w:rPr>
              <w:t>a</w:t>
            </w:r>
            <w:r w:rsidRPr="00A84B53">
              <w:rPr>
                <w:b/>
                <w:sz w:val="16"/>
              </w:rPr>
              <w:t>de</w:t>
            </w:r>
          </w:p>
        </w:tc>
      </w:tr>
      <w:tr w:rsidR="00000000" w:rsidRPr="00A84B53">
        <w:tblPrEx>
          <w:tblCellMar>
            <w:top w:w="0" w:type="dxa"/>
            <w:bottom w:w="0" w:type="dxa"/>
          </w:tblCellMar>
        </w:tblPrEx>
        <w:trPr>
          <w:jc w:val="right"/>
        </w:trPr>
        <w:tc>
          <w:tcPr>
            <w:tcW w:w="1048" w:type="dxa"/>
            <w:tcBorders>
              <w:top w:val="single" w:sz="6" w:space="0" w:color="008000"/>
            </w:tcBorders>
          </w:tcPr>
          <w:p w:rsidR="001E7809" w:rsidRPr="00A84B53" w:rsidRDefault="001E7809">
            <w:pPr>
              <w:pStyle w:val="Normaltindrag"/>
              <w:tabs>
                <w:tab w:val="right" w:pos="1701"/>
                <w:tab w:val="right" w:pos="3119"/>
                <w:tab w:val="right" w:pos="4678"/>
              </w:tabs>
              <w:ind w:firstLine="0"/>
              <w:rPr>
                <w:sz w:val="16"/>
              </w:rPr>
            </w:pPr>
            <w:r w:rsidRPr="00A84B53">
              <w:rPr>
                <w:sz w:val="16"/>
              </w:rPr>
              <w:t>1994/95</w:t>
            </w:r>
          </w:p>
        </w:tc>
        <w:tc>
          <w:tcPr>
            <w:tcW w:w="1432" w:type="dxa"/>
            <w:tcBorders>
              <w:top w:val="single" w:sz="6" w:space="0" w:color="008000"/>
            </w:tcBorders>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c>
          <w:tcPr>
            <w:tcW w:w="1418" w:type="dxa"/>
            <w:tcBorders>
              <w:top w:val="single" w:sz="6" w:space="0" w:color="008000"/>
            </w:tcBorders>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w:t>
            </w:r>
          </w:p>
        </w:tc>
        <w:tc>
          <w:tcPr>
            <w:tcW w:w="1584" w:type="dxa"/>
            <w:tcBorders>
              <w:top w:val="single" w:sz="6" w:space="0" w:color="008000"/>
            </w:tcBorders>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sz w:val="16"/>
              </w:rPr>
            </w:pPr>
            <w:r w:rsidRPr="00A84B53">
              <w:rPr>
                <w:sz w:val="16"/>
              </w:rPr>
              <w:t>1997/98</w:t>
            </w:r>
          </w:p>
        </w:tc>
        <w:tc>
          <w:tcPr>
            <w:tcW w:w="1432"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5</w:t>
            </w:r>
          </w:p>
        </w:tc>
        <w:tc>
          <w:tcPr>
            <w:tcW w:w="1418"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2</w:t>
            </w:r>
          </w:p>
        </w:tc>
        <w:tc>
          <w:tcPr>
            <w:tcW w:w="1584"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3</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sz w:val="16"/>
              </w:rPr>
            </w:pPr>
            <w:r w:rsidRPr="00A84B53">
              <w:rPr>
                <w:sz w:val="16"/>
              </w:rPr>
              <w:t>1998/99</w:t>
            </w:r>
          </w:p>
        </w:tc>
        <w:tc>
          <w:tcPr>
            <w:tcW w:w="1432"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c>
          <w:tcPr>
            <w:tcW w:w="1418"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c>
          <w:tcPr>
            <w:tcW w:w="1584"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sz w:val="16"/>
              </w:rPr>
            </w:pPr>
            <w:r w:rsidRPr="00A84B53">
              <w:rPr>
                <w:sz w:val="16"/>
              </w:rPr>
              <w:t>1999/2000</w:t>
            </w:r>
          </w:p>
        </w:tc>
        <w:tc>
          <w:tcPr>
            <w:tcW w:w="1432"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6</w:t>
            </w:r>
          </w:p>
        </w:tc>
        <w:tc>
          <w:tcPr>
            <w:tcW w:w="1418"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2</w:t>
            </w:r>
          </w:p>
        </w:tc>
        <w:tc>
          <w:tcPr>
            <w:tcW w:w="1584"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4</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sz w:val="16"/>
              </w:rPr>
            </w:pPr>
            <w:r w:rsidRPr="00A84B53">
              <w:rPr>
                <w:sz w:val="16"/>
              </w:rPr>
              <w:t>2000/01</w:t>
            </w:r>
          </w:p>
        </w:tc>
        <w:tc>
          <w:tcPr>
            <w:tcW w:w="1432"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3</w:t>
            </w:r>
          </w:p>
        </w:tc>
        <w:tc>
          <w:tcPr>
            <w:tcW w:w="1418"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c>
          <w:tcPr>
            <w:tcW w:w="1584"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2</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sz w:val="16"/>
              </w:rPr>
            </w:pPr>
            <w:r w:rsidRPr="00A84B53">
              <w:rPr>
                <w:sz w:val="16"/>
              </w:rPr>
              <w:t>2001/02</w:t>
            </w:r>
          </w:p>
        </w:tc>
        <w:tc>
          <w:tcPr>
            <w:tcW w:w="1432"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8</w:t>
            </w:r>
          </w:p>
        </w:tc>
        <w:tc>
          <w:tcPr>
            <w:tcW w:w="1418"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5</w:t>
            </w:r>
          </w:p>
        </w:tc>
        <w:tc>
          <w:tcPr>
            <w:tcW w:w="1584"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3</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sz w:val="16"/>
              </w:rPr>
            </w:pPr>
            <w:r w:rsidRPr="00A84B53">
              <w:rPr>
                <w:sz w:val="16"/>
              </w:rPr>
              <w:t>2002/03</w:t>
            </w:r>
          </w:p>
        </w:tc>
        <w:tc>
          <w:tcPr>
            <w:tcW w:w="1432"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2</w:t>
            </w:r>
          </w:p>
        </w:tc>
        <w:tc>
          <w:tcPr>
            <w:tcW w:w="1418"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c>
          <w:tcPr>
            <w:tcW w:w="1584" w:type="dxa"/>
          </w:tcPr>
          <w:p w:rsidR="001E7809" w:rsidRPr="00A84B53" w:rsidRDefault="001E7809">
            <w:pPr>
              <w:pStyle w:val="Normaltindrag"/>
              <w:tabs>
                <w:tab w:val="right" w:pos="1701"/>
                <w:tab w:val="right" w:pos="3119"/>
                <w:tab w:val="right" w:pos="4678"/>
              </w:tabs>
              <w:ind w:firstLine="0"/>
              <w:jc w:val="center"/>
              <w:rPr>
                <w:sz w:val="16"/>
              </w:rPr>
            </w:pPr>
            <w:r w:rsidRPr="00A84B53">
              <w:rPr>
                <w:sz w:val="16"/>
              </w:rPr>
              <w:t>1</w:t>
            </w:r>
          </w:p>
        </w:tc>
      </w:tr>
      <w:tr w:rsidR="00000000" w:rsidRPr="00A84B53">
        <w:tblPrEx>
          <w:tblCellMar>
            <w:top w:w="0" w:type="dxa"/>
            <w:bottom w:w="0" w:type="dxa"/>
          </w:tblCellMar>
        </w:tblPrEx>
        <w:trPr>
          <w:jc w:val="right"/>
        </w:trPr>
        <w:tc>
          <w:tcPr>
            <w:tcW w:w="1048" w:type="dxa"/>
          </w:tcPr>
          <w:p w:rsidR="001E7809" w:rsidRPr="00A84B53" w:rsidRDefault="001E7809">
            <w:pPr>
              <w:pStyle w:val="Normaltindrag"/>
              <w:tabs>
                <w:tab w:val="right" w:pos="1701"/>
                <w:tab w:val="right" w:pos="3119"/>
                <w:tab w:val="right" w:pos="4678"/>
              </w:tabs>
              <w:ind w:firstLine="0"/>
              <w:rPr>
                <w:b/>
                <w:sz w:val="16"/>
              </w:rPr>
            </w:pPr>
            <w:r w:rsidRPr="00A84B53">
              <w:rPr>
                <w:b/>
                <w:sz w:val="16"/>
              </w:rPr>
              <w:t>Summa</w:t>
            </w:r>
          </w:p>
        </w:tc>
        <w:tc>
          <w:tcPr>
            <w:tcW w:w="1432" w:type="dxa"/>
          </w:tcPr>
          <w:p w:rsidR="001E7809" w:rsidRPr="00A84B53" w:rsidRDefault="001E7809">
            <w:pPr>
              <w:pStyle w:val="Normaltindrag"/>
              <w:tabs>
                <w:tab w:val="right" w:pos="1701"/>
                <w:tab w:val="right" w:pos="3119"/>
                <w:tab w:val="right" w:pos="4678"/>
              </w:tabs>
              <w:ind w:firstLine="0"/>
              <w:jc w:val="center"/>
              <w:rPr>
                <w:b/>
                <w:sz w:val="16"/>
              </w:rPr>
            </w:pPr>
            <w:r w:rsidRPr="00A84B53">
              <w:rPr>
                <w:b/>
                <w:sz w:val="16"/>
              </w:rPr>
              <w:t>26</w:t>
            </w:r>
          </w:p>
        </w:tc>
        <w:tc>
          <w:tcPr>
            <w:tcW w:w="1418" w:type="dxa"/>
          </w:tcPr>
          <w:p w:rsidR="001E7809" w:rsidRPr="00A84B53" w:rsidRDefault="001E7809">
            <w:pPr>
              <w:pStyle w:val="Normaltindrag"/>
              <w:tabs>
                <w:tab w:val="right" w:pos="1701"/>
                <w:tab w:val="right" w:pos="3119"/>
                <w:tab w:val="right" w:pos="4678"/>
              </w:tabs>
              <w:ind w:firstLine="0"/>
              <w:jc w:val="center"/>
              <w:rPr>
                <w:b/>
                <w:sz w:val="16"/>
              </w:rPr>
            </w:pPr>
            <w:r w:rsidRPr="00A84B53">
              <w:rPr>
                <w:b/>
                <w:sz w:val="16"/>
              </w:rPr>
              <w:t>12</w:t>
            </w:r>
          </w:p>
        </w:tc>
        <w:tc>
          <w:tcPr>
            <w:tcW w:w="1584" w:type="dxa"/>
          </w:tcPr>
          <w:p w:rsidR="001E7809" w:rsidRPr="00A84B53" w:rsidRDefault="001E7809">
            <w:pPr>
              <w:pStyle w:val="Normaltindrag"/>
              <w:tabs>
                <w:tab w:val="right" w:pos="1701"/>
                <w:tab w:val="right" w:pos="3119"/>
                <w:tab w:val="right" w:pos="4678"/>
              </w:tabs>
              <w:ind w:firstLine="0"/>
              <w:jc w:val="center"/>
              <w:rPr>
                <w:b/>
                <w:sz w:val="16"/>
              </w:rPr>
            </w:pPr>
            <w:r w:rsidRPr="00A84B53">
              <w:rPr>
                <w:b/>
                <w:sz w:val="16"/>
              </w:rPr>
              <w:t>14</w:t>
            </w:r>
          </w:p>
        </w:tc>
      </w:tr>
    </w:tbl>
    <w:p w:rsidR="001E7809" w:rsidRPr="00A84B53" w:rsidRDefault="001E7809">
      <w:pPr>
        <w:spacing w:before="187"/>
        <w:rPr>
          <w:i/>
        </w:rPr>
      </w:pPr>
      <w:r w:rsidRPr="00A84B53">
        <w:t>Trafikutskottet anser att regeringens redogörelse i huvudsak ger en god bild av de åtgärder som regeringen vidtagit och beredningsläget för de ärenden som inte är slutbehandlade. Utskottet har därför inte funnit anledning till några erinringar mot den formella registreringen av de riksdagsbeslut som fattats med anle</w:t>
      </w:r>
      <w:r w:rsidRPr="00A84B53">
        <w:t>d</w:t>
      </w:r>
      <w:r w:rsidRPr="00A84B53">
        <w:t>ning av betänkanden från trafikutskottet.</w:t>
      </w:r>
      <w:r w:rsidRPr="00A84B53">
        <w:rPr>
          <w:i/>
        </w:rPr>
        <w:t xml:space="preserve"> </w:t>
      </w:r>
    </w:p>
    <w:p w:rsidR="001E7809" w:rsidRPr="00A84B53" w:rsidRDefault="001E7809">
      <w:pPr>
        <w:pStyle w:val="R4"/>
      </w:pPr>
      <w:r w:rsidRPr="00A84B53">
        <w:t>Behandling av tillkännagivanden</w:t>
      </w:r>
    </w:p>
    <w:p w:rsidR="001E7809" w:rsidRPr="00A84B53" w:rsidRDefault="001E7809">
      <w:r w:rsidRPr="00A84B53">
        <w:t>I redogörelsen redovisas att riksdagen med anledning av betänkanden från trafikutskottet gjort 22 tillkännagivanden till regeringen i 18 skrivelser, varav ett tillkännagivande hanteras i två departement. Som framgår av följande sammanställning anges tio riksdagsskrivelser med tillkännagivanden som ej slutbehandl</w:t>
      </w:r>
      <w:r w:rsidRPr="00A84B53">
        <w:t>a</w:t>
      </w:r>
      <w:r w:rsidRPr="00A84B53">
        <w:t>de.</w:t>
      </w:r>
    </w:p>
    <w:p w:rsidR="001E7809" w:rsidRPr="00A84B53" w:rsidRDefault="001E7809">
      <w:pPr>
        <w:pStyle w:val="Normaltindrag"/>
        <w:spacing w:before="625"/>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530"/>
        <w:gridCol w:w="3165"/>
        <w:gridCol w:w="1398"/>
      </w:tblGrid>
      <w:tr w:rsidR="00000000" w:rsidRPr="00A84B53">
        <w:tblPrEx>
          <w:tblCellMar>
            <w:top w:w="0" w:type="dxa"/>
            <w:bottom w:w="0" w:type="dxa"/>
          </w:tblCellMar>
        </w:tblPrEx>
        <w:tc>
          <w:tcPr>
            <w:tcW w:w="1530" w:type="dxa"/>
          </w:tcPr>
          <w:p w:rsidR="001E7809" w:rsidRPr="00A84B53" w:rsidRDefault="001E7809">
            <w:pPr>
              <w:rPr>
                <w:b/>
                <w:snapToGrid w:val="0"/>
                <w:sz w:val="18"/>
                <w:lang w:eastAsia="sv-SE"/>
              </w:rPr>
            </w:pPr>
            <w:r w:rsidRPr="00A84B53">
              <w:rPr>
                <w:b/>
                <w:snapToGrid w:val="0"/>
                <w:sz w:val="18"/>
                <w:lang w:eastAsia="sv-SE"/>
              </w:rPr>
              <w:br w:type="page"/>
              <w:t>Riksdagsskrivelse</w:t>
            </w:r>
          </w:p>
        </w:tc>
        <w:tc>
          <w:tcPr>
            <w:tcW w:w="3165" w:type="dxa"/>
          </w:tcPr>
          <w:p w:rsidR="001E7809" w:rsidRPr="00A84B53" w:rsidRDefault="001E7809">
            <w:pPr>
              <w:rPr>
                <w:b/>
                <w:snapToGrid w:val="0"/>
                <w:sz w:val="18"/>
                <w:lang w:eastAsia="sv-SE"/>
              </w:rPr>
            </w:pPr>
            <w:r w:rsidRPr="00A84B53">
              <w:rPr>
                <w:b/>
                <w:snapToGrid w:val="0"/>
                <w:sz w:val="18"/>
                <w:lang w:eastAsia="sv-SE"/>
              </w:rPr>
              <w:t>Tillkännagivande</w:t>
            </w:r>
          </w:p>
        </w:tc>
        <w:tc>
          <w:tcPr>
            <w:tcW w:w="1398" w:type="dxa"/>
          </w:tcPr>
          <w:p w:rsidR="001E7809" w:rsidRPr="00A84B53" w:rsidRDefault="001E7809">
            <w:pPr>
              <w:rPr>
                <w:b/>
                <w:snapToGrid w:val="0"/>
                <w:sz w:val="18"/>
                <w:lang w:eastAsia="sv-SE"/>
              </w:rPr>
            </w:pPr>
            <w:r w:rsidRPr="00A84B53">
              <w:rPr>
                <w:b/>
                <w:snapToGrid w:val="0"/>
                <w:sz w:val="18"/>
                <w:lang w:eastAsia="sv-SE"/>
              </w:rPr>
              <w:t>Beslutsläge</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1994/95:232</w:t>
            </w:r>
          </w:p>
        </w:tc>
        <w:tc>
          <w:tcPr>
            <w:tcW w:w="3165" w:type="dxa"/>
          </w:tcPr>
          <w:p w:rsidR="001E7809" w:rsidRPr="00A84B53" w:rsidRDefault="001E7809">
            <w:pPr>
              <w:pStyle w:val="Tabelltext"/>
            </w:pPr>
            <w:r w:rsidRPr="00A84B53">
              <w:t>Återinförande av det statliga fritidsbåtsr</w:t>
            </w:r>
            <w:r w:rsidRPr="00A84B53">
              <w:t>e</w:t>
            </w:r>
            <w:r w:rsidRPr="00A84B53">
              <w:t>gistret</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1997/98:11</w:t>
            </w:r>
          </w:p>
        </w:tc>
        <w:tc>
          <w:tcPr>
            <w:tcW w:w="3165" w:type="dxa"/>
          </w:tcPr>
          <w:p w:rsidR="001E7809" w:rsidRPr="00A84B53" w:rsidRDefault="001E7809">
            <w:pPr>
              <w:pStyle w:val="Tabelltext"/>
            </w:pPr>
            <w:r w:rsidRPr="00A84B53">
              <w:t>Minskning av antalet mottagningsorter för förarprov</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1997/98:161</w:t>
            </w:r>
          </w:p>
        </w:tc>
        <w:tc>
          <w:tcPr>
            <w:tcW w:w="3165" w:type="dxa"/>
          </w:tcPr>
          <w:p w:rsidR="001E7809" w:rsidRPr="00A84B53" w:rsidRDefault="001E7809">
            <w:pPr>
              <w:pStyle w:val="Tabelltext"/>
            </w:pPr>
            <w:r w:rsidRPr="00A84B53">
              <w:t>Kontroll av lastsäkring</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1997/98:192</w:t>
            </w:r>
          </w:p>
        </w:tc>
        <w:tc>
          <w:tcPr>
            <w:tcW w:w="3165" w:type="dxa"/>
          </w:tcPr>
          <w:p w:rsidR="001E7809" w:rsidRPr="00A84B53" w:rsidRDefault="001E7809">
            <w:pPr>
              <w:pStyle w:val="Tabelltext"/>
            </w:pPr>
            <w:r w:rsidRPr="00A84B53">
              <w:t>Medicinska krav för taxiför</w:t>
            </w:r>
            <w:r w:rsidRPr="00A84B53">
              <w:t>a</w:t>
            </w:r>
            <w:r w:rsidRPr="00A84B53">
              <w:t>re</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1997/98:266</w:t>
            </w:r>
          </w:p>
        </w:tc>
        <w:tc>
          <w:tcPr>
            <w:tcW w:w="3165" w:type="dxa"/>
          </w:tcPr>
          <w:p w:rsidR="001E7809" w:rsidRPr="00A84B53" w:rsidRDefault="001E7809">
            <w:pPr>
              <w:pStyle w:val="Tabelltext"/>
            </w:pPr>
            <w:r w:rsidRPr="00A84B53">
              <w:t>Energi- och koldioxidskatt</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1998/99:197</w:t>
            </w:r>
          </w:p>
        </w:tc>
        <w:tc>
          <w:tcPr>
            <w:tcW w:w="3165" w:type="dxa"/>
          </w:tcPr>
          <w:p w:rsidR="001E7809" w:rsidRPr="00A84B53" w:rsidRDefault="001E7809">
            <w:pPr>
              <w:pStyle w:val="Tabelltext"/>
            </w:pPr>
            <w:r w:rsidRPr="00A84B53">
              <w:t>Övergripande trafiksäkerhetsåtgärder (Inrä</w:t>
            </w:r>
            <w:r w:rsidRPr="00A84B53">
              <w:t>t</w:t>
            </w:r>
            <w:r w:rsidRPr="00A84B53">
              <w:t>tande av en vägtrafiki</w:t>
            </w:r>
            <w:r w:rsidRPr="00A84B53">
              <w:t>n</w:t>
            </w:r>
            <w:r w:rsidRPr="00A84B53">
              <w:t>spektion)</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1999/2000:147</w:t>
            </w:r>
          </w:p>
        </w:tc>
        <w:tc>
          <w:tcPr>
            <w:tcW w:w="3165" w:type="dxa"/>
          </w:tcPr>
          <w:p w:rsidR="001E7809" w:rsidRPr="00A84B53" w:rsidRDefault="001E7809">
            <w:pPr>
              <w:pStyle w:val="Tabelltext"/>
            </w:pPr>
            <w:r w:rsidRPr="00A84B53">
              <w:t>Vägverket, Banverket och miljön (avser Miljödepartementets ansvarsomr</w:t>
            </w:r>
            <w:r w:rsidRPr="00A84B53">
              <w:t>å</w:t>
            </w:r>
            <w:r w:rsidRPr="00A84B53">
              <w:t xml:space="preserve">de) </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 xml:space="preserve">1999/2000:148 </w:t>
            </w:r>
          </w:p>
        </w:tc>
        <w:tc>
          <w:tcPr>
            <w:tcW w:w="3165" w:type="dxa"/>
          </w:tcPr>
          <w:p w:rsidR="001E7809" w:rsidRPr="00A84B53" w:rsidRDefault="001E7809">
            <w:pPr>
              <w:pStyle w:val="Tabelltext"/>
            </w:pPr>
            <w:r w:rsidRPr="00A84B53">
              <w:t>Vägverket, Banverket och miljön (avser Näringsdepartementets ansvar</w:t>
            </w:r>
            <w:r w:rsidRPr="00A84B53">
              <w:t>s</w:t>
            </w:r>
            <w:r w:rsidRPr="00A84B53">
              <w:t xml:space="preserve">område) </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1999/2000:166</w:t>
            </w:r>
          </w:p>
        </w:tc>
        <w:tc>
          <w:tcPr>
            <w:tcW w:w="3165" w:type="dxa"/>
          </w:tcPr>
          <w:p w:rsidR="001E7809" w:rsidRPr="00A84B53" w:rsidRDefault="001E7809">
            <w:pPr>
              <w:pStyle w:val="Tabelltext"/>
            </w:pPr>
            <w:r w:rsidRPr="00A84B53">
              <w:t>Inrättande av trafikofferjourer</w:t>
            </w:r>
          </w:p>
          <w:p w:rsidR="001E7809" w:rsidRPr="00A84B53" w:rsidRDefault="001E7809">
            <w:pPr>
              <w:pStyle w:val="Tabelltext"/>
            </w:pPr>
            <w:r w:rsidRPr="00A84B53">
              <w:t xml:space="preserve">Ansvaret för lastsäkring </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1999/2000:189</w:t>
            </w:r>
          </w:p>
        </w:tc>
        <w:tc>
          <w:tcPr>
            <w:tcW w:w="3165" w:type="dxa"/>
          </w:tcPr>
          <w:p w:rsidR="001E7809" w:rsidRPr="00A84B53" w:rsidRDefault="001E7809">
            <w:pPr>
              <w:pStyle w:val="Tabelltext"/>
            </w:pPr>
            <w:r w:rsidRPr="00A84B53">
              <w:t>Tillsynsmyndighetens roll på teleomr</w:t>
            </w:r>
            <w:r w:rsidRPr="00A84B53">
              <w:t>å</w:t>
            </w:r>
            <w:r w:rsidRPr="00A84B53">
              <w:t>det</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1999/2000:238</w:t>
            </w:r>
          </w:p>
        </w:tc>
        <w:tc>
          <w:tcPr>
            <w:tcW w:w="3165" w:type="dxa"/>
          </w:tcPr>
          <w:p w:rsidR="001E7809" w:rsidRPr="00A84B53" w:rsidRDefault="001E7809">
            <w:pPr>
              <w:pStyle w:val="Tabelltext"/>
            </w:pPr>
            <w:r w:rsidRPr="00A84B53">
              <w:t>Påföljdssystem för utländska fordonsför</w:t>
            </w:r>
            <w:r w:rsidRPr="00A84B53">
              <w:t>a</w:t>
            </w:r>
            <w:r w:rsidRPr="00A84B53">
              <w:t>re</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2000/01:158</w:t>
            </w:r>
          </w:p>
        </w:tc>
        <w:tc>
          <w:tcPr>
            <w:tcW w:w="3165" w:type="dxa"/>
          </w:tcPr>
          <w:p w:rsidR="001E7809" w:rsidRPr="00A84B53" w:rsidRDefault="001E7809">
            <w:pPr>
              <w:pStyle w:val="Tabelltext"/>
            </w:pPr>
            <w:r w:rsidRPr="00A84B53">
              <w:t>Sjöfartsinspektionens tillsyn</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2000/01:249</w:t>
            </w:r>
          </w:p>
        </w:tc>
        <w:tc>
          <w:tcPr>
            <w:tcW w:w="3165" w:type="dxa"/>
          </w:tcPr>
          <w:p w:rsidR="001E7809" w:rsidRPr="00A84B53" w:rsidRDefault="001E7809">
            <w:pPr>
              <w:pStyle w:val="Tabelltext"/>
            </w:pPr>
            <w:r w:rsidRPr="00A84B53">
              <w:t>Ökad säkerhet för barn i trafiken</w:t>
            </w:r>
          </w:p>
          <w:p w:rsidR="001E7809" w:rsidRPr="00A84B53" w:rsidRDefault="001E7809">
            <w:pPr>
              <w:pStyle w:val="Tabelltext"/>
            </w:pPr>
            <w:r w:rsidRPr="00A84B53">
              <w:t>Åtgärder mot telefonering under bilkö</w:t>
            </w:r>
            <w:r w:rsidRPr="00A84B53">
              <w:t>r</w:t>
            </w:r>
            <w:r w:rsidRPr="00A84B53">
              <w:t>ning</w:t>
            </w:r>
          </w:p>
        </w:tc>
        <w:tc>
          <w:tcPr>
            <w:tcW w:w="1398" w:type="dxa"/>
          </w:tcPr>
          <w:p w:rsidR="001E7809" w:rsidRPr="00A84B53" w:rsidRDefault="001E7809">
            <w:pPr>
              <w:pStyle w:val="Tabelltext"/>
            </w:pPr>
            <w:r w:rsidRPr="00A84B53">
              <w:t>Ej slutbehandlad</w:t>
            </w:r>
          </w:p>
          <w:p w:rsidR="001E7809" w:rsidRPr="00A84B53" w:rsidRDefault="001E7809">
            <w:pPr>
              <w:pStyle w:val="Tabelltext"/>
            </w:pP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2000/01:251</w:t>
            </w:r>
          </w:p>
        </w:tc>
        <w:tc>
          <w:tcPr>
            <w:tcW w:w="3165" w:type="dxa"/>
          </w:tcPr>
          <w:p w:rsidR="001E7809" w:rsidRPr="00A84B53" w:rsidRDefault="001E7809">
            <w:pPr>
              <w:pStyle w:val="Tabelltext"/>
            </w:pPr>
            <w:r w:rsidRPr="00A84B53">
              <w:t>Bilprovningens verksamhet och effekt</w:t>
            </w:r>
            <w:r w:rsidRPr="00A84B53">
              <w:t>i</w:t>
            </w:r>
            <w:r w:rsidRPr="00A84B53">
              <w:t>vitet</w:t>
            </w:r>
          </w:p>
          <w:p w:rsidR="001E7809" w:rsidRPr="00A84B53" w:rsidRDefault="001E7809">
            <w:pPr>
              <w:pStyle w:val="Tabelltext"/>
            </w:pPr>
            <w:r w:rsidRPr="00A84B53">
              <w:t>Avgränsningen av den konkurrensutsatta verksamheten</w:t>
            </w:r>
          </w:p>
          <w:p w:rsidR="001E7809" w:rsidRPr="00A84B53" w:rsidRDefault="001E7809">
            <w:pPr>
              <w:pStyle w:val="Tabelltext"/>
            </w:pPr>
            <w:r w:rsidRPr="00A84B53">
              <w:t>Ägarnas styrning av bolaget</w:t>
            </w:r>
          </w:p>
          <w:p w:rsidR="001E7809" w:rsidRPr="00A84B53" w:rsidRDefault="001E7809">
            <w:pPr>
              <w:pStyle w:val="Tabelltext"/>
            </w:pPr>
            <w:r w:rsidRPr="00A84B53">
              <w:t>Flygande inspektioner och ökad trafiks</w:t>
            </w:r>
            <w:r w:rsidRPr="00A84B53">
              <w:t>ä</w:t>
            </w:r>
            <w:r w:rsidRPr="00A84B53">
              <w:t>kerhet</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2001/02:125</w:t>
            </w:r>
          </w:p>
        </w:tc>
        <w:tc>
          <w:tcPr>
            <w:tcW w:w="3165" w:type="dxa"/>
          </w:tcPr>
          <w:p w:rsidR="001E7809" w:rsidRPr="00A84B53" w:rsidRDefault="001E7809">
            <w:pPr>
              <w:pStyle w:val="Tabelltext"/>
            </w:pPr>
            <w:r w:rsidRPr="00A84B53">
              <w:t>Översyn av farledsavgifterna</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2001/02:127</w:t>
            </w:r>
          </w:p>
        </w:tc>
        <w:tc>
          <w:tcPr>
            <w:tcW w:w="3165" w:type="dxa"/>
          </w:tcPr>
          <w:p w:rsidR="001E7809" w:rsidRPr="00A84B53" w:rsidRDefault="001E7809">
            <w:pPr>
              <w:pStyle w:val="Tabelltext"/>
            </w:pPr>
            <w:r w:rsidRPr="00A84B53">
              <w:t>Statliga garantier för att återställa försäkring</w:t>
            </w:r>
            <w:r w:rsidRPr="00A84B53">
              <w:t>s</w:t>
            </w:r>
            <w:r w:rsidRPr="00A84B53">
              <w:t>skyddet inom flygbranschen</w:t>
            </w:r>
          </w:p>
        </w:tc>
        <w:tc>
          <w:tcPr>
            <w:tcW w:w="1398" w:type="dxa"/>
          </w:tcPr>
          <w:p w:rsidR="001E7809" w:rsidRPr="00A84B53" w:rsidRDefault="001E7809">
            <w:pPr>
              <w:pStyle w:val="Tabelltext"/>
            </w:pPr>
            <w:r w:rsidRPr="00A84B53">
              <w:t>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2001/02:195</w:t>
            </w:r>
          </w:p>
        </w:tc>
        <w:tc>
          <w:tcPr>
            <w:tcW w:w="3165" w:type="dxa"/>
          </w:tcPr>
          <w:p w:rsidR="001E7809" w:rsidRPr="00A84B53" w:rsidRDefault="001E7809">
            <w:pPr>
              <w:pStyle w:val="Tabelltext"/>
            </w:pPr>
            <w:r w:rsidRPr="00A84B53">
              <w:t>Åtgärder mot s.k. ”svarttaxi”</w:t>
            </w:r>
          </w:p>
        </w:tc>
        <w:tc>
          <w:tcPr>
            <w:tcW w:w="1398" w:type="dxa"/>
          </w:tcPr>
          <w:p w:rsidR="001E7809" w:rsidRPr="00A84B53" w:rsidRDefault="001E7809">
            <w:pPr>
              <w:pStyle w:val="Tabelltext"/>
            </w:pPr>
            <w:r w:rsidRPr="00A84B53">
              <w:t>Ej slutbehandlad</w:t>
            </w:r>
          </w:p>
        </w:tc>
      </w:tr>
      <w:tr w:rsidR="00000000" w:rsidRPr="00A84B53">
        <w:tblPrEx>
          <w:tblCellMar>
            <w:top w:w="0" w:type="dxa"/>
            <w:bottom w:w="0" w:type="dxa"/>
          </w:tblCellMar>
        </w:tblPrEx>
        <w:tc>
          <w:tcPr>
            <w:tcW w:w="1530" w:type="dxa"/>
          </w:tcPr>
          <w:p w:rsidR="001E7809" w:rsidRPr="00A84B53" w:rsidRDefault="001E7809">
            <w:pPr>
              <w:pStyle w:val="Tabelltext"/>
            </w:pPr>
            <w:r w:rsidRPr="00A84B53">
              <w:t>2001/02:280</w:t>
            </w:r>
          </w:p>
        </w:tc>
        <w:tc>
          <w:tcPr>
            <w:tcW w:w="3165" w:type="dxa"/>
          </w:tcPr>
          <w:p w:rsidR="001E7809" w:rsidRPr="00A84B53" w:rsidRDefault="001E7809">
            <w:pPr>
              <w:pStyle w:val="Tabelltext"/>
            </w:pPr>
            <w:r w:rsidRPr="00A84B53">
              <w:t>Amatörbyggda och ombyggda fordon</w:t>
            </w:r>
          </w:p>
          <w:p w:rsidR="001E7809" w:rsidRPr="00A84B53" w:rsidRDefault="001E7809">
            <w:pPr>
              <w:pStyle w:val="Tabelltext"/>
            </w:pPr>
          </w:p>
        </w:tc>
        <w:tc>
          <w:tcPr>
            <w:tcW w:w="1398" w:type="dxa"/>
          </w:tcPr>
          <w:p w:rsidR="001E7809" w:rsidRPr="00A84B53" w:rsidRDefault="001E7809">
            <w:pPr>
              <w:pStyle w:val="Tabelltext"/>
            </w:pPr>
            <w:r w:rsidRPr="00A84B53">
              <w:t>Slutbehandlad</w:t>
            </w:r>
          </w:p>
        </w:tc>
      </w:tr>
    </w:tbl>
    <w:p w:rsidR="001E7809" w:rsidRPr="00A84B53" w:rsidRDefault="001E7809">
      <w:r w:rsidRPr="00A84B53">
        <w:t>Trafikutskottet konstaterar att regeringens redogörelse avspeglar riksdagens tillkännagivanden på ett korrekt sätt. Som framgår av ovanstående samma</w:t>
      </w:r>
      <w:r w:rsidRPr="00A84B53">
        <w:t>n</w:t>
      </w:r>
      <w:r w:rsidRPr="00A84B53">
        <w:t>ställning finns det dock ett antal riksdagsskrivelser med tillkännagivanden som inte är slutbehandlade, trots att flera år förflutit sedan de aktuella rik</w:t>
      </w:r>
      <w:r w:rsidRPr="00A84B53">
        <w:t>s</w:t>
      </w:r>
      <w:r w:rsidRPr="00A84B53">
        <w:t>dagsbesluten togs. Ett tillkännagivande om återinförande av ett statligt fritid</w:t>
      </w:r>
      <w:r w:rsidRPr="00A84B53">
        <w:t>s</w:t>
      </w:r>
      <w:r w:rsidRPr="00A84B53">
        <w:t xml:space="preserve">båtsregister bereds sålunda alltjämt trots att riksdagsbeslutet fattades för åtta år sedan. Vidare finns det tre tillkännagivanden som bereds sedan fem år förflutit sedan riksdagsbesluten. Av regeringens redogörelse framgår att för det äldsta ärendet kommer Sjöfartsverket på </w:t>
      </w:r>
      <w:r w:rsidRPr="00A84B53">
        <w:t>regeringens uppdrag senare i vår att redovisa en utredning om bl.a. de tekniska, administrativa och ekonomiska förutsättningarna för ett fritidsbåtsregister. Även för övriga tillkännagivanden redovisas pågående eller planerade aktiviteter som motiv för att riksdagsskr</w:t>
      </w:r>
      <w:r w:rsidRPr="00A84B53">
        <w:t>i</w:t>
      </w:r>
      <w:r w:rsidRPr="00A84B53">
        <w:t xml:space="preserve">velserna ännu inte är slutbehandlade. </w:t>
      </w:r>
    </w:p>
    <w:p w:rsidR="001E7809" w:rsidRPr="00A84B53" w:rsidRDefault="001E7809">
      <w:pPr>
        <w:pStyle w:val="Normaltindrag"/>
      </w:pPr>
      <w:r w:rsidRPr="00A84B53">
        <w:t>Utskottet konstaterar att flera av riksdagens tillkännagivanden rör kompl</w:t>
      </w:r>
      <w:r w:rsidRPr="00A84B53">
        <w:t>i</w:t>
      </w:r>
      <w:r w:rsidRPr="00A84B53">
        <w:t>cerade spörsmål som kräver en omsorgsfull beredning. Med anledning av den tidsutdräkt som gått sedan riksdagen fattat sina beslut vill utskottet ändå u</w:t>
      </w:r>
      <w:r w:rsidRPr="00A84B53">
        <w:t>n</w:t>
      </w:r>
      <w:r w:rsidRPr="00A84B53">
        <w:t>derstryka betydelsen av att riksdagsskrivelser med tillkännagivanden hanteras skyndsamt. Att riksdagsskrivelser med tillkännagivanden inte är slutbehan</w:t>
      </w:r>
      <w:r w:rsidRPr="00A84B53">
        <w:t>d</w:t>
      </w:r>
      <w:r w:rsidRPr="00A84B53">
        <w:t xml:space="preserve">lade efter många år är inte något som bör förekomma annat än i undantagsfall. Utskottet delar därmed den uppfattning som kommit till uttryck i tidigare betänkanden från konstitutionsutskottet i dessa frågor </w:t>
      </w:r>
      <w:r w:rsidRPr="00A84B53">
        <w:t>liksom i de nu aktuella motionerna 2002/03:K6 (m) och 2002/03:K7 (fp) om vikten av att regeringen no</w:t>
      </w:r>
      <w:r w:rsidRPr="00A84B53">
        <w:t>g</w:t>
      </w:r>
      <w:r w:rsidRPr="00A84B53">
        <w:t xml:space="preserve">grant följer de beslut som riksdagen fattar. </w:t>
      </w:r>
    </w:p>
    <w:p w:rsidR="001E7809" w:rsidRPr="00A84B53" w:rsidRDefault="001E7809">
      <w:pPr>
        <w:pStyle w:val="Normaltindrag"/>
      </w:pPr>
      <w:r w:rsidRPr="00A84B53">
        <w:t>Trafikutskottet har förståelse för att det i olika frågor kan finnas skäl för att ett genomförande av riksdagens beslut, med hänsyn till exempelvis förändr</w:t>
      </w:r>
      <w:r w:rsidRPr="00A84B53">
        <w:t>a</w:t>
      </w:r>
      <w:r w:rsidRPr="00A84B53">
        <w:t>de förutsättningar, inte kan ske i den form som ursprungligen var avsett. Som framhålls i motion 2002/03:K7 (fp) bör dock regeringen i så fall skyndsamt meddela riksdagen detta och noggrant redovisa skälen för dröjsmålet. Enligt utskottets mening bör regeringen i dessa fall ange sin bedömning när skrive</w:t>
      </w:r>
      <w:r w:rsidRPr="00A84B53">
        <w:t>l</w:t>
      </w:r>
      <w:r w:rsidRPr="00A84B53">
        <w:t xml:space="preserve">sen bedöms komma att slutbehandlas. Enligt trafikutskottets mening är det därför angeläget att rutinerna för genomförande av riksdagens beslut ses över. </w:t>
      </w:r>
    </w:p>
    <w:p w:rsidR="001E7809" w:rsidRPr="00A84B53" w:rsidRDefault="001E7809">
      <w:pPr>
        <w:pStyle w:val="R4"/>
      </w:pPr>
      <w:r w:rsidRPr="00A84B53">
        <w:t xml:space="preserve">Tillkännagivanden som redovisas som slutbehandlade </w:t>
      </w:r>
    </w:p>
    <w:p w:rsidR="001E7809" w:rsidRPr="00A84B53" w:rsidRDefault="001E7809">
      <w:r w:rsidRPr="00A84B53">
        <w:t>Trafikutskottet har särskilt granskat de tillkännagivanden som redovisas som slutbehandlade där någon redovisning inte tidigare har lämnats till riksdagen. Enligt utskottets mening är det lämpligt att regeringen återkommer till riksd</w:t>
      </w:r>
      <w:r w:rsidRPr="00A84B53">
        <w:t>a</w:t>
      </w:r>
      <w:r w:rsidRPr="00A84B53">
        <w:t>gen med en tydlig redovisning med anledning av de av riksdagen fattade tillkännagivandena. Beroende på tillkännagivandets art kan dock ett enklare förfarande i vissa fall vara lämpligt och redovisningen göras i samband med den aktuella årliga redogörelsen för riksdagsskrivelserna. Mot bakgrund av denna övergripande bedömning vill utskottet lyfta fram regeringens redovi</w:t>
      </w:r>
      <w:r w:rsidRPr="00A84B53">
        <w:t>s</w:t>
      </w:r>
      <w:r w:rsidRPr="00A84B53">
        <w:t>ning av två riksdag</w:t>
      </w:r>
      <w:r w:rsidRPr="00A84B53">
        <w:t>s</w:t>
      </w:r>
      <w:r w:rsidRPr="00A84B53">
        <w:t>skrivelser med tillkännagivanden.</w:t>
      </w:r>
    </w:p>
    <w:p w:rsidR="001E7809" w:rsidRPr="00A84B53" w:rsidRDefault="001E7809">
      <w:pPr>
        <w:pStyle w:val="R3"/>
      </w:pPr>
      <w:r w:rsidRPr="00A84B53">
        <w:t>Vägtrafikinspektionen</w:t>
      </w:r>
    </w:p>
    <w:p w:rsidR="001E7809" w:rsidRPr="00A84B53" w:rsidRDefault="001E7809">
      <w:r w:rsidRPr="00A84B53">
        <w:t>I regeringens redogörelse anges att riksdagsskrivelsen 1998/99:197 om inrä</w:t>
      </w:r>
      <w:r w:rsidRPr="00A84B53">
        <w:t>t</w:t>
      </w:r>
      <w:r w:rsidRPr="00A84B53">
        <w:t>tande av en vägtrafikinspektion är slutbehandlad. I skrivelsen anges att r</w:t>
      </w:r>
      <w:r w:rsidRPr="00A84B53">
        <w:t>e</w:t>
      </w:r>
      <w:r w:rsidRPr="00A84B53">
        <w:t xml:space="preserve">geringen beslutat om en förordning om ändring i förordningen (1997:652) med instruktion för Vägverket att inrätta en vägtrafikinspektion inom ramen för Vägverkets organisation. </w:t>
      </w:r>
    </w:p>
    <w:p w:rsidR="001E7809" w:rsidRPr="00A84B53" w:rsidRDefault="001E7809">
      <w:pPr>
        <w:pStyle w:val="Normaltindrag"/>
      </w:pPr>
      <w:r w:rsidRPr="00A84B53">
        <w:t>Utskottet vill med anledning härav erinra om att det aktuella tillkännag</w:t>
      </w:r>
      <w:r w:rsidRPr="00A84B53">
        <w:t>i</w:t>
      </w:r>
      <w:r w:rsidRPr="00A84B53">
        <w:t xml:space="preserve">vandet grundas på ett betänkande där ett enigt trafikutskott framhöll följande (bet. 1998/99:TU9, s. 13): </w:t>
      </w:r>
    </w:p>
    <w:p w:rsidR="001E7809" w:rsidRPr="00A84B53" w:rsidRDefault="001E7809">
      <w:pPr>
        <w:pStyle w:val="Citat"/>
      </w:pPr>
      <w:r w:rsidRPr="00A84B53">
        <w:t>Regeringen bör enligt utskottets mening låta utreda inrättandet av en för vägtrafiken fristående vägtrafikinspektion – med uppgift att nå, och dela med sig av, en ökad kunskap om trafikolyckornas orsaker – samt åte</w:t>
      </w:r>
      <w:r w:rsidRPr="00A84B53">
        <w:t>r</w:t>
      </w:r>
      <w:r w:rsidRPr="00A84B53">
        <w:t xml:space="preserve">komma till riksdagen med förslag därom. </w:t>
      </w:r>
    </w:p>
    <w:p w:rsidR="001E7809" w:rsidRPr="00A84B53" w:rsidRDefault="001E7809">
      <w:r w:rsidRPr="00A84B53">
        <w:t>Utskottet noterar att frågan om inrättandet av vägtrafikinspektionen i enlighet med riksdagens ställningstagande har föregåtts av ett utredningsarbete som redovisats i betänkandena SOU 2002:65 och SOU 2002:23, vilka också blivit föremål för remissförfarande. Någon redovisning av utredningsarbetets och remisshanteringens resultat eller förslag om inrättande av en fristående vä</w:t>
      </w:r>
      <w:r w:rsidRPr="00A84B53">
        <w:t>g</w:t>
      </w:r>
      <w:r w:rsidRPr="00A84B53">
        <w:t>trafikinspektion har dock inte förelagts riksdagen. Däremot har regeringen i budgetpropositionen för år 2003 angett att man bereder ett förslag om att införa en vägtrafikinspektion i Vägverkets organisation. Vidare redovisas att om inspektionen eventuellt införs kommer regeringen att utse dess chef för att säkerställa dess självstä</w:t>
      </w:r>
      <w:r w:rsidRPr="00A84B53">
        <w:t>n</w:t>
      </w:r>
      <w:r w:rsidRPr="00A84B53">
        <w:t xml:space="preserve">diga roll. </w:t>
      </w:r>
    </w:p>
    <w:p w:rsidR="001E7809" w:rsidRPr="00A84B53" w:rsidRDefault="001E7809">
      <w:pPr>
        <w:pStyle w:val="Normaltindrag"/>
      </w:pPr>
      <w:r w:rsidRPr="00A84B53">
        <w:t>Med hänsyn till att tillkännagivandet avsåg att regeringen borde återko</w:t>
      </w:r>
      <w:r w:rsidRPr="00A84B53">
        <w:t>m</w:t>
      </w:r>
      <w:r w:rsidRPr="00A84B53">
        <w:t>ma till riksdagen med förslag om inrättande av en fristående vägtrafikinspe</w:t>
      </w:r>
      <w:r w:rsidRPr="00A84B53">
        <w:t>k</w:t>
      </w:r>
      <w:r w:rsidRPr="00A84B53">
        <w:t>tion kan ifrågasättas om skrivelsen bör anges som slutbehandlad. Samtidigt kan hävdas att riksdagen genom årets budgetproposition har informerats i frågan och därmed getts en möjlighet att reagera mot regeringens avsiktsfö</w:t>
      </w:r>
      <w:r w:rsidRPr="00A84B53">
        <w:t>r</w:t>
      </w:r>
      <w:r w:rsidRPr="00A84B53">
        <w:t xml:space="preserve">klaring. </w:t>
      </w:r>
    </w:p>
    <w:p w:rsidR="001E7809" w:rsidRPr="00A84B53" w:rsidRDefault="001E7809">
      <w:pPr>
        <w:pStyle w:val="Normaltindrag"/>
      </w:pPr>
      <w:r w:rsidRPr="00A84B53">
        <w:t>Enligt utskottets mening är det angeläget att riksdagens tillkännagivanden hanteras omsorgsfullt. Har riksdagen efterlyst utredningsarbete och förslag i en fråga bör också resultatet och regeringens stä</w:t>
      </w:r>
      <w:r w:rsidRPr="00A84B53">
        <w:t>llningstagande tydligt redov</w:t>
      </w:r>
      <w:r w:rsidRPr="00A84B53">
        <w:t>i</w:t>
      </w:r>
      <w:r w:rsidRPr="00A84B53">
        <w:t>sas för riksdagen. Med hänsyn inte minst till den strategiska betydelse som trafikutskottet har tillmätt inrättandet av en fristående vägtrafikinspektion för trafiksäkerhetsarbetet anser utskottet därför att regeringen borde ha återko</w:t>
      </w:r>
      <w:r w:rsidRPr="00A84B53">
        <w:t>m</w:t>
      </w:r>
      <w:r w:rsidRPr="00A84B53">
        <w:t>mit till riksdagen med en redovisning av det aktuella utredningsarbetet, r</w:t>
      </w:r>
      <w:r w:rsidRPr="00A84B53">
        <w:t>e</w:t>
      </w:r>
      <w:r w:rsidRPr="00A84B53">
        <w:t>missutfallet och sina bedö</w:t>
      </w:r>
      <w:r w:rsidRPr="00A84B53">
        <w:t>m</w:t>
      </w:r>
      <w:r w:rsidRPr="00A84B53">
        <w:t xml:space="preserve">ningar i frågan. </w:t>
      </w:r>
    </w:p>
    <w:p w:rsidR="001E7809" w:rsidRPr="00A84B53" w:rsidRDefault="001E7809">
      <w:pPr>
        <w:pStyle w:val="Normaltindrag"/>
      </w:pPr>
      <w:r w:rsidRPr="00A84B53">
        <w:t xml:space="preserve">I sammanhanget kan nämnas att utskottet i betänkande 2002/03:TU4 </w:t>
      </w:r>
      <w:r w:rsidRPr="00A84B53">
        <w:rPr>
          <w:i/>
        </w:rPr>
        <w:t>Tr</w:t>
      </w:r>
      <w:r w:rsidRPr="00A84B53">
        <w:rPr>
          <w:i/>
        </w:rPr>
        <w:t>a</w:t>
      </w:r>
      <w:r w:rsidRPr="00A84B53">
        <w:rPr>
          <w:i/>
        </w:rPr>
        <w:t>fiksäkerhet</w:t>
      </w:r>
      <w:r w:rsidRPr="00A84B53">
        <w:t xml:space="preserve"> förutsatt att regeringen för riksdagen snarast lägger fram en sa</w:t>
      </w:r>
      <w:r w:rsidRPr="00A84B53">
        <w:t>m</w:t>
      </w:r>
      <w:r w:rsidRPr="00A84B53">
        <w:t>lad redovisning av vilka åtgärder som erfordras för att nå trafiksäkerhetsm</w:t>
      </w:r>
      <w:r w:rsidRPr="00A84B53">
        <w:t>å</w:t>
      </w:r>
      <w:r w:rsidRPr="00A84B53">
        <w:t>len. I samma betänkande framhålls vidare betydelsen av att vägtrafikinspe</w:t>
      </w:r>
      <w:r w:rsidRPr="00A84B53">
        <w:t>k</w:t>
      </w:r>
      <w:r w:rsidRPr="00A84B53">
        <w:t>tionens verksamhet följs upp i syfte att bl.a. följa hur dess oberoende roll utvecklas. Utskottet förutsätter att det i den förutskickade redovisningen av trafiksäkerhetsarbetet kommer att ingå en närmare redogörelse för vägtrafi</w:t>
      </w:r>
      <w:r w:rsidRPr="00A84B53">
        <w:t>k</w:t>
      </w:r>
      <w:r w:rsidRPr="00A84B53">
        <w:t>inspektionens verksamhet i enlighet med de ställning</w:t>
      </w:r>
      <w:r w:rsidRPr="00A84B53">
        <w:t>staganden som riksdagen tidigare har meddelat.</w:t>
      </w:r>
    </w:p>
    <w:p w:rsidR="001E7809" w:rsidRPr="00A84B53" w:rsidRDefault="001E7809">
      <w:pPr>
        <w:pStyle w:val="R3"/>
      </w:pPr>
      <w:r w:rsidRPr="00A84B53">
        <w:t>AB Svensk Bilprovning m.m.</w:t>
      </w:r>
    </w:p>
    <w:p w:rsidR="001E7809" w:rsidRPr="00A84B53" w:rsidRDefault="001E7809">
      <w:r w:rsidRPr="00A84B53">
        <w:t xml:space="preserve">I riksdagsskrivelse 2000/01:251, med anledning av utskottsbetänkandet </w:t>
      </w:r>
      <w:r w:rsidRPr="00A84B53">
        <w:rPr>
          <w:i/>
        </w:rPr>
        <w:t>Bi</w:t>
      </w:r>
      <w:r w:rsidRPr="00A84B53">
        <w:rPr>
          <w:i/>
        </w:rPr>
        <w:t>l</w:t>
      </w:r>
      <w:r w:rsidRPr="00A84B53">
        <w:rPr>
          <w:i/>
        </w:rPr>
        <w:t xml:space="preserve">provningen, fordonskontrollen och trafiksäkerhet </w:t>
      </w:r>
      <w:r w:rsidRPr="00A84B53">
        <w:t>(bet. 2000/01:TU14), b</w:t>
      </w:r>
      <w:r w:rsidRPr="00A84B53">
        <w:t>e</w:t>
      </w:r>
      <w:r w:rsidRPr="00A84B53">
        <w:t>handlades en granskningsrapport från Riksdagens revisorer jämte följdmoti</w:t>
      </w:r>
      <w:r w:rsidRPr="00A84B53">
        <w:t>o</w:t>
      </w:r>
      <w:r w:rsidRPr="00A84B53">
        <w:t>ner. Genom detta riksdagsbeslut riktades fyra tillkännagivanden till regerin</w:t>
      </w:r>
      <w:r w:rsidRPr="00A84B53">
        <w:t>g</w:t>
      </w:r>
      <w:r w:rsidRPr="00A84B53">
        <w:t>en om bilprovningens verksamhet och effektivitet, avgränsningen av den konkurrensutsatta verksamheten, ägarnas styrning av bolaget samt om fl</w:t>
      </w:r>
      <w:r w:rsidRPr="00A84B53">
        <w:t>y</w:t>
      </w:r>
      <w:r w:rsidRPr="00A84B53">
        <w:t>gande inspektioner och ökad trafiksäkerhet. I regeringens redogörelse redov</w:t>
      </w:r>
      <w:r w:rsidRPr="00A84B53">
        <w:t>i</w:t>
      </w:r>
      <w:r w:rsidRPr="00A84B53">
        <w:t>sas vidtagna åtgärder under de olika momenten och skrivelsen redovis</w:t>
      </w:r>
      <w:r w:rsidRPr="00A84B53">
        <w:t xml:space="preserve">as mot denna bakgrund som slutbehandlad. </w:t>
      </w:r>
    </w:p>
    <w:p w:rsidR="001E7809" w:rsidRPr="00A84B53" w:rsidRDefault="001E7809">
      <w:pPr>
        <w:pStyle w:val="Normaltindrag"/>
      </w:pPr>
      <w:r w:rsidRPr="00A84B53">
        <w:t>Enligt vad utskottet erfarit har ett omfattande förändringsarbete geno</w:t>
      </w:r>
      <w:r w:rsidRPr="00A84B53">
        <w:t>m</w:t>
      </w:r>
      <w:r w:rsidRPr="00A84B53">
        <w:t>förts inom Aktiebolaget Svensk Bilprovning som i huvudsak synes väl a</w:t>
      </w:r>
      <w:r w:rsidRPr="00A84B53">
        <w:t>v</w:t>
      </w:r>
      <w:r w:rsidRPr="00A84B53">
        <w:t>spegla riksdagens beslut och det utvecklingsarbete som Riksdagens revisorer efterlyst. Den redovisning som återges i regeringens redogörelse över vidta</w:t>
      </w:r>
      <w:r w:rsidRPr="00A84B53">
        <w:t>g</w:t>
      </w:r>
      <w:r w:rsidRPr="00A84B53">
        <w:t xml:space="preserve">na åtgärder är dock inte helt lättillgänglig. </w:t>
      </w:r>
    </w:p>
    <w:p w:rsidR="001E7809" w:rsidRPr="00A84B53" w:rsidRDefault="001E7809">
      <w:pPr>
        <w:pStyle w:val="Normaltindrag"/>
      </w:pPr>
      <w:r w:rsidRPr="00A84B53">
        <w:t xml:space="preserve">Exempelvis när det gäller tillkännagivandet om AB Svensk Bilprovnings verksamhet och effektivitet hänvisas till att regeringen behandlat denna fråga i proposition 2001/02:130 </w:t>
      </w:r>
      <w:r w:rsidRPr="00A84B53">
        <w:rPr>
          <w:i/>
        </w:rPr>
        <w:t>Fordonslag, m.m.</w:t>
      </w:r>
      <w:r w:rsidRPr="00A84B53">
        <w:t xml:space="preserve"> (s. 94–95). Utskottet konstaterar att den åsyftade propositionstexten behandlar den tillsyn som Styrelsen för ackreditering och teknisk kontroll (SWEDAC) utövar. Det aktuella tillkänn</w:t>
      </w:r>
      <w:r w:rsidRPr="00A84B53">
        <w:t>a</w:t>
      </w:r>
      <w:r w:rsidRPr="00A84B53">
        <w:t>givandet har dock en vidare innebörd genom att det även behandlade effekt</w:t>
      </w:r>
      <w:r w:rsidRPr="00A84B53">
        <w:t>i</w:t>
      </w:r>
      <w:r w:rsidRPr="00A84B53">
        <w:t>vitetsmätningar och efterlyste jämförelser mellan olika b</w:t>
      </w:r>
      <w:r w:rsidRPr="00A84B53">
        <w:t>e</w:t>
      </w:r>
      <w:r w:rsidRPr="00A84B53">
        <w:t xml:space="preserve">siktningsstationer. </w:t>
      </w:r>
    </w:p>
    <w:p w:rsidR="001E7809" w:rsidRPr="00A84B53" w:rsidRDefault="001E7809">
      <w:pPr>
        <w:pStyle w:val="Normaltindrag"/>
      </w:pPr>
      <w:r w:rsidRPr="00A84B53">
        <w:t>När det gäller tillkännagivandet om ägarnas styrning av bolaget hänvisas till den redogörelse som lämnades i 2002 års redogörelse för företag med statligt äga</w:t>
      </w:r>
      <w:r w:rsidRPr="00A84B53">
        <w:t>nde (skr. 2001/02:120). I den aktuella skrivelsen redovisas allmänt vad som gäller om regeringens styrning av de statliga bolagen. För AB Svensk Bilprovning anges ingen särskild inform</w:t>
      </w:r>
      <w:r w:rsidRPr="00A84B53">
        <w:t>a</w:t>
      </w:r>
      <w:r w:rsidRPr="00A84B53">
        <w:t>tion om ägarnas styrning.</w:t>
      </w:r>
    </w:p>
    <w:p w:rsidR="001E7809" w:rsidRPr="00A84B53" w:rsidRDefault="001E7809">
      <w:pPr>
        <w:pStyle w:val="Normaltindrag"/>
      </w:pPr>
      <w:r w:rsidRPr="00A84B53">
        <w:t>Som ett annat exempel kan nämnas att när det gäller s.k. flygande inspe</w:t>
      </w:r>
      <w:r w:rsidRPr="00A84B53">
        <w:t>k</w:t>
      </w:r>
      <w:r w:rsidRPr="00A84B53">
        <w:t>tioner och ökad trafiksäkerhet gav riksdagen regeringen till känna vad u</w:t>
      </w:r>
      <w:r w:rsidRPr="00A84B53">
        <w:t>t</w:t>
      </w:r>
      <w:r w:rsidRPr="00A84B53">
        <w:t xml:space="preserve">skottet anfört </w:t>
      </w:r>
      <w:r w:rsidRPr="00A84B53">
        <w:rPr>
          <w:i/>
        </w:rPr>
        <w:t>dels</w:t>
      </w:r>
      <w:r w:rsidRPr="00A84B53">
        <w:t xml:space="preserve"> om en analys av orsakerna till att verksamheten inte fått avsedd omfattning och till att verksamhetsutfallet uppvisar stora länsvisa variationer, </w:t>
      </w:r>
      <w:r w:rsidRPr="00A84B53">
        <w:rPr>
          <w:i/>
        </w:rPr>
        <w:t>dels</w:t>
      </w:r>
      <w:r w:rsidRPr="00A84B53">
        <w:t xml:space="preserve"> om åtgärder för en förstärkt samordning av verksamheten, </w:t>
      </w:r>
      <w:r w:rsidRPr="00A84B53">
        <w:rPr>
          <w:i/>
        </w:rPr>
        <w:t>dels</w:t>
      </w:r>
      <w:r w:rsidRPr="00A84B53">
        <w:t xml:space="preserve"> om möjligheterna till en ytterligare utglesning av den periodiska fo</w:t>
      </w:r>
      <w:r w:rsidRPr="00A84B53">
        <w:t>r</w:t>
      </w:r>
      <w:r w:rsidRPr="00A84B53">
        <w:t>donskontrollen. I regeringens aktuella redovisning anges följande inform</w:t>
      </w:r>
      <w:r w:rsidRPr="00A84B53">
        <w:t>a</w:t>
      </w:r>
      <w:r w:rsidRPr="00A84B53">
        <w:t xml:space="preserve">tion: ”Med utgångspunkt i Vägverkets förslag har ett samarbete </w:t>
      </w:r>
      <w:r w:rsidRPr="00A84B53">
        <w:t>inletts mellan Vägverket och Rikspolisstyrelsen för att förbättra de flygande inspektione</w:t>
      </w:r>
      <w:r w:rsidRPr="00A84B53">
        <w:t>r</w:t>
      </w:r>
      <w:r w:rsidRPr="00A84B53">
        <w:t>na.” I motsvarande redovisning för år 2002 angavs att Vägverket presenterat en utredning i ärendet med förslag till åtgärder som bereds inom Regering</w:t>
      </w:r>
      <w:r w:rsidRPr="00A84B53">
        <w:t>s</w:t>
      </w:r>
      <w:r w:rsidRPr="00A84B53">
        <w:t>kansliet. Varken av årets eller fjolårets redovisning framgår dock vilka åtgä</w:t>
      </w:r>
      <w:r w:rsidRPr="00A84B53">
        <w:t>r</w:t>
      </w:r>
      <w:r w:rsidRPr="00A84B53">
        <w:t>der som övervägs och därmed inte heller vad riksdagens tillkännagivande mer konkret har r</w:t>
      </w:r>
      <w:r w:rsidRPr="00A84B53">
        <w:t>e</w:t>
      </w:r>
      <w:r w:rsidRPr="00A84B53">
        <w:t xml:space="preserve">sulterat i. </w:t>
      </w:r>
    </w:p>
    <w:p w:rsidR="001E7809" w:rsidRPr="00A84B53" w:rsidRDefault="001E7809">
      <w:pPr>
        <w:pStyle w:val="Normaltindrag"/>
      </w:pPr>
      <w:r w:rsidRPr="00A84B53">
        <w:t>Enligt utskottets mening är det mot denna bakgrund inte helt enkelt för riksdagen att få en</w:t>
      </w:r>
      <w:r w:rsidRPr="00A84B53">
        <w:t xml:space="preserve"> samlad bild av vilka åtgärder som vidtagits med anledning av den aktuella riksdagsskrivelsen med fyra tillkännagivanden om bilpro</w:t>
      </w:r>
      <w:r w:rsidRPr="00A84B53">
        <w:t>v</w:t>
      </w:r>
      <w:r w:rsidRPr="00A84B53">
        <w:t>ningens verksamhet. Med tanke på att riksdagsbeslutet grundade sig på en samlad revisionsrapport från riksdagens revisorer bör enligt utskottets m</w:t>
      </w:r>
      <w:r w:rsidRPr="00A84B53">
        <w:t>e</w:t>
      </w:r>
      <w:r w:rsidRPr="00A84B53">
        <w:t>ning, inom ramen för den fortsatta utvecklingen av regeringens redogörelse, övervägas hur en mer sammanhållen och användarinriktad information for</w:t>
      </w:r>
      <w:r w:rsidRPr="00A84B53">
        <w:t>t</w:t>
      </w:r>
      <w:r w:rsidRPr="00A84B53">
        <w:t>sättningsvis kan ges av liknande riksdagsskrivelser med tillkännagiva</w:t>
      </w:r>
      <w:r w:rsidRPr="00A84B53">
        <w:t>n</w:t>
      </w:r>
      <w:r w:rsidRPr="00A84B53">
        <w:t xml:space="preserve">den. </w:t>
      </w:r>
    </w:p>
    <w:p w:rsidR="001E7809" w:rsidRPr="00A84B53" w:rsidRDefault="001E7809">
      <w:pPr>
        <w:rPr>
          <w:i/>
        </w:rPr>
      </w:pPr>
    </w:p>
    <w:p w:rsidR="001E7809" w:rsidRPr="00A84B53" w:rsidRDefault="001E7809">
      <w:pPr>
        <w:pStyle w:val="Utskriftsdatum"/>
      </w:pPr>
      <w:r w:rsidRPr="00A84B53">
        <w:t xml:space="preserve">Stockholm den 29 april 2003 </w:t>
      </w:r>
    </w:p>
    <w:p w:rsidR="001E7809" w:rsidRPr="00A84B53" w:rsidRDefault="001E7809">
      <w:r w:rsidRPr="00A84B53">
        <w:t>På trafikutskottets vägnar</w:t>
      </w:r>
    </w:p>
    <w:p w:rsidR="001E7809" w:rsidRPr="00A84B53" w:rsidRDefault="001E7809">
      <w:pPr>
        <w:pStyle w:val="Ordfranden"/>
        <w:rPr>
          <w:noProof w:val="0"/>
        </w:rPr>
      </w:pPr>
      <w:bookmarkStart w:id="2" w:name="Ordförande"/>
      <w:bookmarkEnd w:id="2"/>
      <w:r w:rsidRPr="00A84B53">
        <w:rPr>
          <w:noProof w:val="0"/>
        </w:rPr>
        <w:t xml:space="preserve">Claes Roxbergh </w:t>
      </w:r>
    </w:p>
    <w:p w:rsidR="001E7809" w:rsidRPr="00A84B53" w:rsidRDefault="001E7809">
      <w:pPr>
        <w:pStyle w:val="Deltagare"/>
        <w:rPr>
          <w:noProof w:val="0"/>
        </w:rPr>
      </w:pPr>
      <w:bookmarkStart w:id="3" w:name="Deltagare"/>
      <w:bookmarkEnd w:id="3"/>
      <w:r w:rsidRPr="00A84B53">
        <w:rPr>
          <w:noProof w:val="0"/>
        </w:rPr>
        <w:t>Följande ledamöter har deltagit i beslutet: Claes Roxbergh (mp), Carina Moberg (s), Elizabeth Nyström (m), Jarl Lander (s), Erling Bager (fp), Hans Stenberg (s), Krister Örnfjäder (s), Johnny Gylling (kd), Karin Svensson Smith (v), Claes-Göran Brandin (s), Monica Green (s), Sven Bergström (c), Kerstin Engle (s), Jan-Evert Rådhström (m), Christer Winbäck (fp) och Ulla Löfgren (m).</w:t>
      </w:r>
    </w:p>
    <w:p w:rsidR="001E7809" w:rsidRPr="00A84B53" w:rsidRDefault="001E7809">
      <w:pPr>
        <w:pStyle w:val="Tryckort"/>
        <w:framePr w:wrap="around"/>
        <w:jc w:val="right"/>
      </w:pPr>
      <w:r w:rsidRPr="00A84B53">
        <w:t>Elanders Gotab, Stockholm  2003</w:t>
      </w:r>
    </w:p>
    <w:p w:rsidR="001E7809" w:rsidRPr="00A84B53" w:rsidRDefault="001E7809">
      <w:pPr>
        <w:pStyle w:val="Normaltindrag"/>
        <w:spacing w:line="14" w:lineRule="exact"/>
        <w:ind w:firstLine="57"/>
        <w:rPr>
          <w:sz w:val="18"/>
        </w:rPr>
      </w:pPr>
    </w:p>
    <w:p w:rsidR="001E7809" w:rsidRPr="00A84B53" w:rsidRDefault="001E7809">
      <w:pPr>
        <w:pStyle w:val="Normaltindrag"/>
        <w:spacing w:line="14" w:lineRule="exact"/>
        <w:ind w:firstLine="57"/>
        <w:rPr>
          <w:sz w:val="18"/>
        </w:rPr>
      </w:pPr>
    </w:p>
    <w:sectPr w:rsidR="001E7809" w:rsidRPr="00A84B5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09" w:rsidRPr="00A84B53" w:rsidRDefault="001E7809">
      <w:pPr>
        <w:spacing w:before="0" w:line="240" w:lineRule="auto"/>
      </w:pPr>
      <w:r w:rsidRPr="00A84B53">
        <w:separator/>
      </w:r>
    </w:p>
  </w:endnote>
  <w:endnote w:type="continuationSeparator" w:id="0">
    <w:p w:rsidR="001E7809" w:rsidRPr="00A84B53" w:rsidRDefault="001E7809">
      <w:pPr>
        <w:spacing w:before="0" w:line="240" w:lineRule="auto"/>
      </w:pPr>
      <w:r w:rsidRPr="00A84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09" w:rsidRPr="00A84B53" w:rsidRDefault="001E7809">
    <w:pPr>
      <w:pStyle w:val="SidfotV"/>
      <w:framePr w:w="8732" w:h="284" w:hRule="exact" w:hSpace="0" w:vSpace="0" w:wrap="around" w:xAlign="inside" w:y="13042" w:anchorLock="0"/>
    </w:pPr>
    <w:r w:rsidRPr="00A84B53">
      <w:fldChar w:fldCharType="begin" w:fldLock="1"/>
    </w:r>
    <w:r w:rsidRPr="00A84B53">
      <w:instrText xml:space="preserve"> P</w:instrText>
    </w:r>
    <w:r w:rsidRPr="00A84B53">
      <w:instrText>A</w:instrText>
    </w:r>
    <w:r w:rsidRPr="00A84B53">
      <w:instrText xml:space="preserve">GE </w:instrText>
    </w:r>
    <w:r w:rsidRPr="00A84B53">
      <w:fldChar w:fldCharType="separate"/>
    </w:r>
    <w:r w:rsidRPr="00A84B53">
      <w:t>2</w:t>
    </w:r>
    <w:r w:rsidRPr="00A84B53">
      <w:fldChar w:fldCharType="end"/>
    </w:r>
  </w:p>
  <w:p w:rsidR="001E7809" w:rsidRPr="00A84B53" w:rsidRDefault="001E7809">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09" w:rsidRPr="00A84B53" w:rsidRDefault="001E7809">
    <w:pPr>
      <w:pStyle w:val="SidfotH"/>
      <w:framePr w:w="8732" w:h="284" w:hRule="exact" w:hSpace="0" w:vSpace="0" w:wrap="around" w:xAlign="inside" w:y="13042" w:anchorLock="0"/>
    </w:pPr>
    <w:r w:rsidRPr="00A84B53">
      <w:fldChar w:fldCharType="begin" w:fldLock="1"/>
    </w:r>
    <w:r w:rsidRPr="00A84B53">
      <w:instrText xml:space="preserve"> P</w:instrText>
    </w:r>
    <w:r w:rsidRPr="00A84B53">
      <w:instrText>A</w:instrText>
    </w:r>
    <w:r w:rsidRPr="00A84B53">
      <w:instrText xml:space="preserve">GE </w:instrText>
    </w:r>
    <w:r w:rsidRPr="00A84B53">
      <w:fldChar w:fldCharType="separate"/>
    </w:r>
    <w:r w:rsidRPr="00A84B53">
      <w:t>3</w:t>
    </w:r>
    <w:r w:rsidRPr="00A84B53">
      <w:fldChar w:fldCharType="end"/>
    </w:r>
  </w:p>
  <w:p w:rsidR="001E7809" w:rsidRPr="00A84B53" w:rsidRDefault="001E78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09" w:rsidRPr="00A84B53" w:rsidRDefault="001E7809">
    <w:pPr>
      <w:pStyle w:val="SidfotV"/>
      <w:framePr w:w="8732" w:h="284" w:hRule="exact" w:hSpace="0" w:vSpace="0" w:wrap="around" w:xAlign="inside" w:y="13042" w:anchorLock="0"/>
    </w:pPr>
    <w:r w:rsidRPr="00A84B53">
      <w:fldChar w:fldCharType="begin" w:fldLock="1"/>
    </w:r>
    <w:r w:rsidRPr="00A84B53">
      <w:instrText xml:space="preserve"> if </w:instrText>
    </w:r>
    <w:r w:rsidRPr="00A84B53">
      <w:fldChar w:fldCharType="begin" w:fldLock="1"/>
    </w:r>
    <w:r w:rsidRPr="00A84B53">
      <w:instrText xml:space="preserve"> = </w:instrText>
    </w:r>
    <w:r w:rsidRPr="00A84B53">
      <w:fldChar w:fldCharType="begin" w:fldLock="1"/>
    </w:r>
    <w:r w:rsidRPr="00A84B53">
      <w:instrText xml:space="preserve"> = </w:instrText>
    </w:r>
    <w:r w:rsidRPr="00A84B53">
      <w:fldChar w:fldCharType="begin" w:fldLock="1"/>
    </w:r>
    <w:r w:rsidRPr="00A84B53">
      <w:instrText xml:space="preserve"> page</w:instrText>
    </w:r>
    <w:r w:rsidRPr="00A84B53">
      <w:fldChar w:fldCharType="separate"/>
    </w:r>
    <w:r w:rsidR="00A84B53">
      <w:rPr>
        <w:noProof/>
      </w:rPr>
      <w:instrText>1</w:instrText>
    </w:r>
    <w:r w:rsidRPr="00A84B53">
      <w:fldChar w:fldCharType="end"/>
    </w:r>
    <w:r w:rsidRPr="00A84B53">
      <w:instrText xml:space="preserve">/2 </w:instrText>
    </w:r>
    <w:r w:rsidRPr="00A84B53">
      <w:fldChar w:fldCharType="separate"/>
    </w:r>
    <w:r w:rsidR="00A84B53">
      <w:rPr>
        <w:noProof/>
      </w:rPr>
      <w:instrText>0,5</w:instrText>
    </w:r>
    <w:r w:rsidRPr="00A84B53">
      <w:fldChar w:fldCharType="end"/>
    </w:r>
    <w:r w:rsidRPr="00A84B53">
      <w:instrText xml:space="preserve"> - </w:instrText>
    </w:r>
    <w:r w:rsidRPr="00A84B53">
      <w:fldChar w:fldCharType="begin" w:fldLock="1"/>
    </w:r>
    <w:r w:rsidRPr="00A84B53">
      <w:instrText xml:space="preserve"> = int(</w:instrText>
    </w:r>
    <w:r w:rsidRPr="00A84B53">
      <w:fldChar w:fldCharType="begin" w:fldLock="1"/>
    </w:r>
    <w:r w:rsidRPr="00A84B53">
      <w:instrText xml:space="preserve"> page</w:instrText>
    </w:r>
    <w:r w:rsidRPr="00A84B53">
      <w:fldChar w:fldCharType="separate"/>
    </w:r>
    <w:r w:rsidR="00A84B53">
      <w:rPr>
        <w:noProof/>
      </w:rPr>
      <w:instrText>1</w:instrText>
    </w:r>
    <w:r w:rsidRPr="00A84B53">
      <w:fldChar w:fldCharType="end"/>
    </w:r>
    <w:r w:rsidRPr="00A84B53">
      <w:instrText xml:space="preserve">/2) </w:instrText>
    </w:r>
    <w:r w:rsidRPr="00A84B53">
      <w:fldChar w:fldCharType="separate"/>
    </w:r>
    <w:r w:rsidR="00A84B53">
      <w:rPr>
        <w:noProof/>
      </w:rPr>
      <w:instrText>0</w:instrText>
    </w:r>
    <w:r w:rsidRPr="00A84B53">
      <w:fldChar w:fldCharType="end"/>
    </w:r>
    <w:r w:rsidRPr="00A84B53">
      <w:fldChar w:fldCharType="separate"/>
    </w:r>
    <w:r w:rsidR="00A84B53">
      <w:rPr>
        <w:noProof/>
      </w:rPr>
      <w:instrText>0,5</w:instrText>
    </w:r>
    <w:r w:rsidRPr="00A84B53">
      <w:fldChar w:fldCharType="end"/>
    </w:r>
    <w:r w:rsidRPr="00A84B53">
      <w:instrText xml:space="preserve"> = 0 "</w:instrText>
    </w:r>
    <w:r w:rsidRPr="00A84B53">
      <w:fldChar w:fldCharType="begin" w:fldLock="1"/>
    </w:r>
    <w:r w:rsidRPr="00A84B53">
      <w:instrText xml:space="preserve"> P</w:instrText>
    </w:r>
    <w:r w:rsidRPr="00A84B53">
      <w:instrText>A</w:instrText>
    </w:r>
    <w:r w:rsidRPr="00A84B53">
      <w:instrText xml:space="preserve">GE </w:instrText>
    </w:r>
    <w:r w:rsidRPr="00A84B53">
      <w:fldChar w:fldCharType="separate"/>
    </w:r>
    <w:r w:rsidRPr="00A84B53">
      <w:instrText>8</w:instrText>
    </w:r>
    <w:r w:rsidRPr="00A84B53">
      <w:fldChar w:fldCharType="end"/>
    </w:r>
  </w:p>
  <w:p w:rsidR="001E7809" w:rsidRPr="00A84B53" w:rsidRDefault="001E7809">
    <w:pPr>
      <w:pStyle w:val="SidfotH"/>
      <w:framePr w:w="8732" w:h="284" w:hRule="exact" w:hSpace="0" w:vSpace="0" w:wrap="around" w:xAlign="inside" w:y="13042" w:anchorLock="0"/>
    </w:pPr>
    <w:r w:rsidRPr="00A84B53">
      <w:instrText>""</w:instrText>
    </w:r>
    <w:r w:rsidRPr="00A84B53">
      <w:fldChar w:fldCharType="begin" w:fldLock="1"/>
    </w:r>
    <w:r w:rsidRPr="00A84B53">
      <w:instrText xml:space="preserve"> P</w:instrText>
    </w:r>
    <w:r w:rsidRPr="00A84B53">
      <w:instrText>A</w:instrText>
    </w:r>
    <w:r w:rsidRPr="00A84B53">
      <w:instrText xml:space="preserve">GE </w:instrText>
    </w:r>
    <w:r w:rsidRPr="00A84B53">
      <w:fldChar w:fldCharType="separate"/>
    </w:r>
    <w:r w:rsidR="00A84B53">
      <w:rPr>
        <w:noProof/>
      </w:rPr>
      <w:instrText>1</w:instrText>
    </w:r>
    <w:r w:rsidRPr="00A84B53">
      <w:fldChar w:fldCharType="end"/>
    </w:r>
    <w:r w:rsidRPr="00A84B53">
      <w:instrText>"</w:instrText>
    </w:r>
    <w:r w:rsidRPr="00A84B53">
      <w:fldChar w:fldCharType="separate"/>
    </w:r>
    <w:r w:rsidR="00A84B53">
      <w:rPr>
        <w:noProof/>
      </w:rPr>
      <w:t>1</w:t>
    </w:r>
    <w:r w:rsidRPr="00A84B53">
      <w:fldChar w:fldCharType="end"/>
    </w:r>
  </w:p>
  <w:p w:rsidR="001E7809" w:rsidRPr="00A84B53" w:rsidRDefault="001E7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09" w:rsidRPr="00A84B53" w:rsidRDefault="001E7809">
      <w:pPr>
        <w:pStyle w:val="Sidfot"/>
      </w:pPr>
    </w:p>
  </w:footnote>
  <w:footnote w:type="continuationSeparator" w:id="0">
    <w:p w:rsidR="001E7809" w:rsidRPr="00A84B53" w:rsidRDefault="001E7809">
      <w:pPr>
        <w:spacing w:before="0" w:line="240" w:lineRule="auto"/>
      </w:pPr>
      <w:r w:rsidRPr="00A84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09" w:rsidRPr="00A84B53" w:rsidRDefault="001E7809">
    <w:pPr>
      <w:pStyle w:val="SidhuvudKantJmn"/>
      <w:framePr w:w="8732" w:h="567" w:hRule="exact" w:vSpace="0" w:wrap="around" w:vAnchor="page" w:y="341" w:anchorLock="0"/>
    </w:pPr>
    <w:r w:rsidRPr="00A84B53">
      <w:rPr>
        <w:rStyle w:val="SidhuvudUtskott"/>
      </w:rPr>
      <w:t>2002/03:TU2y</w:t>
    </w:r>
    <w:r w:rsidRPr="00A84B53">
      <w:t xml:space="preserve"> </w:t>
    </w:r>
  </w:p>
  <w:p w:rsidR="001E7809" w:rsidRPr="00A84B53" w:rsidRDefault="001E7809">
    <w:pPr>
      <w:pStyle w:val="SidhuvudKantJmn"/>
      <w:framePr w:w="8732" w:h="567" w:hRule="exact" w:vSpace="0" w:wrap="around" w:vAnchor="page" w:y="341" w:anchorLock="0"/>
    </w:pPr>
  </w:p>
  <w:p w:rsidR="001E7809" w:rsidRPr="00A84B53" w:rsidRDefault="001E78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09" w:rsidRPr="00A84B53" w:rsidRDefault="001E7809">
    <w:pPr>
      <w:pStyle w:val="SidhuvudKantUdda"/>
      <w:framePr w:w="8732" w:h="567" w:hRule="exact" w:vSpace="0" w:wrap="around" w:vAnchor="page" w:y="341" w:anchorLock="0"/>
    </w:pPr>
    <w:r w:rsidRPr="00A84B53">
      <w:rPr>
        <w:rStyle w:val="SidhuvudUtskott"/>
      </w:rPr>
      <w:t>2002/03:TU2y</w:t>
    </w:r>
  </w:p>
  <w:p w:rsidR="001E7809" w:rsidRPr="00A84B53" w:rsidRDefault="001E7809">
    <w:pPr>
      <w:pStyle w:val="SidhuvudKantUdda"/>
      <w:framePr w:w="8732" w:h="567" w:hRule="exact" w:vSpace="0" w:wrap="around" w:vAnchor="page" w:y="341" w:anchorLock="0"/>
    </w:pPr>
  </w:p>
  <w:p w:rsidR="001E7809" w:rsidRPr="00A84B53" w:rsidRDefault="001E78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09" w:rsidRPr="00A84B53" w:rsidRDefault="001E7809">
    <w:pPr>
      <w:pStyle w:val="SidhuvudKantUdda"/>
      <w:framePr w:w="8732" w:h="567" w:hRule="exact" w:vSpace="0" w:wrap="around" w:vAnchor="page" w:y="341" w:anchorLock="0"/>
    </w:pPr>
    <w:r w:rsidRPr="00A84B53">
      <w:t xml:space="preserve"> </w:t>
    </w:r>
  </w:p>
  <w:p w:rsidR="001E7809" w:rsidRPr="00A84B53" w:rsidRDefault="001E78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95F1262"/>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7C1209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45568712">
    <w:abstractNumId w:val="0"/>
  </w:num>
  <w:num w:numId="2" w16cid:durableId="955910830">
    <w:abstractNumId w:val="1"/>
  </w:num>
  <w:num w:numId="3" w16cid:durableId="183752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A0582D"/>
    <w:rsid w:val="001E7809"/>
    <w:rsid w:val="00A0582D"/>
    <w:rsid w:val="00A84B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1167C-630D-4C5A-A7C0-2B6D4238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2001</Words>
  <Characters>13552</Characters>
  <Application>Microsoft Office Word</Application>
  <DocSecurity>4</DocSecurity>
  <Lines>330</Lines>
  <Paragraphs>160</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2003-05-05T13:29:00Z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