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E141CC" w14:paraId="32C43238" w14:textId="77777777" w:rsidTr="002E692A">
        <w:tblPrEx>
          <w:tblCellMar>
            <w:top w:w="0" w:type="dxa"/>
            <w:bottom w:w="0" w:type="dxa"/>
          </w:tblCellMar>
        </w:tblPrEx>
        <w:tc>
          <w:tcPr>
            <w:tcW w:w="2268" w:type="dxa"/>
          </w:tcPr>
          <w:p w14:paraId="0AF83B9B" w14:textId="77777777" w:rsidR="006E4E11" w:rsidRPr="00E141CC" w:rsidRDefault="00EE50D0" w:rsidP="007242A3">
            <w:pPr>
              <w:framePr w:w="5035" w:h="1644" w:wrap="notBeside" w:vAnchor="page" w:hAnchor="page" w:x="6573" w:y="721"/>
              <w:rPr>
                <w:rFonts w:ascii="TradeGothic" w:hAnsi="TradeGothic"/>
                <w:i/>
                <w:sz w:val="18"/>
              </w:rPr>
            </w:pPr>
            <w:r w:rsidRPr="00E141CC">
              <w:rPr>
                <w:rFonts w:ascii="TradeGothic" w:hAnsi="TradeGothic"/>
                <w:i/>
                <w:sz w:val="18"/>
              </w:rPr>
              <w:t>Slutlig</w:t>
            </w:r>
          </w:p>
        </w:tc>
        <w:tc>
          <w:tcPr>
            <w:tcW w:w="2999" w:type="dxa"/>
            <w:gridSpan w:val="2"/>
          </w:tcPr>
          <w:p w14:paraId="701362DA" w14:textId="77777777" w:rsidR="006E4E11" w:rsidRPr="00E141CC" w:rsidRDefault="006E4E11" w:rsidP="007242A3">
            <w:pPr>
              <w:framePr w:w="5035" w:h="1644" w:wrap="notBeside" w:vAnchor="page" w:hAnchor="page" w:x="6573" w:y="721"/>
              <w:rPr>
                <w:rFonts w:ascii="TradeGothic" w:hAnsi="TradeGothic"/>
                <w:i/>
                <w:sz w:val="18"/>
              </w:rPr>
            </w:pPr>
          </w:p>
        </w:tc>
      </w:tr>
      <w:tr w:rsidR="002E692A" w:rsidRPr="00E141CC" w14:paraId="17DE53D3" w14:textId="77777777" w:rsidTr="002E692A">
        <w:tblPrEx>
          <w:tblCellMar>
            <w:top w:w="0" w:type="dxa"/>
            <w:bottom w:w="0" w:type="dxa"/>
          </w:tblCellMar>
        </w:tblPrEx>
        <w:tc>
          <w:tcPr>
            <w:tcW w:w="5267" w:type="dxa"/>
            <w:gridSpan w:val="3"/>
          </w:tcPr>
          <w:p w14:paraId="2BC74CE9" w14:textId="77777777" w:rsidR="002E692A" w:rsidRPr="00E141CC" w:rsidRDefault="002E692A" w:rsidP="007242A3">
            <w:pPr>
              <w:framePr w:w="5035" w:h="1644" w:wrap="notBeside" w:vAnchor="page" w:hAnchor="page" w:x="6573" w:y="721"/>
              <w:rPr>
                <w:rFonts w:ascii="TradeGothic" w:hAnsi="TradeGothic"/>
                <w:b/>
                <w:sz w:val="22"/>
              </w:rPr>
            </w:pPr>
            <w:r w:rsidRPr="00E141CC">
              <w:rPr>
                <w:rFonts w:ascii="TradeGothic" w:hAnsi="TradeGothic"/>
                <w:b/>
                <w:sz w:val="22"/>
              </w:rPr>
              <w:t>Rådspromemoria</w:t>
            </w:r>
          </w:p>
        </w:tc>
      </w:tr>
      <w:tr w:rsidR="006E4E11" w:rsidRPr="00E141CC" w14:paraId="31B90BC1" w14:textId="77777777" w:rsidTr="002E692A">
        <w:tblPrEx>
          <w:tblCellMar>
            <w:top w:w="0" w:type="dxa"/>
            <w:bottom w:w="0" w:type="dxa"/>
          </w:tblCellMar>
        </w:tblPrEx>
        <w:tc>
          <w:tcPr>
            <w:tcW w:w="3402" w:type="dxa"/>
            <w:gridSpan w:val="2"/>
          </w:tcPr>
          <w:p w14:paraId="47427C93" w14:textId="77777777" w:rsidR="006E4E11" w:rsidRPr="00E141CC" w:rsidRDefault="006E4E11" w:rsidP="007242A3">
            <w:pPr>
              <w:framePr w:w="5035" w:h="1644" w:wrap="notBeside" w:vAnchor="page" w:hAnchor="page" w:x="6573" w:y="721"/>
            </w:pPr>
          </w:p>
        </w:tc>
        <w:tc>
          <w:tcPr>
            <w:tcW w:w="1865" w:type="dxa"/>
          </w:tcPr>
          <w:p w14:paraId="5CB1F2B6" w14:textId="77777777" w:rsidR="006E4E11" w:rsidRPr="00E141CC" w:rsidRDefault="006E4E11" w:rsidP="007242A3">
            <w:pPr>
              <w:framePr w:w="5035" w:h="1644" w:wrap="notBeside" w:vAnchor="page" w:hAnchor="page" w:x="6573" w:y="721"/>
            </w:pPr>
          </w:p>
        </w:tc>
      </w:tr>
      <w:tr w:rsidR="006E4E11" w:rsidRPr="00E141CC" w14:paraId="5EA85A40" w14:textId="77777777" w:rsidTr="002E692A">
        <w:tblPrEx>
          <w:tblCellMar>
            <w:top w:w="0" w:type="dxa"/>
            <w:bottom w:w="0" w:type="dxa"/>
          </w:tblCellMar>
        </w:tblPrEx>
        <w:tc>
          <w:tcPr>
            <w:tcW w:w="2268" w:type="dxa"/>
          </w:tcPr>
          <w:p w14:paraId="2304CA93" w14:textId="77777777" w:rsidR="006E4E11" w:rsidRPr="00E141CC" w:rsidRDefault="002E692A" w:rsidP="007242A3">
            <w:pPr>
              <w:framePr w:w="5035" w:h="1644" w:wrap="notBeside" w:vAnchor="page" w:hAnchor="page" w:x="6573" w:y="721"/>
            </w:pPr>
            <w:r w:rsidRPr="00E141CC">
              <w:t>2007-</w:t>
            </w:r>
            <w:r w:rsidR="00AF163B" w:rsidRPr="00E141CC">
              <w:t>0</w:t>
            </w:r>
            <w:r w:rsidR="00ED2B67" w:rsidRPr="00E141CC">
              <w:t>7</w:t>
            </w:r>
            <w:r w:rsidR="00AF163B" w:rsidRPr="00E141CC">
              <w:t>-</w:t>
            </w:r>
            <w:r w:rsidR="00ED2B67" w:rsidRPr="00E141CC">
              <w:t>0</w:t>
            </w:r>
            <w:r w:rsidR="00EE50D0" w:rsidRPr="00E141CC">
              <w:t>6</w:t>
            </w:r>
          </w:p>
        </w:tc>
        <w:tc>
          <w:tcPr>
            <w:tcW w:w="2999" w:type="dxa"/>
            <w:gridSpan w:val="2"/>
          </w:tcPr>
          <w:p w14:paraId="09DC2C9E" w14:textId="77777777" w:rsidR="006E4E11" w:rsidRPr="00E141CC" w:rsidRDefault="006E4E11" w:rsidP="007242A3">
            <w:pPr>
              <w:framePr w:w="5035" w:h="1644" w:wrap="notBeside" w:vAnchor="page" w:hAnchor="page" w:x="6573" w:y="721"/>
            </w:pPr>
          </w:p>
        </w:tc>
      </w:tr>
      <w:tr w:rsidR="006E4E11" w:rsidRPr="00E141CC" w14:paraId="51371507" w14:textId="77777777" w:rsidTr="002E692A">
        <w:tblPrEx>
          <w:tblCellMar>
            <w:top w:w="0" w:type="dxa"/>
            <w:bottom w:w="0" w:type="dxa"/>
          </w:tblCellMar>
        </w:tblPrEx>
        <w:tc>
          <w:tcPr>
            <w:tcW w:w="2268" w:type="dxa"/>
          </w:tcPr>
          <w:p w14:paraId="7B9B3392" w14:textId="77777777" w:rsidR="006E4E11" w:rsidRPr="00E141CC" w:rsidRDefault="006E4E11" w:rsidP="007242A3">
            <w:pPr>
              <w:framePr w:w="5035" w:h="1644" w:wrap="notBeside" w:vAnchor="page" w:hAnchor="page" w:x="6573" w:y="721"/>
            </w:pPr>
          </w:p>
        </w:tc>
        <w:tc>
          <w:tcPr>
            <w:tcW w:w="2999" w:type="dxa"/>
            <w:gridSpan w:val="2"/>
          </w:tcPr>
          <w:p w14:paraId="0C165E94" w14:textId="77777777" w:rsidR="006E4E11" w:rsidRPr="00E141CC"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E141CC" w14:paraId="1A401E70" w14:textId="77777777">
        <w:tblPrEx>
          <w:tblCellMar>
            <w:top w:w="0" w:type="dxa"/>
            <w:bottom w:w="0" w:type="dxa"/>
          </w:tblCellMar>
        </w:tblPrEx>
        <w:trPr>
          <w:trHeight w:val="284"/>
        </w:trPr>
        <w:tc>
          <w:tcPr>
            <w:tcW w:w="4911" w:type="dxa"/>
          </w:tcPr>
          <w:p w14:paraId="492E8F66" w14:textId="77777777" w:rsidR="006E4E11" w:rsidRPr="00E141CC" w:rsidRDefault="002E692A">
            <w:pPr>
              <w:pStyle w:val="Avsndare"/>
              <w:framePr w:h="2483" w:wrap="notBeside" w:x="1504"/>
              <w:rPr>
                <w:b/>
                <w:i w:val="0"/>
                <w:sz w:val="22"/>
              </w:rPr>
            </w:pPr>
            <w:r w:rsidRPr="00E141CC">
              <w:rPr>
                <w:b/>
                <w:i w:val="0"/>
                <w:sz w:val="22"/>
              </w:rPr>
              <w:t>Jordbruksdepartementet</w:t>
            </w:r>
          </w:p>
        </w:tc>
      </w:tr>
      <w:tr w:rsidR="006E4E11" w:rsidRPr="00E141CC" w14:paraId="7EF43157" w14:textId="77777777">
        <w:tblPrEx>
          <w:tblCellMar>
            <w:top w:w="0" w:type="dxa"/>
            <w:bottom w:w="0" w:type="dxa"/>
          </w:tblCellMar>
        </w:tblPrEx>
        <w:trPr>
          <w:trHeight w:val="284"/>
        </w:trPr>
        <w:tc>
          <w:tcPr>
            <w:tcW w:w="4911" w:type="dxa"/>
          </w:tcPr>
          <w:p w14:paraId="28DC751F" w14:textId="77777777" w:rsidR="006E4E11" w:rsidRPr="00E141CC" w:rsidRDefault="00AF163B">
            <w:pPr>
              <w:pStyle w:val="Avsndare"/>
              <w:framePr w:h="2483" w:wrap="notBeside" w:x="1504"/>
              <w:rPr>
                <w:bCs/>
                <w:iCs/>
              </w:rPr>
            </w:pPr>
            <w:r w:rsidRPr="00E141CC">
              <w:rPr>
                <w:bCs/>
                <w:iCs/>
              </w:rPr>
              <w:t xml:space="preserve">Skogs- och lantbruksenheten </w:t>
            </w:r>
          </w:p>
          <w:p w14:paraId="2C85F636" w14:textId="77777777" w:rsidR="00AF163B" w:rsidRPr="00E141CC" w:rsidRDefault="00AF163B">
            <w:pPr>
              <w:pStyle w:val="Avsndare"/>
              <w:framePr w:h="2483" w:wrap="notBeside" w:x="1504"/>
              <w:rPr>
                <w:bCs/>
                <w:iCs/>
              </w:rPr>
            </w:pPr>
            <w:r w:rsidRPr="00E141CC">
              <w:rPr>
                <w:bCs/>
                <w:iCs/>
              </w:rPr>
              <w:t>Anette Madsen</w:t>
            </w:r>
          </w:p>
          <w:p w14:paraId="2A434831" w14:textId="77777777" w:rsidR="00AF163B" w:rsidRPr="00E141CC" w:rsidRDefault="00AF163B">
            <w:pPr>
              <w:pStyle w:val="Avsndare"/>
              <w:framePr w:h="2483" w:wrap="notBeside" w:x="1504"/>
              <w:rPr>
                <w:bCs/>
                <w:iCs/>
              </w:rPr>
            </w:pPr>
            <w:r w:rsidRPr="00E141CC">
              <w:rPr>
                <w:bCs/>
                <w:iCs/>
              </w:rPr>
              <w:t>08-405 11 29</w:t>
            </w:r>
          </w:p>
          <w:p w14:paraId="723539B8" w14:textId="77777777" w:rsidR="00AF163B" w:rsidRPr="00E141CC" w:rsidRDefault="00AF163B">
            <w:pPr>
              <w:pStyle w:val="Avsndare"/>
              <w:framePr w:h="2483" w:wrap="notBeside" w:x="1504"/>
              <w:rPr>
                <w:bCs/>
                <w:iCs/>
              </w:rPr>
            </w:pPr>
            <w:r w:rsidRPr="00E141CC">
              <w:rPr>
                <w:bCs/>
                <w:iCs/>
              </w:rPr>
              <w:t>070-547 46 38</w:t>
            </w:r>
          </w:p>
        </w:tc>
      </w:tr>
      <w:tr w:rsidR="006E4E11" w:rsidRPr="00E141CC" w14:paraId="546EA580" w14:textId="77777777">
        <w:tblPrEx>
          <w:tblCellMar>
            <w:top w:w="0" w:type="dxa"/>
            <w:bottom w:w="0" w:type="dxa"/>
          </w:tblCellMar>
        </w:tblPrEx>
        <w:trPr>
          <w:trHeight w:val="284"/>
        </w:trPr>
        <w:tc>
          <w:tcPr>
            <w:tcW w:w="4911" w:type="dxa"/>
          </w:tcPr>
          <w:p w14:paraId="7915CD37" w14:textId="77777777" w:rsidR="006E4E11" w:rsidRPr="00E141CC" w:rsidRDefault="006E4E11">
            <w:pPr>
              <w:pStyle w:val="Avsndare"/>
              <w:framePr w:h="2483" w:wrap="notBeside" w:x="1504"/>
              <w:rPr>
                <w:bCs/>
                <w:iCs/>
              </w:rPr>
            </w:pPr>
          </w:p>
        </w:tc>
      </w:tr>
      <w:tr w:rsidR="006E4E11" w:rsidRPr="00E141CC" w14:paraId="4C2A5573" w14:textId="77777777">
        <w:tblPrEx>
          <w:tblCellMar>
            <w:top w:w="0" w:type="dxa"/>
            <w:bottom w:w="0" w:type="dxa"/>
          </w:tblCellMar>
        </w:tblPrEx>
        <w:trPr>
          <w:trHeight w:val="284"/>
        </w:trPr>
        <w:tc>
          <w:tcPr>
            <w:tcW w:w="4911" w:type="dxa"/>
          </w:tcPr>
          <w:p w14:paraId="33CFF658" w14:textId="77777777" w:rsidR="006E4E11" w:rsidRPr="00E141CC" w:rsidRDefault="006E4E11">
            <w:pPr>
              <w:pStyle w:val="Avsndare"/>
              <w:framePr w:h="2483" w:wrap="notBeside" w:x="1504"/>
              <w:rPr>
                <w:bCs/>
                <w:iCs/>
              </w:rPr>
            </w:pPr>
          </w:p>
        </w:tc>
      </w:tr>
      <w:tr w:rsidR="006E4E11" w:rsidRPr="00E141CC" w14:paraId="66D18A30" w14:textId="77777777">
        <w:tblPrEx>
          <w:tblCellMar>
            <w:top w:w="0" w:type="dxa"/>
            <w:bottom w:w="0" w:type="dxa"/>
          </w:tblCellMar>
        </w:tblPrEx>
        <w:trPr>
          <w:trHeight w:val="284"/>
        </w:trPr>
        <w:tc>
          <w:tcPr>
            <w:tcW w:w="4911" w:type="dxa"/>
          </w:tcPr>
          <w:p w14:paraId="0F1D018F" w14:textId="77777777" w:rsidR="006E4E11" w:rsidRPr="00E141CC" w:rsidRDefault="006E4E11">
            <w:pPr>
              <w:pStyle w:val="Avsndare"/>
              <w:framePr w:h="2483" w:wrap="notBeside" w:x="1504"/>
              <w:rPr>
                <w:bCs/>
                <w:iCs/>
              </w:rPr>
            </w:pPr>
          </w:p>
        </w:tc>
      </w:tr>
      <w:tr w:rsidR="006E4E11" w:rsidRPr="00E141CC" w14:paraId="50293A4A" w14:textId="77777777">
        <w:tblPrEx>
          <w:tblCellMar>
            <w:top w:w="0" w:type="dxa"/>
            <w:bottom w:w="0" w:type="dxa"/>
          </w:tblCellMar>
        </w:tblPrEx>
        <w:trPr>
          <w:trHeight w:val="284"/>
        </w:trPr>
        <w:tc>
          <w:tcPr>
            <w:tcW w:w="4911" w:type="dxa"/>
          </w:tcPr>
          <w:p w14:paraId="0FAF38F8" w14:textId="77777777" w:rsidR="006E4E11" w:rsidRPr="00E141CC" w:rsidRDefault="006E4E11">
            <w:pPr>
              <w:pStyle w:val="Avsndare"/>
              <w:framePr w:h="2483" w:wrap="notBeside" w:x="1504"/>
              <w:rPr>
                <w:bCs/>
                <w:iCs/>
              </w:rPr>
            </w:pPr>
          </w:p>
        </w:tc>
      </w:tr>
      <w:tr w:rsidR="006E4E11" w:rsidRPr="00E141CC" w14:paraId="27FE759F" w14:textId="77777777">
        <w:tblPrEx>
          <w:tblCellMar>
            <w:top w:w="0" w:type="dxa"/>
            <w:bottom w:w="0" w:type="dxa"/>
          </w:tblCellMar>
        </w:tblPrEx>
        <w:trPr>
          <w:trHeight w:val="284"/>
        </w:trPr>
        <w:tc>
          <w:tcPr>
            <w:tcW w:w="4911" w:type="dxa"/>
          </w:tcPr>
          <w:p w14:paraId="58AE0B90" w14:textId="77777777" w:rsidR="006E4E11" w:rsidRPr="00E141CC" w:rsidRDefault="006E4E11">
            <w:pPr>
              <w:pStyle w:val="Avsndare"/>
              <w:framePr w:h="2483" w:wrap="notBeside" w:x="1504"/>
              <w:rPr>
                <w:bCs/>
                <w:iCs/>
              </w:rPr>
            </w:pPr>
          </w:p>
        </w:tc>
      </w:tr>
      <w:tr w:rsidR="006E4E11" w:rsidRPr="00E141CC" w14:paraId="735BC923" w14:textId="77777777">
        <w:tblPrEx>
          <w:tblCellMar>
            <w:top w:w="0" w:type="dxa"/>
            <w:bottom w:w="0" w:type="dxa"/>
          </w:tblCellMar>
        </w:tblPrEx>
        <w:trPr>
          <w:trHeight w:val="284"/>
        </w:trPr>
        <w:tc>
          <w:tcPr>
            <w:tcW w:w="4911" w:type="dxa"/>
          </w:tcPr>
          <w:p w14:paraId="67F31439" w14:textId="77777777" w:rsidR="006E4E11" w:rsidRPr="00E141CC" w:rsidRDefault="006E4E11">
            <w:pPr>
              <w:pStyle w:val="Avsndare"/>
              <w:framePr w:h="2483" w:wrap="notBeside" w:x="1504"/>
              <w:rPr>
                <w:bCs/>
                <w:iCs/>
              </w:rPr>
            </w:pPr>
          </w:p>
        </w:tc>
      </w:tr>
      <w:tr w:rsidR="006E4E11" w:rsidRPr="00E141CC" w14:paraId="72552D4E" w14:textId="77777777">
        <w:tblPrEx>
          <w:tblCellMar>
            <w:top w:w="0" w:type="dxa"/>
            <w:bottom w:w="0" w:type="dxa"/>
          </w:tblCellMar>
        </w:tblPrEx>
        <w:trPr>
          <w:trHeight w:val="284"/>
        </w:trPr>
        <w:tc>
          <w:tcPr>
            <w:tcW w:w="4911" w:type="dxa"/>
          </w:tcPr>
          <w:p w14:paraId="23403C47" w14:textId="77777777" w:rsidR="006E4E11" w:rsidRPr="00E141CC" w:rsidRDefault="006E4E11">
            <w:pPr>
              <w:pStyle w:val="Avsndare"/>
              <w:framePr w:h="2483" w:wrap="notBeside" w:x="1504"/>
              <w:rPr>
                <w:bCs/>
                <w:iCs/>
              </w:rPr>
            </w:pPr>
          </w:p>
        </w:tc>
      </w:tr>
    </w:tbl>
    <w:p w14:paraId="48B80E69" w14:textId="77777777" w:rsidR="006E4E11" w:rsidRPr="00E141CC" w:rsidRDefault="006E4E11">
      <w:pPr>
        <w:framePr w:w="4400" w:h="2523" w:wrap="notBeside" w:vAnchor="page" w:hAnchor="page" w:x="6453" w:y="2445"/>
        <w:ind w:left="142"/>
        <w:rPr>
          <w:b/>
        </w:rPr>
      </w:pPr>
    </w:p>
    <w:p w14:paraId="580D9C66" w14:textId="77777777" w:rsidR="002E692A" w:rsidRPr="00E141CC" w:rsidRDefault="002E692A">
      <w:pPr>
        <w:pStyle w:val="RKrubrik"/>
        <w:pBdr>
          <w:bottom w:val="single" w:sz="6" w:space="1" w:color="auto"/>
        </w:pBdr>
      </w:pPr>
      <w:bookmarkStart w:id="0" w:name="bRubrik"/>
      <w:bookmarkEnd w:id="0"/>
      <w:r w:rsidRPr="00E141CC">
        <w:t xml:space="preserve">Rådets möte </w:t>
      </w:r>
      <w:r w:rsidR="00AC070D" w:rsidRPr="00E141CC">
        <w:t>(jordbruk- och fiske)</w:t>
      </w:r>
      <w:r w:rsidRPr="00E141CC">
        <w:t xml:space="preserve"> den </w:t>
      </w:r>
      <w:r w:rsidR="00AC070D" w:rsidRPr="00E141CC">
        <w:t>16 juli</w:t>
      </w:r>
    </w:p>
    <w:p w14:paraId="1D35CF1F" w14:textId="77777777" w:rsidR="004B0B38" w:rsidRPr="00E141CC" w:rsidRDefault="004B0B38" w:rsidP="004B0B38">
      <w:pPr>
        <w:pStyle w:val="RKnormal"/>
      </w:pPr>
      <w:r w:rsidRPr="00E141CC">
        <w:t xml:space="preserve">Dagordningspunkt </w:t>
      </w:r>
      <w:r w:rsidR="00DB5A8F" w:rsidRPr="00E141CC">
        <w:t xml:space="preserve">2. </w:t>
      </w:r>
    </w:p>
    <w:p w14:paraId="3457987A" w14:textId="77777777" w:rsidR="004B0B38" w:rsidRPr="00E141CC" w:rsidRDefault="004B0B38" w:rsidP="004B0B38">
      <w:pPr>
        <w:pStyle w:val="RKnormal"/>
      </w:pPr>
    </w:p>
    <w:p w14:paraId="1F814D59" w14:textId="77777777" w:rsidR="004B0B38" w:rsidRPr="00E141CC" w:rsidRDefault="004B0B38" w:rsidP="004B0B38">
      <w:pPr>
        <w:spacing w:line="240" w:lineRule="auto"/>
      </w:pPr>
      <w:r w:rsidRPr="00E141CC">
        <w:t>Förslag till en rådets förordning om den gemensamma organisationen av marknaden för vin och om ändring av vissa förordningar (R)</w:t>
      </w:r>
    </w:p>
    <w:p w14:paraId="3E811EAE" w14:textId="77777777" w:rsidR="00ED2B67" w:rsidRPr="00E141CC" w:rsidRDefault="00ED2B67">
      <w:pPr>
        <w:pStyle w:val="RKnormal"/>
        <w:rPr>
          <w:rStyle w:val="RKrubrikChar"/>
        </w:rPr>
      </w:pPr>
    </w:p>
    <w:p w14:paraId="7A82E0C2" w14:textId="77777777" w:rsidR="004A3538" w:rsidRPr="00E141CC" w:rsidRDefault="002E692A" w:rsidP="00A7204E">
      <w:pPr>
        <w:pStyle w:val="Brdtext"/>
        <w:ind w:left="0"/>
        <w:rPr>
          <w:rFonts w:ascii="OrigGarmnd BT" w:hAnsi="OrigGarmnd BT"/>
          <w:b/>
          <w:i/>
          <w:szCs w:val="24"/>
        </w:rPr>
      </w:pPr>
      <w:r w:rsidRPr="00E141CC">
        <w:rPr>
          <w:rStyle w:val="RKrubrikChar"/>
          <w:rFonts w:ascii="OrigGarmnd BT" w:hAnsi="OrigGarmnd BT"/>
          <w:b w:val="0"/>
          <w:i/>
          <w:sz w:val="24"/>
          <w:szCs w:val="24"/>
        </w:rPr>
        <w:t>Dokument</w:t>
      </w:r>
      <w:r w:rsidR="004A3538" w:rsidRPr="00E141CC">
        <w:rPr>
          <w:rFonts w:ascii="OrigGarmnd BT" w:hAnsi="OrigGarmnd BT"/>
          <w:b/>
          <w:i/>
          <w:szCs w:val="24"/>
        </w:rPr>
        <w:t xml:space="preserve"> </w:t>
      </w:r>
    </w:p>
    <w:p w14:paraId="09F573BB" w14:textId="77777777" w:rsidR="002E692A" w:rsidRPr="00E141CC" w:rsidRDefault="004B0B38">
      <w:pPr>
        <w:pStyle w:val="RKnormal"/>
      </w:pPr>
      <w:r w:rsidRPr="00E141CC">
        <w:t>11361/07 AGRIORG 74 AGRIFIN 73 WTO 140</w:t>
      </w:r>
      <w:r w:rsidRPr="00E141CC" w:rsidDel="004B0B38">
        <w:t xml:space="preserve"> </w:t>
      </w:r>
    </w:p>
    <w:p w14:paraId="28658D26" w14:textId="77777777" w:rsidR="0063386F" w:rsidRPr="00E141CC" w:rsidRDefault="0063386F" w:rsidP="00A7204E">
      <w:pPr>
        <w:pStyle w:val="Brdtext"/>
        <w:ind w:left="0"/>
        <w:rPr>
          <w:rStyle w:val="RKrubrikChar"/>
          <w:rFonts w:ascii="OrigGarmnd BT" w:hAnsi="OrigGarmnd BT"/>
          <w:b w:val="0"/>
          <w:i/>
          <w:sz w:val="24"/>
          <w:szCs w:val="24"/>
        </w:rPr>
      </w:pPr>
    </w:p>
    <w:p w14:paraId="5AE4B7D4" w14:textId="77777777" w:rsidR="004A3538" w:rsidRPr="00E141CC" w:rsidRDefault="002E692A" w:rsidP="00A7204E">
      <w:pPr>
        <w:pStyle w:val="Brdtext"/>
        <w:ind w:left="0"/>
        <w:rPr>
          <w:rStyle w:val="RKrubrikChar"/>
          <w:rFonts w:ascii="OrigGarmnd BT" w:hAnsi="OrigGarmnd BT"/>
          <w:b w:val="0"/>
          <w:i/>
          <w:sz w:val="24"/>
          <w:szCs w:val="24"/>
        </w:rPr>
      </w:pPr>
      <w:r w:rsidRPr="00E141CC">
        <w:rPr>
          <w:rStyle w:val="RKrubrikChar"/>
          <w:rFonts w:ascii="OrigGarmnd BT" w:hAnsi="OrigGarmnd BT"/>
          <w:b w:val="0"/>
          <w:i/>
          <w:sz w:val="24"/>
          <w:szCs w:val="24"/>
        </w:rPr>
        <w:t>Tidigare dokument</w:t>
      </w:r>
    </w:p>
    <w:p w14:paraId="136D35BB" w14:textId="77777777" w:rsidR="002E692A" w:rsidRPr="00E141CC" w:rsidRDefault="00D552C9">
      <w:pPr>
        <w:pStyle w:val="RKnormal"/>
      </w:pPr>
      <w:r w:rsidRPr="00E141CC">
        <w:t xml:space="preserve">10851/06 AGRI 231 AGRIFIN 43 – kommissionens meddelande från </w:t>
      </w:r>
      <w:r w:rsidR="004B0B38" w:rsidRPr="00E141CC">
        <w:t>2006</w:t>
      </w:r>
      <w:r w:rsidRPr="00E141CC">
        <w:t xml:space="preserve"> ”En hållbar europeisk vinsektor.</w:t>
      </w:r>
    </w:p>
    <w:p w14:paraId="5FB3081F" w14:textId="77777777" w:rsidR="002E692A" w:rsidRPr="00E141CC" w:rsidRDefault="002E692A">
      <w:pPr>
        <w:pStyle w:val="RKnormal"/>
      </w:pPr>
    </w:p>
    <w:p w14:paraId="724B6826" w14:textId="77777777" w:rsidR="002E692A" w:rsidRPr="00E141CC" w:rsidRDefault="002E692A" w:rsidP="004B0B38">
      <w:pPr>
        <w:pStyle w:val="RKnormal"/>
        <w:rPr>
          <w:i/>
        </w:rPr>
      </w:pPr>
      <w:r w:rsidRPr="00E141CC">
        <w:rPr>
          <w:rStyle w:val="RKrubrikChar"/>
          <w:rFonts w:ascii="OrigGarmnd BT" w:hAnsi="OrigGarmnd BT"/>
          <w:b w:val="0"/>
          <w:i/>
          <w:sz w:val="24"/>
        </w:rPr>
        <w:t>Tidigare behandlad vid samråd med EU-nämnden</w:t>
      </w:r>
      <w:r w:rsidRPr="00E141CC">
        <w:rPr>
          <w:i/>
        </w:rPr>
        <w:t xml:space="preserve"> </w:t>
      </w:r>
    </w:p>
    <w:p w14:paraId="51E7604E" w14:textId="77777777" w:rsidR="002E692A" w:rsidRPr="00E141CC" w:rsidRDefault="004A3538">
      <w:pPr>
        <w:pStyle w:val="RKnormal"/>
      </w:pPr>
      <w:r w:rsidRPr="00E141CC">
        <w:t xml:space="preserve">Frågan har varit uppe i EU-nämnden i samband med </w:t>
      </w:r>
      <w:r w:rsidR="00973DBC" w:rsidRPr="00E141CC">
        <w:t xml:space="preserve">behandlingen av </w:t>
      </w:r>
      <w:r w:rsidR="00B208C3" w:rsidRPr="00E141CC">
        <w:t>k</w:t>
      </w:r>
      <w:r w:rsidRPr="00E141CC">
        <w:t>ommissionens meddelande om den kommande v</w:t>
      </w:r>
      <w:r w:rsidR="00973DBC" w:rsidRPr="00E141CC">
        <w:t xml:space="preserve">inreformen </w:t>
      </w:r>
      <w:r w:rsidR="004F428A" w:rsidRPr="00E141CC">
        <w:t>i jordbruksråden i</w:t>
      </w:r>
      <w:r w:rsidR="00973DBC" w:rsidRPr="00E141CC">
        <w:t xml:space="preserve"> </w:t>
      </w:r>
      <w:r w:rsidR="004F428A" w:rsidRPr="00E141CC">
        <w:t>juli</w:t>
      </w:r>
      <w:r w:rsidR="00973DBC" w:rsidRPr="00E141CC">
        <w:t xml:space="preserve"> och </w:t>
      </w:r>
      <w:r w:rsidR="004F428A" w:rsidRPr="00E141CC">
        <w:t>september</w:t>
      </w:r>
      <w:r w:rsidRPr="00E141CC">
        <w:t xml:space="preserve"> 2006.</w:t>
      </w:r>
      <w:r w:rsidR="00973DBC" w:rsidRPr="00E141CC">
        <w:t xml:space="preserve"> </w:t>
      </w:r>
    </w:p>
    <w:p w14:paraId="34667CC2" w14:textId="77777777" w:rsidR="002E692A" w:rsidRPr="00E141CC" w:rsidRDefault="002E692A" w:rsidP="00157A08">
      <w:pPr>
        <w:pStyle w:val="RKrubrik"/>
      </w:pPr>
      <w:r w:rsidRPr="00E141CC">
        <w:t>Bakgrund</w:t>
      </w:r>
    </w:p>
    <w:p w14:paraId="5ACCF1F2" w14:textId="77777777" w:rsidR="002E692A" w:rsidRPr="00E141CC" w:rsidRDefault="009F76E0">
      <w:pPr>
        <w:pStyle w:val="RKnormal"/>
      </w:pPr>
      <w:r w:rsidRPr="00E141CC">
        <w:t xml:space="preserve">Kommissionen </w:t>
      </w:r>
      <w:r w:rsidR="00821C1D" w:rsidRPr="00E141CC">
        <w:t xml:space="preserve">publicerade </w:t>
      </w:r>
      <w:r w:rsidR="00CB6790" w:rsidRPr="00E141CC">
        <w:t>2006</w:t>
      </w:r>
      <w:r w:rsidR="00821C1D" w:rsidRPr="00E141CC">
        <w:t xml:space="preserve"> ett meddelande om den kommande reformen av vinsektorn. </w:t>
      </w:r>
      <w:r w:rsidR="00CB6790" w:rsidRPr="00E141CC">
        <w:t xml:space="preserve">Meddelandet </w:t>
      </w:r>
      <w:r w:rsidR="00821C1D" w:rsidRPr="00E141CC">
        <w:t>behandlades utförligt i rådet</w:t>
      </w:r>
      <w:r w:rsidR="00CB6790" w:rsidRPr="00E141CC">
        <w:t xml:space="preserve"> och har legat </w:t>
      </w:r>
      <w:r w:rsidR="00821C1D" w:rsidRPr="00E141CC">
        <w:t>till grund för det förslag som nu lagts fram av kommissionen.</w:t>
      </w:r>
      <w:r w:rsidR="00092BC5" w:rsidRPr="00E141CC">
        <w:t xml:space="preserve"> </w:t>
      </w:r>
    </w:p>
    <w:p w14:paraId="036AB818" w14:textId="77777777" w:rsidR="00BE64DB" w:rsidRPr="00E141CC" w:rsidRDefault="00BE64DB" w:rsidP="00BE64DB">
      <w:pPr>
        <w:overflowPunct/>
        <w:spacing w:line="240" w:lineRule="atLeast"/>
        <w:textAlignment w:val="auto"/>
        <w:rPr>
          <w:rFonts w:cs="OrigGarmnd BT"/>
          <w:color w:val="000000"/>
          <w:szCs w:val="24"/>
          <w:lang w:eastAsia="sv-SE"/>
        </w:rPr>
      </w:pPr>
    </w:p>
    <w:p w14:paraId="302528C4" w14:textId="77777777" w:rsidR="00BE64DB" w:rsidRPr="00E141CC" w:rsidRDefault="00BE64DB" w:rsidP="00BE64DB">
      <w:pPr>
        <w:pStyle w:val="RKnormal"/>
      </w:pPr>
      <w:r w:rsidRPr="00E141CC">
        <w:rPr>
          <w:rFonts w:cs="OrigGarmnd BT"/>
          <w:color w:val="000000"/>
          <w:szCs w:val="24"/>
          <w:lang w:eastAsia="sv-SE"/>
        </w:rPr>
        <w:t xml:space="preserve">Förslaget syftar till att förbättra den europeiska vinsektorns konkurrenskraft, förbättra ryktet för EU:s kvalitetsviner som de bästa i världen, återta förlorade </w:t>
      </w:r>
      <w:r w:rsidR="00CB6790" w:rsidRPr="00E141CC">
        <w:rPr>
          <w:rFonts w:cs="OrigGarmnd BT"/>
          <w:color w:val="000000"/>
          <w:szCs w:val="24"/>
          <w:lang w:eastAsia="sv-SE"/>
        </w:rPr>
        <w:t xml:space="preserve">samt vinna nya </w:t>
      </w:r>
      <w:r w:rsidRPr="00E141CC">
        <w:rPr>
          <w:rFonts w:cs="OrigGarmnd BT"/>
          <w:color w:val="000000"/>
          <w:szCs w:val="24"/>
          <w:lang w:eastAsia="sv-SE"/>
        </w:rPr>
        <w:t xml:space="preserve">markandsandelar. Avsikten är att skapa en marknadsordning som består av tydliga, enkla och effektiva regler som balanserar utbud och efterfrågan samt </w:t>
      </w:r>
      <w:r w:rsidR="00CB6790" w:rsidRPr="00E141CC">
        <w:rPr>
          <w:rFonts w:cs="OrigGarmnd BT"/>
          <w:color w:val="000000"/>
          <w:szCs w:val="24"/>
          <w:lang w:eastAsia="sv-SE"/>
        </w:rPr>
        <w:t xml:space="preserve">att </w:t>
      </w:r>
      <w:r w:rsidRPr="00E141CC">
        <w:rPr>
          <w:rFonts w:cs="OrigGarmnd BT"/>
          <w:color w:val="000000"/>
          <w:szCs w:val="24"/>
          <w:lang w:eastAsia="sv-SE"/>
        </w:rPr>
        <w:t xml:space="preserve">skapa en ordning som tillvaratar de bästa av EU:s vintillverkningsmetoder, </w:t>
      </w:r>
      <w:r w:rsidR="00CB6790" w:rsidRPr="00E141CC">
        <w:rPr>
          <w:rFonts w:cs="OrigGarmnd BT"/>
          <w:color w:val="000000"/>
          <w:szCs w:val="24"/>
          <w:lang w:eastAsia="sv-SE"/>
        </w:rPr>
        <w:t xml:space="preserve">att </w:t>
      </w:r>
      <w:r w:rsidRPr="00E141CC">
        <w:rPr>
          <w:rFonts w:cs="OrigGarmnd BT"/>
          <w:color w:val="000000"/>
          <w:szCs w:val="24"/>
          <w:lang w:eastAsia="sv-SE"/>
        </w:rPr>
        <w:t xml:space="preserve">förstärka samhällsstrukturen på landsbygden </w:t>
      </w:r>
      <w:r w:rsidR="00CB6790" w:rsidRPr="00E141CC">
        <w:rPr>
          <w:rFonts w:cs="OrigGarmnd BT"/>
          <w:color w:val="000000"/>
          <w:szCs w:val="24"/>
          <w:lang w:eastAsia="sv-SE"/>
        </w:rPr>
        <w:t xml:space="preserve">samt att </w:t>
      </w:r>
      <w:r w:rsidRPr="00E141CC">
        <w:rPr>
          <w:rFonts w:cs="OrigGarmnd BT"/>
          <w:color w:val="000000"/>
          <w:szCs w:val="24"/>
          <w:lang w:eastAsia="sv-SE"/>
        </w:rPr>
        <w:t xml:space="preserve">säkra </w:t>
      </w:r>
      <w:r w:rsidR="00CB6790" w:rsidRPr="00E141CC">
        <w:rPr>
          <w:rFonts w:cs="OrigGarmnd BT"/>
          <w:color w:val="000000"/>
          <w:szCs w:val="24"/>
          <w:lang w:eastAsia="sv-SE"/>
        </w:rPr>
        <w:t>en miljövänlig p</w:t>
      </w:r>
      <w:r w:rsidRPr="00E141CC">
        <w:rPr>
          <w:rFonts w:cs="OrigGarmnd BT"/>
          <w:color w:val="000000"/>
          <w:szCs w:val="24"/>
          <w:lang w:eastAsia="sv-SE"/>
        </w:rPr>
        <w:t>roduktion.</w:t>
      </w:r>
    </w:p>
    <w:p w14:paraId="1C99BBF3" w14:textId="77777777" w:rsidR="002E692A" w:rsidRPr="00E141CC" w:rsidRDefault="002E692A" w:rsidP="00157A08">
      <w:pPr>
        <w:pStyle w:val="RKrubrik"/>
      </w:pPr>
      <w:r w:rsidRPr="00E141CC">
        <w:lastRenderedPageBreak/>
        <w:t>Rättslig grund och beslutsförfarande</w:t>
      </w:r>
    </w:p>
    <w:p w14:paraId="50CC1D76" w14:textId="77777777" w:rsidR="002E692A" w:rsidRPr="00E141CC" w:rsidRDefault="0057383F">
      <w:pPr>
        <w:pStyle w:val="RKnormal"/>
      </w:pPr>
      <w:r w:rsidRPr="00E141CC">
        <w:t xml:space="preserve">Artiklarna 36 och 37 i </w:t>
      </w:r>
      <w:r w:rsidR="000F3DBA" w:rsidRPr="00E141CC">
        <w:t>EG-</w:t>
      </w:r>
      <w:r w:rsidRPr="00E141CC">
        <w:t xml:space="preserve">fördraget. </w:t>
      </w:r>
      <w:r w:rsidR="000F3DBA" w:rsidRPr="00E141CC">
        <w:t>Beslut fattas av rådet med kvalificerad majoritet efter att yttrande från Europaparlamentet inhämtats.</w:t>
      </w:r>
    </w:p>
    <w:p w14:paraId="41931CF2" w14:textId="77777777" w:rsidR="002E692A" w:rsidRPr="00E141CC" w:rsidRDefault="00AA0F61">
      <w:pPr>
        <w:pStyle w:val="RKrubrik"/>
        <w:rPr>
          <w:i/>
          <w:iCs/>
        </w:rPr>
      </w:pPr>
      <w:r w:rsidRPr="00E141CC">
        <w:rPr>
          <w:i/>
          <w:iCs/>
        </w:rPr>
        <w:t>S</w:t>
      </w:r>
      <w:r w:rsidR="002E692A" w:rsidRPr="00E141CC">
        <w:rPr>
          <w:i/>
          <w:iCs/>
        </w:rPr>
        <w:t>vensk ståndpunkt</w:t>
      </w:r>
    </w:p>
    <w:p w14:paraId="43CA4B07" w14:textId="77777777" w:rsidR="00EF4EB5" w:rsidRPr="00E141CC" w:rsidRDefault="00EF4EB5" w:rsidP="00EF4EB5">
      <w:pPr>
        <w:pStyle w:val="RKnormal"/>
      </w:pPr>
      <w:r w:rsidRPr="00E141CC">
        <w:t xml:space="preserve">Sverige välkomnar kommissionens syn på behovet av en djupgående reform. Vinsektorn är i stort behov av reformering p.g.a. den bristande konkurrenskraften samt det komplexa regelverket som präglar den nuvarande marknadsordningen. </w:t>
      </w:r>
      <w:r w:rsidR="00453C5F" w:rsidRPr="00E141CC">
        <w:t>R</w:t>
      </w:r>
      <w:r w:rsidRPr="00E141CC">
        <w:t>eformen bör vara ett steg mot en avreglerad vinsektor.</w:t>
      </w:r>
    </w:p>
    <w:p w14:paraId="42AD2096" w14:textId="77777777" w:rsidR="00EF4EB5" w:rsidRPr="00E141CC" w:rsidRDefault="00EF4EB5" w:rsidP="00EF4EB5">
      <w:pPr>
        <w:pStyle w:val="RKnormal"/>
      </w:pPr>
    </w:p>
    <w:p w14:paraId="06C7FA8E" w14:textId="77777777" w:rsidR="00453C5F" w:rsidRPr="00E141CC" w:rsidRDefault="00EF4EB5" w:rsidP="00EF4EB5">
      <w:pPr>
        <w:pStyle w:val="RKnormal"/>
      </w:pPr>
      <w:r w:rsidRPr="00E141CC">
        <w:t xml:space="preserve">Sverige anser dock inte att kommissionens förslag i alla delar överensstämmer med innebörden av en djupgående reform. </w:t>
      </w:r>
    </w:p>
    <w:p w14:paraId="40E3C7D1" w14:textId="77777777" w:rsidR="00453C5F" w:rsidRPr="00E141CC" w:rsidRDefault="00453C5F" w:rsidP="00EF4EB5">
      <w:pPr>
        <w:pStyle w:val="RKnormal"/>
      </w:pPr>
    </w:p>
    <w:p w14:paraId="7D757989" w14:textId="77777777" w:rsidR="00EF4EB5" w:rsidRPr="00E141CC" w:rsidRDefault="00EF4EB5" w:rsidP="00EF4EB5">
      <w:pPr>
        <w:pStyle w:val="RKnormal"/>
      </w:pPr>
      <w:r w:rsidRPr="00E141CC">
        <w:t xml:space="preserve">Det är positivt att rådsförordningen görs mer marknadsorienterad i och med förenklad regelbörda kring framförallt märkningsregler och tillverkningsmetoder, överföring av medel till LBU-åtgärder och frikoppling av stöd. Sverige välkomnar att årgång och druvsort får märkas på vin. Sverige förordar dock att nuvarande regler om berikning bibehålls så att svenska vinproducenter inte slås ut från möjligheten att såsom idag, producera vin i liten skala för avsättning huvudsakligen på den svenska marknaden och utan att EU-stöd betalas ut. </w:t>
      </w:r>
    </w:p>
    <w:p w14:paraId="1EC46A18" w14:textId="77777777" w:rsidR="00260E11" w:rsidRPr="00E141CC" w:rsidRDefault="00260E11" w:rsidP="00EF4EB5">
      <w:pPr>
        <w:pStyle w:val="RKnormal"/>
      </w:pPr>
    </w:p>
    <w:p w14:paraId="7026CECB" w14:textId="77777777" w:rsidR="00EF4EB5" w:rsidRPr="00E141CC" w:rsidRDefault="00EF4EB5" w:rsidP="00EF4EB5">
      <w:pPr>
        <w:pStyle w:val="RKnormal"/>
      </w:pPr>
      <w:r w:rsidRPr="00E141CC">
        <w:t xml:space="preserve">Det är positivt att marknadsordningen i större utsträckning likriktas med andra marknadsordningar genom införande av frikoppling och landsbygdsprogram. Sverige välkomnar därför att medel motsvarande 400 miljoner euro </w:t>
      </w:r>
      <w:r w:rsidR="009177D5" w:rsidRPr="00E141CC">
        <w:t>(knappt 1/3 av vinbudgeten</w:t>
      </w:r>
      <w:r w:rsidRPr="00E141CC">
        <w:t>)</w:t>
      </w:r>
      <w:r w:rsidR="009177D5" w:rsidRPr="00E141CC">
        <w:t xml:space="preserve"> </w:t>
      </w:r>
      <w:r w:rsidRPr="00E141CC">
        <w:t>förs över från nuvarande marknadsreglera</w:t>
      </w:r>
      <w:r w:rsidR="009177D5" w:rsidRPr="00E141CC">
        <w:t>nde åtgärder till LBU-åtgärder</w:t>
      </w:r>
      <w:r w:rsidRPr="00E141CC">
        <w:t>. Sverige</w:t>
      </w:r>
      <w:r w:rsidR="000E0A95" w:rsidRPr="00E141CC">
        <w:t xml:space="preserve"> anser </w:t>
      </w:r>
      <w:r w:rsidRPr="00E141CC">
        <w:t>dock</w:t>
      </w:r>
      <w:r w:rsidR="000E0A95" w:rsidRPr="00E141CC">
        <w:t xml:space="preserve"> att en större del av </w:t>
      </w:r>
      <w:r w:rsidRPr="00E141CC">
        <w:t xml:space="preserve">budgeten </w:t>
      </w:r>
      <w:r w:rsidR="00453C5F" w:rsidRPr="00E141CC">
        <w:t>bör</w:t>
      </w:r>
      <w:r w:rsidR="000E0A95" w:rsidRPr="00E141CC">
        <w:t xml:space="preserve"> </w:t>
      </w:r>
      <w:r w:rsidRPr="00E141CC">
        <w:t>gå till frikoppling av stöden.</w:t>
      </w:r>
    </w:p>
    <w:p w14:paraId="1BD824CE" w14:textId="77777777" w:rsidR="00EF4EB5" w:rsidRPr="00E141CC" w:rsidRDefault="00EF4EB5" w:rsidP="00EF4EB5">
      <w:pPr>
        <w:pStyle w:val="RKnormal"/>
      </w:pPr>
    </w:p>
    <w:p w14:paraId="4E08AB68" w14:textId="77777777" w:rsidR="00EF4EB5" w:rsidRPr="00E141CC" w:rsidRDefault="00EF4EB5" w:rsidP="00EF4EB5">
      <w:pPr>
        <w:pStyle w:val="RKnormal"/>
      </w:pPr>
      <w:r w:rsidRPr="00E141CC">
        <w:t>Sverige är även mycket negativt inställd till införandet av de nationella kuverten</w:t>
      </w:r>
      <w:r w:rsidR="000E0A95" w:rsidRPr="00E141CC">
        <w:t xml:space="preserve">. Dessa kommer att </w:t>
      </w:r>
      <w:r w:rsidRPr="00E141CC">
        <w:t xml:space="preserve">ta två tredjedelar av vinbudgeten i anspråk (830 miljoner euro). Kuverten innehåller vissa åtgärder som Sverige har svårt att acceptera. </w:t>
      </w:r>
      <w:r w:rsidR="0035410E" w:rsidRPr="00E141CC">
        <w:t xml:space="preserve">Till </w:t>
      </w:r>
      <w:r w:rsidR="000E0A95" w:rsidRPr="00E141CC">
        <w:t>stor</w:t>
      </w:r>
      <w:r w:rsidR="0035410E" w:rsidRPr="00E141CC">
        <w:t xml:space="preserve"> del innebär det att nuvarande regleringsansatser flyttas över till de nationella kuverten (vilket innebär att syftet med reformen </w:t>
      </w:r>
      <w:r w:rsidR="000E0A95" w:rsidRPr="00E141CC">
        <w:t xml:space="preserve">till viss del </w:t>
      </w:r>
      <w:r w:rsidR="0035410E" w:rsidRPr="00E141CC">
        <w:t xml:space="preserve">uteblir) med risk för sämre insyn och kontroll. </w:t>
      </w:r>
      <w:r w:rsidRPr="00E141CC">
        <w:t xml:space="preserve">Sverige är vidare kritiskt till att EU gemensamt ska finansiera marknadsföring av vin från EU i tredje land och dessutom att en viss summa i de nationella kuverten ska öronmärkas för detta ändamål. Marknadsföring av alkoholhaltiga drycker bör inte EU eller enskilda länder finansiera utan det bör falla på berörda aktörer och företag. </w:t>
      </w:r>
      <w:r w:rsidR="000E0A95" w:rsidRPr="00E141CC">
        <w:t>Sverige anser inte att mark</w:t>
      </w:r>
      <w:r w:rsidRPr="00E141CC">
        <w:t>n</w:t>
      </w:r>
      <w:r w:rsidR="000E0A95" w:rsidRPr="00E141CC">
        <w:t>a</w:t>
      </w:r>
      <w:r w:rsidRPr="00E141CC">
        <w:t xml:space="preserve">dsföring av vin är rätt väg att gå för att stärka konkurrenskraften för EU:s vinproduktion. </w:t>
      </w:r>
    </w:p>
    <w:p w14:paraId="3DA493F1" w14:textId="77777777" w:rsidR="0035410E" w:rsidRPr="00E141CC" w:rsidRDefault="0035410E" w:rsidP="00EF4EB5">
      <w:pPr>
        <w:pStyle w:val="RKnormal"/>
      </w:pPr>
    </w:p>
    <w:p w14:paraId="6DCC5240" w14:textId="77777777" w:rsidR="00092A9E" w:rsidRPr="00E141CC" w:rsidRDefault="00EF4EB5" w:rsidP="00EF4EB5">
      <w:pPr>
        <w:pStyle w:val="RKnormal"/>
      </w:pPr>
      <w:r w:rsidRPr="00E141CC">
        <w:t xml:space="preserve">När det gäller kommissionens förslag till röjningsbidrag för 200 000 ha vinareal är avsikten god. Förslaget innehåller dock vissa skyddsklausuler som riskerar att den önskade nedläggningen till stora delar uteblir.  Till exempel kan medlemsstaterna undanta vissa odlingar belägna i bergsluttningar för berättigande till stödordning för definitiv avveckling. </w:t>
      </w:r>
    </w:p>
    <w:p w14:paraId="527C48F3" w14:textId="77777777" w:rsidR="00092A9E" w:rsidRPr="00E141CC" w:rsidRDefault="00092A9E" w:rsidP="00EF4EB5">
      <w:pPr>
        <w:pStyle w:val="RKnormal"/>
      </w:pPr>
    </w:p>
    <w:p w14:paraId="05077B1B" w14:textId="77777777" w:rsidR="00EF4EB5" w:rsidRPr="00E141CC" w:rsidRDefault="00EF4EB5" w:rsidP="00EF4EB5">
      <w:pPr>
        <w:pStyle w:val="RKnormal"/>
      </w:pPr>
      <w:r w:rsidRPr="00E141CC">
        <w:t xml:space="preserve">Flera av </w:t>
      </w:r>
      <w:r w:rsidR="00092A9E" w:rsidRPr="00E141CC">
        <w:t xml:space="preserve">ovan </w:t>
      </w:r>
      <w:r w:rsidRPr="00E141CC">
        <w:t>faktorer, i synnerhet systemet med nationella kuvert gör att den verkliga effekten med reformen riskerar att utebli.</w:t>
      </w:r>
    </w:p>
    <w:p w14:paraId="0B0A72B5" w14:textId="77777777" w:rsidR="00EF4EB5" w:rsidRPr="00E141CC" w:rsidRDefault="00EF4EB5" w:rsidP="00EF4EB5">
      <w:pPr>
        <w:pStyle w:val="RKnormal"/>
      </w:pPr>
      <w:r w:rsidRPr="00E141CC">
        <w:t>Sverige anser</w:t>
      </w:r>
      <w:r w:rsidR="00092A9E" w:rsidRPr="00E141CC">
        <w:t xml:space="preserve"> även</w:t>
      </w:r>
      <w:r w:rsidRPr="00E141CC">
        <w:t xml:space="preserve"> att reformen bör leda till budgetbesparingar. </w:t>
      </w:r>
    </w:p>
    <w:p w14:paraId="2ADF5090" w14:textId="77777777" w:rsidR="003A177A" w:rsidRPr="00E141CC" w:rsidRDefault="003A177A" w:rsidP="00BA6BEA">
      <w:pPr>
        <w:pStyle w:val="RKnormal"/>
      </w:pPr>
      <w:r w:rsidRPr="00E141CC">
        <w:t xml:space="preserve"> </w:t>
      </w:r>
    </w:p>
    <w:p w14:paraId="542270BD" w14:textId="77777777" w:rsidR="002E692A" w:rsidRPr="00E141CC" w:rsidRDefault="002E692A">
      <w:pPr>
        <w:pStyle w:val="RKrubrik"/>
      </w:pPr>
      <w:r w:rsidRPr="00E141CC">
        <w:t>Europaparlamentets inställning</w:t>
      </w:r>
    </w:p>
    <w:p w14:paraId="484BE6FD" w14:textId="77777777" w:rsidR="00CF1FD4" w:rsidRPr="00E141CC" w:rsidRDefault="00025AF2" w:rsidP="00CF1FD4">
      <w:pPr>
        <w:pStyle w:val="RKnormal"/>
      </w:pPr>
      <w:r w:rsidRPr="00E141CC">
        <w:t xml:space="preserve">Kommittén för regional utveckling </w:t>
      </w:r>
      <w:r w:rsidR="008208ED" w:rsidRPr="00E141CC">
        <w:t xml:space="preserve">(EP) </w:t>
      </w:r>
      <w:r w:rsidRPr="00E141CC">
        <w:t>har framfört att</w:t>
      </w:r>
      <w:r w:rsidR="00683BA4" w:rsidRPr="00E141CC">
        <w:t xml:space="preserve"> följande bör </w:t>
      </w:r>
      <w:r w:rsidR="008208ED" w:rsidRPr="00E141CC">
        <w:t xml:space="preserve">särskilt </w:t>
      </w:r>
      <w:r w:rsidR="00683BA4" w:rsidRPr="00E141CC">
        <w:t>beaktas i kommissionens förslag</w:t>
      </w:r>
      <w:r w:rsidR="001025A9" w:rsidRPr="00E141CC">
        <w:t>:</w:t>
      </w:r>
      <w:r w:rsidR="00683BA4" w:rsidRPr="00E141CC">
        <w:t xml:space="preserve"> </w:t>
      </w:r>
    </w:p>
    <w:p w14:paraId="22E95A11" w14:textId="77777777" w:rsidR="00683BA4" w:rsidRPr="00E141CC" w:rsidRDefault="00680095" w:rsidP="00CF1FD4">
      <w:pPr>
        <w:pStyle w:val="RKnormal"/>
      </w:pPr>
      <w:r w:rsidRPr="00E141CC">
        <w:t>Det är v</w:t>
      </w:r>
      <w:r w:rsidR="00D55FC2" w:rsidRPr="00E141CC">
        <w:t>iktigt med</w:t>
      </w:r>
      <w:r w:rsidR="00683BA4" w:rsidRPr="00E141CC">
        <w:t xml:space="preserve"> bibehållen</w:t>
      </w:r>
      <w:r w:rsidR="001C731D" w:rsidRPr="00E141CC">
        <w:t xml:space="preserve"> budget och att inte medel </w:t>
      </w:r>
      <w:r w:rsidR="00D55FC2" w:rsidRPr="00E141CC">
        <w:t xml:space="preserve">förs över </w:t>
      </w:r>
      <w:r w:rsidR="001C731D" w:rsidRPr="00E141CC">
        <w:t>från pelare 1 till pelare 2</w:t>
      </w:r>
      <w:r w:rsidR="00FB3B42" w:rsidRPr="00E141CC">
        <w:t xml:space="preserve"> (LBU) eftersom detta skulle kunna resultera i urvattning av resurser på vinsektorns bekostnad</w:t>
      </w:r>
      <w:r w:rsidR="00F234FE" w:rsidRPr="00E141CC">
        <w:t xml:space="preserve">. </w:t>
      </w:r>
      <w:r w:rsidR="00D55FC2" w:rsidRPr="00E141CC">
        <w:t>EP</w:t>
      </w:r>
      <w:r w:rsidR="00F234FE" w:rsidRPr="00E141CC">
        <w:t xml:space="preserve"> begär att stödberättigade åtgärder ska s</w:t>
      </w:r>
      <w:r w:rsidR="00D55FC2" w:rsidRPr="00E141CC">
        <w:t>pecificeras tydligt för att garantera</w:t>
      </w:r>
      <w:r w:rsidR="00F234FE" w:rsidRPr="00E141CC">
        <w:t xml:space="preserve"> att medlen de facto används i vinsektorn. </w:t>
      </w:r>
      <w:r w:rsidR="00D55FC2" w:rsidRPr="00E141CC">
        <w:t>EP</w:t>
      </w:r>
      <w:r w:rsidR="00F234FE" w:rsidRPr="00E141CC">
        <w:t xml:space="preserve"> pekar på behovet av att göra vinsektorn mer konkurrenskraftig genom </w:t>
      </w:r>
      <w:r w:rsidR="004B63B9" w:rsidRPr="00E141CC">
        <w:t xml:space="preserve">i synnerhet </w:t>
      </w:r>
      <w:r w:rsidR="00F234FE" w:rsidRPr="00E141CC">
        <w:t>marknadsföring</w:t>
      </w:r>
      <w:r w:rsidR="000222C9" w:rsidRPr="00E141CC">
        <w:t xml:space="preserve"> av vin.</w:t>
      </w:r>
      <w:r w:rsidR="00D55FC2" w:rsidRPr="00E141CC">
        <w:t xml:space="preserve"> Vidare är det enligt EP viktigt att beakta att</w:t>
      </w:r>
      <w:r w:rsidR="00F234FE" w:rsidRPr="00E141CC">
        <w:t xml:space="preserve"> många vinodlinsområden är viktiga ur kulturella, turist- och miljömässiga aspekter varför det är vikigt att vinproduktion får fortgå i dessa områden. Gällande definitiv avveckling av vinodlingsarealer </w:t>
      </w:r>
      <w:r w:rsidR="0070464B" w:rsidRPr="00E141CC">
        <w:t xml:space="preserve">(röjning), anser </w:t>
      </w:r>
      <w:r w:rsidR="00D16033" w:rsidRPr="00E141CC">
        <w:t>EP</w:t>
      </w:r>
      <w:r w:rsidR="0070464B" w:rsidRPr="00E141CC">
        <w:t xml:space="preserve"> att denna åtgärd skulle allvarligt skada den </w:t>
      </w:r>
      <w:r w:rsidR="00B13A2B" w:rsidRPr="00E141CC">
        <w:t>socioekonomiska</w:t>
      </w:r>
      <w:r w:rsidR="0070464B" w:rsidRPr="00E141CC">
        <w:t xml:space="preserve"> situationen i vissa europeiska regioner och att detta skulle ge upphov till </w:t>
      </w:r>
      <w:r w:rsidR="005A6910" w:rsidRPr="00E141CC">
        <w:t>ökad produktion i länder utanför EU</w:t>
      </w:r>
      <w:r w:rsidR="00B20F97" w:rsidRPr="00E141CC">
        <w:t xml:space="preserve"> (EU har redan förlorat </w:t>
      </w:r>
      <w:r w:rsidR="00D557A3" w:rsidRPr="00E141CC">
        <w:t>marknadsandelar</w:t>
      </w:r>
      <w:r w:rsidR="00B20F97" w:rsidRPr="00E141CC">
        <w:t>)</w:t>
      </w:r>
      <w:r w:rsidR="005A6910" w:rsidRPr="00E141CC">
        <w:t xml:space="preserve">. </w:t>
      </w:r>
      <w:r w:rsidR="00B20F97" w:rsidRPr="00E141CC">
        <w:t>Det är också angeläget</w:t>
      </w:r>
      <w:r w:rsidR="005A6910" w:rsidRPr="00E141CC">
        <w:t xml:space="preserve"> att finna åtgärder som </w:t>
      </w:r>
      <w:r w:rsidR="005A6910" w:rsidRPr="00E141CC">
        <w:rPr>
          <w:u w:val="single"/>
        </w:rPr>
        <w:t>moderniserar</w:t>
      </w:r>
      <w:r w:rsidR="005A6910" w:rsidRPr="00E141CC">
        <w:t xml:space="preserve"> </w:t>
      </w:r>
      <w:r w:rsidR="00B20F97" w:rsidRPr="00E141CC">
        <w:t xml:space="preserve">de </w:t>
      </w:r>
      <w:r w:rsidR="005A6910" w:rsidRPr="00E141CC">
        <w:t>tillverkningsmetoder</w:t>
      </w:r>
      <w:r w:rsidR="00B20F97" w:rsidRPr="00E141CC">
        <w:t xml:space="preserve"> som används  i</w:t>
      </w:r>
      <w:r w:rsidR="005A6910" w:rsidRPr="00E141CC">
        <w:t xml:space="preserve"> EU:s vinproduktion, </w:t>
      </w:r>
      <w:r w:rsidR="00B20F97" w:rsidRPr="00E141CC">
        <w:t xml:space="preserve">modernare </w:t>
      </w:r>
      <w:r w:rsidR="005A6910" w:rsidRPr="00E141CC">
        <w:t xml:space="preserve">marknadsföringsmetoder </w:t>
      </w:r>
      <w:r w:rsidR="00B20F97" w:rsidRPr="00E141CC">
        <w:t>samt</w:t>
      </w:r>
      <w:r w:rsidR="005A6910" w:rsidRPr="00E141CC">
        <w:t xml:space="preserve"> märkning</w:t>
      </w:r>
      <w:r w:rsidR="00B20F97" w:rsidRPr="00E141CC">
        <w:t>sregler</w:t>
      </w:r>
      <w:r w:rsidR="005A6910" w:rsidRPr="00E141CC">
        <w:t xml:space="preserve">. </w:t>
      </w:r>
      <w:r w:rsidR="00B20F97" w:rsidRPr="00E141CC">
        <w:t>R</w:t>
      </w:r>
      <w:r w:rsidR="005A6910" w:rsidRPr="00E141CC">
        <w:t xml:space="preserve">eformen </w:t>
      </w:r>
      <w:r w:rsidR="00B20F97" w:rsidRPr="00E141CC">
        <w:t>bör</w:t>
      </w:r>
      <w:r w:rsidR="005A6910" w:rsidRPr="00E141CC">
        <w:t xml:space="preserve"> genomföras stegvis med </w:t>
      </w:r>
      <w:r w:rsidR="00B20F97" w:rsidRPr="00E141CC">
        <w:t xml:space="preserve">inslag av bl.a </w:t>
      </w:r>
      <w:r w:rsidR="005A6910" w:rsidRPr="00E141CC">
        <w:t xml:space="preserve">överföringsperioder. </w:t>
      </w:r>
    </w:p>
    <w:p w14:paraId="6D311610" w14:textId="77777777" w:rsidR="002E692A" w:rsidRPr="00E141CC" w:rsidRDefault="002E692A">
      <w:pPr>
        <w:pStyle w:val="RKrubrik"/>
        <w:rPr>
          <w:i/>
          <w:iCs/>
        </w:rPr>
      </w:pPr>
      <w:r w:rsidRPr="00E141CC">
        <w:rPr>
          <w:i/>
          <w:iCs/>
        </w:rPr>
        <w:t>Förslaget</w:t>
      </w:r>
    </w:p>
    <w:p w14:paraId="0F28667E" w14:textId="77777777" w:rsidR="00875F5D" w:rsidRPr="00E141CC" w:rsidRDefault="00652FA0" w:rsidP="00652FA0">
      <w:pPr>
        <w:pStyle w:val="Brdtext"/>
        <w:ind w:left="0"/>
        <w:rPr>
          <w:rFonts w:ascii="OrigGarmnd BT" w:hAnsi="OrigGarmnd BT"/>
        </w:rPr>
      </w:pPr>
      <w:r w:rsidRPr="00E141CC">
        <w:rPr>
          <w:rFonts w:ascii="OrigGarmnd BT" w:hAnsi="OrigGarmnd BT"/>
        </w:rPr>
        <w:t xml:space="preserve">Förslaget är en djupgående reform av </w:t>
      </w:r>
      <w:r w:rsidR="00AA0F61" w:rsidRPr="00E141CC">
        <w:rPr>
          <w:rFonts w:ascii="OrigGarmnd BT" w:hAnsi="OrigGarmnd BT"/>
        </w:rPr>
        <w:t>marknadsordningen</w:t>
      </w:r>
      <w:r w:rsidRPr="00E141CC">
        <w:rPr>
          <w:rFonts w:ascii="OrigGarmnd BT" w:hAnsi="OrigGarmnd BT"/>
        </w:rPr>
        <w:t xml:space="preserve"> för vin i två steg. I första fasen skapas marknadsbalans och i andra fasen förbättras konkurrenskraften inklusive att planteringsrestriktionerna tas bort efter år 2013. Förslaget liknar den reform som gjorts av sockersektorn. </w:t>
      </w:r>
    </w:p>
    <w:p w14:paraId="1BF09ADC" w14:textId="77777777" w:rsidR="00875F5D" w:rsidRPr="00E141CC" w:rsidRDefault="00652FA0" w:rsidP="00652FA0">
      <w:pPr>
        <w:pStyle w:val="Brdtext"/>
        <w:ind w:left="0"/>
        <w:rPr>
          <w:rFonts w:ascii="OrigGarmnd BT" w:hAnsi="OrigGarmnd BT"/>
        </w:rPr>
      </w:pPr>
      <w:r w:rsidRPr="00E141CC">
        <w:rPr>
          <w:rFonts w:ascii="OrigGarmnd BT" w:hAnsi="OrigGarmnd BT"/>
        </w:rPr>
        <w:t xml:space="preserve">Grunden i förslaget är att </w:t>
      </w:r>
      <w:r w:rsidR="000A5A83" w:rsidRPr="00E141CC">
        <w:rPr>
          <w:rFonts w:ascii="OrigGarmnd BT" w:hAnsi="OrigGarmnd BT"/>
        </w:rPr>
        <w:t>åstadkomma</w:t>
      </w:r>
      <w:r w:rsidRPr="00E141CC">
        <w:rPr>
          <w:rFonts w:ascii="OrigGarmnd BT" w:hAnsi="OrigGarmnd BT"/>
        </w:rPr>
        <w:t xml:space="preserve"> en strukturell anpassning genom att göra </w:t>
      </w:r>
      <w:r w:rsidRPr="00E141CC">
        <w:rPr>
          <w:rFonts w:ascii="OrigGarmnd BT" w:hAnsi="OrigGarmnd BT"/>
          <w:b/>
        </w:rPr>
        <w:t xml:space="preserve">röjningsbidraget </w:t>
      </w:r>
      <w:r w:rsidRPr="00E141CC">
        <w:rPr>
          <w:rFonts w:ascii="OrigGarmnd BT" w:hAnsi="OrigGarmnd BT"/>
        </w:rPr>
        <w:t xml:space="preserve">mer attraktivt och </w:t>
      </w:r>
      <w:r w:rsidRPr="00E141CC">
        <w:rPr>
          <w:rFonts w:ascii="OrigGarmnd BT" w:hAnsi="OrigGarmnd BT"/>
          <w:b/>
        </w:rPr>
        <w:t xml:space="preserve">målet är att ca 200 000 ha röjs </w:t>
      </w:r>
      <w:r w:rsidRPr="00E141CC">
        <w:rPr>
          <w:rFonts w:ascii="OrigGarmnd BT" w:hAnsi="OrigGarmnd BT"/>
        </w:rPr>
        <w:t xml:space="preserve">till en maximal kostnad på 1 070 miljoner euro. Röjningen är frivillig och bidraget betalas ut enligt fallande skala fram till år 2013. Systemet med planteringsrätter skall gälla t.o.m. år 2013. </w:t>
      </w:r>
    </w:p>
    <w:p w14:paraId="7871AE67" w14:textId="77777777" w:rsidR="00652FA0" w:rsidRPr="00E141CC" w:rsidRDefault="00652FA0" w:rsidP="00652FA0">
      <w:pPr>
        <w:pStyle w:val="Brdtext"/>
        <w:ind w:left="0"/>
        <w:rPr>
          <w:rFonts w:ascii="OrigGarmnd BT" w:hAnsi="OrigGarmnd BT"/>
        </w:rPr>
      </w:pPr>
      <w:r w:rsidRPr="00E141CC">
        <w:rPr>
          <w:rFonts w:ascii="OrigGarmnd BT" w:hAnsi="OrigGarmnd BT"/>
        </w:rPr>
        <w:t xml:space="preserve">All vinareal ska vara berättigad till det frikopplade gårdsstödet, även den vinareal som röjts. </w:t>
      </w:r>
      <w:r w:rsidRPr="00E141CC">
        <w:rPr>
          <w:rFonts w:ascii="OrigGarmnd BT" w:hAnsi="OrigGarmnd BT"/>
          <w:b/>
        </w:rPr>
        <w:t>Nuvarande marknadsreglerande åtgärder som destillationsstöd, stöd till privat lagring samt druvmuststöd tas bort direkt.</w:t>
      </w:r>
      <w:r w:rsidRPr="00E141CC">
        <w:rPr>
          <w:rFonts w:ascii="OrigGarmnd BT" w:hAnsi="OrigGarmnd BT"/>
        </w:rPr>
        <w:t xml:space="preserve"> </w:t>
      </w:r>
      <w:r w:rsidRPr="00E141CC">
        <w:rPr>
          <w:rFonts w:ascii="OrigGarmnd BT" w:hAnsi="OrigGarmnd BT"/>
          <w:b/>
        </w:rPr>
        <w:t>Budgeten ska dock bibehållas</w:t>
      </w:r>
      <w:r w:rsidRPr="00E141CC">
        <w:rPr>
          <w:rFonts w:ascii="OrigGarmnd BT" w:hAnsi="OrigGarmnd BT"/>
        </w:rPr>
        <w:t xml:space="preserve"> och från år 2014, när reformen är genomförd i sin helhet, kommer pengarna fördelas enligt följande:</w:t>
      </w:r>
    </w:p>
    <w:tbl>
      <w:tblPr>
        <w:tblW w:w="0" w:type="auto"/>
        <w:tblBorders>
          <w:top w:val="single" w:sz="12" w:space="0" w:color="008000"/>
          <w:left w:val="nil"/>
          <w:bottom w:val="single" w:sz="12" w:space="0" w:color="008000"/>
          <w:right w:val="nil"/>
          <w:insideH w:val="nil"/>
          <w:insideV w:val="nil"/>
        </w:tblBorders>
        <w:tblCellMar>
          <w:left w:w="70" w:type="dxa"/>
          <w:right w:w="70" w:type="dxa"/>
        </w:tblCellMar>
        <w:tblLook w:val="00BF" w:firstRow="1" w:lastRow="0" w:firstColumn="1" w:lastColumn="0" w:noHBand="0" w:noVBand="0"/>
      </w:tblPr>
      <w:tblGrid>
        <w:gridCol w:w="3383"/>
        <w:gridCol w:w="2994"/>
      </w:tblGrid>
      <w:tr w:rsidR="00652FA0" w:rsidRPr="00E141CC" w14:paraId="631CFC7D" w14:textId="77777777" w:rsidTr="00DD427D">
        <w:tblPrEx>
          <w:tblCellMar>
            <w:top w:w="0" w:type="dxa"/>
            <w:bottom w:w="0" w:type="dxa"/>
          </w:tblCellMar>
        </w:tblPrEx>
        <w:tc>
          <w:tcPr>
            <w:tcW w:w="3383" w:type="dxa"/>
            <w:tcBorders>
              <w:bottom w:val="single" w:sz="6" w:space="0" w:color="008000"/>
            </w:tcBorders>
          </w:tcPr>
          <w:p w14:paraId="3C3CA65F" w14:textId="77777777" w:rsidR="00652FA0" w:rsidRPr="00E141CC" w:rsidRDefault="00652FA0" w:rsidP="00DD427D">
            <w:pPr>
              <w:pStyle w:val="Brdtext"/>
              <w:ind w:left="0"/>
              <w:rPr>
                <w:rFonts w:ascii="OrigGarmnd BT" w:hAnsi="OrigGarmnd BT"/>
                <w:b/>
                <w:bCs/>
              </w:rPr>
            </w:pPr>
            <w:r w:rsidRPr="00E141CC">
              <w:rPr>
                <w:rFonts w:ascii="OrigGarmnd BT" w:hAnsi="OrigGarmnd BT"/>
                <w:b/>
                <w:bCs/>
              </w:rPr>
              <w:t>Åtgärd</w:t>
            </w:r>
          </w:p>
        </w:tc>
        <w:tc>
          <w:tcPr>
            <w:tcW w:w="2994" w:type="dxa"/>
            <w:tcBorders>
              <w:bottom w:val="single" w:sz="6" w:space="0" w:color="008000"/>
            </w:tcBorders>
          </w:tcPr>
          <w:p w14:paraId="7DC75536" w14:textId="77777777" w:rsidR="00652FA0" w:rsidRPr="00E141CC" w:rsidRDefault="00652FA0" w:rsidP="00DD427D">
            <w:pPr>
              <w:pStyle w:val="Brdtext"/>
              <w:ind w:left="0"/>
              <w:jc w:val="center"/>
              <w:rPr>
                <w:rFonts w:ascii="OrigGarmnd BT" w:hAnsi="OrigGarmnd BT"/>
                <w:b/>
                <w:bCs/>
              </w:rPr>
            </w:pPr>
            <w:r w:rsidRPr="00E141CC">
              <w:rPr>
                <w:rFonts w:ascii="OrigGarmnd BT" w:hAnsi="OrigGarmnd BT"/>
                <w:b/>
                <w:bCs/>
              </w:rPr>
              <w:t>Kostnad (miljoner euro)</w:t>
            </w:r>
          </w:p>
        </w:tc>
      </w:tr>
      <w:tr w:rsidR="00652FA0" w:rsidRPr="00E141CC" w14:paraId="76D381A2" w14:textId="77777777" w:rsidTr="00DD427D">
        <w:tblPrEx>
          <w:tblCellMar>
            <w:top w:w="0" w:type="dxa"/>
            <w:bottom w:w="0" w:type="dxa"/>
          </w:tblCellMar>
        </w:tblPrEx>
        <w:tc>
          <w:tcPr>
            <w:tcW w:w="3383" w:type="dxa"/>
            <w:tcBorders>
              <w:top w:val="single" w:sz="6" w:space="0" w:color="008000"/>
            </w:tcBorders>
          </w:tcPr>
          <w:p w14:paraId="6A0F3B9F" w14:textId="77777777" w:rsidR="00652FA0" w:rsidRPr="00E141CC" w:rsidRDefault="00652FA0" w:rsidP="00DD427D">
            <w:pPr>
              <w:pStyle w:val="Brdtext"/>
              <w:ind w:left="0"/>
              <w:rPr>
                <w:rFonts w:ascii="OrigGarmnd BT" w:hAnsi="OrigGarmnd BT"/>
              </w:rPr>
            </w:pPr>
            <w:r w:rsidRPr="00E141CC">
              <w:rPr>
                <w:rFonts w:ascii="OrigGarmnd BT" w:hAnsi="OrigGarmnd BT"/>
              </w:rPr>
              <w:t>Nationella kuvert</w:t>
            </w:r>
          </w:p>
        </w:tc>
        <w:tc>
          <w:tcPr>
            <w:tcW w:w="2994" w:type="dxa"/>
            <w:tcBorders>
              <w:top w:val="single" w:sz="6" w:space="0" w:color="008000"/>
            </w:tcBorders>
          </w:tcPr>
          <w:p w14:paraId="656F3866" w14:textId="77777777" w:rsidR="00652FA0" w:rsidRPr="00E141CC" w:rsidRDefault="00652FA0" w:rsidP="00DD427D">
            <w:pPr>
              <w:pStyle w:val="Brdtext"/>
              <w:ind w:left="0"/>
              <w:jc w:val="center"/>
              <w:rPr>
                <w:rFonts w:ascii="OrigGarmnd BT" w:hAnsi="OrigGarmnd BT"/>
              </w:rPr>
            </w:pPr>
            <w:r w:rsidRPr="00E141CC">
              <w:rPr>
                <w:rFonts w:ascii="OrigGarmnd BT" w:hAnsi="OrigGarmnd BT"/>
              </w:rPr>
              <w:t>830</w:t>
            </w:r>
          </w:p>
        </w:tc>
      </w:tr>
      <w:tr w:rsidR="00652FA0" w:rsidRPr="00E141CC" w14:paraId="0FE4BC53" w14:textId="77777777" w:rsidTr="00DD427D">
        <w:tblPrEx>
          <w:tblCellMar>
            <w:top w:w="0" w:type="dxa"/>
            <w:bottom w:w="0" w:type="dxa"/>
          </w:tblCellMar>
        </w:tblPrEx>
        <w:tc>
          <w:tcPr>
            <w:tcW w:w="3383" w:type="dxa"/>
          </w:tcPr>
          <w:p w14:paraId="2B21293A" w14:textId="77777777" w:rsidR="00652FA0" w:rsidRPr="00E141CC" w:rsidRDefault="00652FA0" w:rsidP="00DD427D">
            <w:pPr>
              <w:pStyle w:val="Brdtext"/>
              <w:ind w:left="0"/>
              <w:rPr>
                <w:rFonts w:ascii="OrigGarmnd BT" w:hAnsi="OrigGarmnd BT"/>
              </w:rPr>
            </w:pPr>
            <w:r w:rsidRPr="00E141CC">
              <w:rPr>
                <w:rFonts w:ascii="OrigGarmnd BT" w:hAnsi="OrigGarmnd BT"/>
              </w:rPr>
              <w:t>Frikopplade stöd</w:t>
            </w:r>
          </w:p>
        </w:tc>
        <w:tc>
          <w:tcPr>
            <w:tcW w:w="2994" w:type="dxa"/>
          </w:tcPr>
          <w:p w14:paraId="323755D6" w14:textId="77777777" w:rsidR="00652FA0" w:rsidRPr="00E141CC" w:rsidRDefault="00652FA0" w:rsidP="00DD427D">
            <w:pPr>
              <w:pStyle w:val="Brdtext"/>
              <w:ind w:left="0"/>
              <w:jc w:val="center"/>
              <w:rPr>
                <w:rFonts w:ascii="OrigGarmnd BT" w:hAnsi="OrigGarmnd BT"/>
              </w:rPr>
            </w:pPr>
            <w:r w:rsidRPr="00E141CC">
              <w:rPr>
                <w:rFonts w:ascii="OrigGarmnd BT" w:hAnsi="OrigGarmnd BT"/>
              </w:rPr>
              <w:t>70</w:t>
            </w:r>
          </w:p>
        </w:tc>
      </w:tr>
      <w:tr w:rsidR="00652FA0" w:rsidRPr="00E141CC" w14:paraId="3498A683" w14:textId="77777777" w:rsidTr="00DD427D">
        <w:tblPrEx>
          <w:tblCellMar>
            <w:top w:w="0" w:type="dxa"/>
            <w:bottom w:w="0" w:type="dxa"/>
          </w:tblCellMar>
        </w:tblPrEx>
        <w:tc>
          <w:tcPr>
            <w:tcW w:w="3383" w:type="dxa"/>
          </w:tcPr>
          <w:p w14:paraId="55197DDD" w14:textId="77777777" w:rsidR="00652FA0" w:rsidRPr="00E141CC" w:rsidRDefault="00652FA0" w:rsidP="00DD427D">
            <w:pPr>
              <w:pStyle w:val="Brdtext"/>
              <w:ind w:left="0"/>
              <w:rPr>
                <w:rFonts w:ascii="OrigGarmnd BT" w:hAnsi="OrigGarmnd BT"/>
              </w:rPr>
            </w:pPr>
            <w:r w:rsidRPr="00E141CC">
              <w:rPr>
                <w:rFonts w:ascii="OrigGarmnd BT" w:hAnsi="OrigGarmnd BT"/>
              </w:rPr>
              <w:t>Överföring till landsbygdsutveckling</w:t>
            </w:r>
          </w:p>
        </w:tc>
        <w:tc>
          <w:tcPr>
            <w:tcW w:w="2994" w:type="dxa"/>
          </w:tcPr>
          <w:p w14:paraId="4DFE6C96" w14:textId="77777777" w:rsidR="00652FA0" w:rsidRPr="00E141CC" w:rsidRDefault="00652FA0" w:rsidP="00DD427D">
            <w:pPr>
              <w:pStyle w:val="Brdtext"/>
              <w:ind w:left="0"/>
              <w:jc w:val="center"/>
              <w:rPr>
                <w:rFonts w:ascii="OrigGarmnd BT" w:hAnsi="OrigGarmnd BT"/>
              </w:rPr>
            </w:pPr>
            <w:r w:rsidRPr="00E141CC">
              <w:rPr>
                <w:rFonts w:ascii="OrigGarmnd BT" w:hAnsi="OrigGarmnd BT"/>
              </w:rPr>
              <w:t>400</w:t>
            </w:r>
          </w:p>
        </w:tc>
      </w:tr>
      <w:tr w:rsidR="00652FA0" w:rsidRPr="00E141CC" w14:paraId="50363147" w14:textId="77777777" w:rsidTr="00DD427D">
        <w:tblPrEx>
          <w:tblCellMar>
            <w:top w:w="0" w:type="dxa"/>
            <w:bottom w:w="0" w:type="dxa"/>
          </w:tblCellMar>
        </w:tblPrEx>
        <w:tc>
          <w:tcPr>
            <w:tcW w:w="3383" w:type="dxa"/>
          </w:tcPr>
          <w:p w14:paraId="5F38B845" w14:textId="77777777" w:rsidR="00652FA0" w:rsidRPr="00E141CC" w:rsidRDefault="00652FA0" w:rsidP="00DD427D">
            <w:pPr>
              <w:pStyle w:val="Brdtext"/>
              <w:ind w:left="0"/>
              <w:rPr>
                <w:rFonts w:ascii="OrigGarmnd BT" w:hAnsi="OrigGarmnd BT"/>
                <w:b/>
                <w:bCs/>
              </w:rPr>
            </w:pPr>
            <w:r w:rsidRPr="00E141CC">
              <w:rPr>
                <w:rFonts w:ascii="OrigGarmnd BT" w:hAnsi="OrigGarmnd BT"/>
                <w:b/>
                <w:bCs/>
              </w:rPr>
              <w:t>Totalt</w:t>
            </w:r>
          </w:p>
        </w:tc>
        <w:tc>
          <w:tcPr>
            <w:tcW w:w="2994" w:type="dxa"/>
          </w:tcPr>
          <w:p w14:paraId="1E021040" w14:textId="77777777" w:rsidR="00652FA0" w:rsidRPr="00E141CC" w:rsidRDefault="00652FA0" w:rsidP="00DD427D">
            <w:pPr>
              <w:pStyle w:val="Brdtext"/>
              <w:ind w:left="0"/>
              <w:jc w:val="center"/>
              <w:rPr>
                <w:rFonts w:ascii="OrigGarmnd BT" w:hAnsi="OrigGarmnd BT"/>
                <w:b/>
                <w:bCs/>
              </w:rPr>
            </w:pPr>
            <w:r w:rsidRPr="00E141CC">
              <w:rPr>
                <w:rFonts w:ascii="OrigGarmnd BT" w:hAnsi="OrigGarmnd BT"/>
                <w:b/>
                <w:bCs/>
              </w:rPr>
              <w:t>1 300</w:t>
            </w:r>
          </w:p>
        </w:tc>
      </w:tr>
    </w:tbl>
    <w:p w14:paraId="4A0D5C51" w14:textId="77777777" w:rsidR="00652FA0" w:rsidRPr="00E141CC" w:rsidRDefault="00652FA0" w:rsidP="00652FA0">
      <w:pPr>
        <w:pStyle w:val="Brdtext"/>
        <w:rPr>
          <w:rFonts w:ascii="OrigGarmnd BT" w:hAnsi="OrigGarmnd BT"/>
        </w:rPr>
      </w:pPr>
    </w:p>
    <w:p w14:paraId="7D9B5C00" w14:textId="77777777" w:rsidR="00652FA0" w:rsidRPr="00E141CC" w:rsidRDefault="00652FA0" w:rsidP="00652FA0">
      <w:pPr>
        <w:pStyle w:val="Brdtext"/>
        <w:ind w:left="0"/>
        <w:rPr>
          <w:rFonts w:ascii="OrigGarmnd BT" w:hAnsi="OrigGarmnd BT"/>
        </w:rPr>
      </w:pPr>
      <w:r w:rsidRPr="00E141CC">
        <w:rPr>
          <w:rFonts w:ascii="OrigGarmnd BT" w:hAnsi="OrigGarmnd BT"/>
          <w:b/>
        </w:rPr>
        <w:t>De nationella kuverten</w:t>
      </w:r>
      <w:r w:rsidRPr="00E141CC">
        <w:rPr>
          <w:rFonts w:ascii="OrigGarmnd BT" w:hAnsi="OrigGarmnd BT"/>
        </w:rPr>
        <w:t xml:space="preserve"> kommer att innehålla </w:t>
      </w:r>
      <w:r w:rsidR="000A5A83" w:rsidRPr="00E141CC">
        <w:rPr>
          <w:rFonts w:ascii="OrigGarmnd BT" w:hAnsi="OrigGarmnd BT"/>
        </w:rPr>
        <w:t>möjligheter att ge stöd till bland annat</w:t>
      </w:r>
      <w:r w:rsidRPr="00E141CC">
        <w:rPr>
          <w:rFonts w:ascii="OrigGarmnd BT" w:hAnsi="OrigGarmnd BT"/>
        </w:rPr>
        <w:t xml:space="preserve"> omstrukturering, marknadsföring i tredje land, ”green harvest” </w:t>
      </w:r>
      <w:r w:rsidR="000A5A83" w:rsidRPr="00E141CC">
        <w:rPr>
          <w:rFonts w:ascii="OrigGarmnd BT" w:hAnsi="OrigGarmnd BT"/>
        </w:rPr>
        <w:t>(</w:t>
      </w:r>
      <w:r w:rsidRPr="00E141CC">
        <w:rPr>
          <w:rFonts w:ascii="OrigGarmnd BT" w:hAnsi="OrigGarmnd BT"/>
        </w:rPr>
        <w:t>destruktion av växande druvor</w:t>
      </w:r>
      <w:r w:rsidR="000A5A83" w:rsidRPr="00E141CC">
        <w:rPr>
          <w:rFonts w:ascii="OrigGarmnd BT" w:hAnsi="OrigGarmnd BT"/>
        </w:rPr>
        <w:t>)</w:t>
      </w:r>
      <w:r w:rsidRPr="00E141CC">
        <w:rPr>
          <w:rFonts w:ascii="OrigGarmnd BT" w:hAnsi="OrigGarmnd BT"/>
        </w:rPr>
        <w:t xml:space="preserve"> samt krishantering (försäkring mot naturkatastrofer och stöd till uppbyggnad av en sektorspecifik gemensam fond eller s.k. utjämningsfond). De nationella programmen ska godkännas av kommissionen före ikraftträdande.</w:t>
      </w:r>
    </w:p>
    <w:p w14:paraId="4C255E44" w14:textId="77777777" w:rsidR="007D0D9F" w:rsidRPr="00E141CC" w:rsidRDefault="00652FA0" w:rsidP="00652FA0">
      <w:pPr>
        <w:pStyle w:val="Brdtext"/>
        <w:ind w:left="0"/>
        <w:rPr>
          <w:rFonts w:ascii="OrigGarmnd BT" w:hAnsi="OrigGarmnd BT"/>
        </w:rPr>
      </w:pPr>
      <w:r w:rsidRPr="00E141CC">
        <w:rPr>
          <w:rFonts w:ascii="OrigGarmnd BT" w:hAnsi="OrigGarmnd BT"/>
        </w:rPr>
        <w:t xml:space="preserve">Införandet av </w:t>
      </w:r>
      <w:r w:rsidRPr="00E141CC">
        <w:rPr>
          <w:rFonts w:ascii="OrigGarmnd BT" w:hAnsi="OrigGarmnd BT"/>
          <w:b/>
        </w:rPr>
        <w:t>frikopplade stöd</w:t>
      </w:r>
      <w:r w:rsidRPr="00E141CC">
        <w:rPr>
          <w:rFonts w:ascii="OrigGarmnd BT" w:hAnsi="OrigGarmnd BT"/>
        </w:rPr>
        <w:t xml:space="preserve"> till all vinareal innebär bättre </w:t>
      </w:r>
      <w:r w:rsidRPr="00E141CC">
        <w:rPr>
          <w:rFonts w:ascii="OrigGarmnd BT" w:hAnsi="OrigGarmnd BT"/>
          <w:b/>
        </w:rPr>
        <w:t>miljöhänsyn</w:t>
      </w:r>
      <w:r w:rsidRPr="00E141CC">
        <w:rPr>
          <w:rFonts w:ascii="OrigGarmnd BT" w:hAnsi="OrigGarmnd BT"/>
        </w:rPr>
        <w:t xml:space="preserve">, eftersom vinarealen kopplas till de så kallade </w:t>
      </w:r>
      <w:r w:rsidRPr="00E141CC">
        <w:rPr>
          <w:rFonts w:ascii="OrigGarmnd BT" w:hAnsi="OrigGarmnd BT"/>
          <w:b/>
        </w:rPr>
        <w:t>tvärvillkoren</w:t>
      </w:r>
      <w:r w:rsidRPr="00E141CC">
        <w:rPr>
          <w:rFonts w:ascii="OrigGarmnd BT" w:hAnsi="OrigGarmnd BT"/>
        </w:rPr>
        <w:t>. Stödet kommer att bli förhållandevis litet i förhållande till hela vinbudgeten (70 miljoner euro). Det framgår inte i förslaget hur stöden</w:t>
      </w:r>
      <w:r w:rsidR="007D0D9F" w:rsidRPr="00E141CC">
        <w:rPr>
          <w:rFonts w:ascii="OrigGarmnd BT" w:hAnsi="OrigGarmnd BT"/>
        </w:rPr>
        <w:t xml:space="preserve"> skall fördelas. </w:t>
      </w:r>
    </w:p>
    <w:p w14:paraId="509E30B1" w14:textId="77777777" w:rsidR="00652FA0" w:rsidRPr="00E141CC" w:rsidRDefault="00652FA0" w:rsidP="00652FA0">
      <w:pPr>
        <w:pStyle w:val="Brdtext"/>
        <w:ind w:left="0"/>
        <w:rPr>
          <w:rFonts w:ascii="OrigGarmnd BT" w:hAnsi="OrigGarmnd BT"/>
        </w:rPr>
      </w:pPr>
      <w:r w:rsidRPr="00E141CC">
        <w:rPr>
          <w:rFonts w:ascii="OrigGarmnd BT" w:hAnsi="OrigGarmnd BT"/>
          <w:b/>
        </w:rPr>
        <w:t xml:space="preserve">Överföring av medel till </w:t>
      </w:r>
      <w:r w:rsidR="000A5A83" w:rsidRPr="00E141CC">
        <w:rPr>
          <w:rFonts w:ascii="OrigGarmnd BT" w:hAnsi="OrigGarmnd BT"/>
          <w:b/>
        </w:rPr>
        <w:t>landsbygdsåtgärder</w:t>
      </w:r>
      <w:r w:rsidRPr="00E141CC">
        <w:rPr>
          <w:rFonts w:ascii="OrigGarmnd BT" w:hAnsi="OrigGarmnd BT"/>
          <w:b/>
        </w:rPr>
        <w:t xml:space="preserve"> </w:t>
      </w:r>
      <w:r w:rsidRPr="00E141CC">
        <w:rPr>
          <w:rFonts w:ascii="OrigGarmnd BT" w:hAnsi="OrigGarmnd BT"/>
        </w:rPr>
        <w:t>motsvarande 400 miljoner euro.</w:t>
      </w:r>
      <w:r w:rsidRPr="00E141CC">
        <w:rPr>
          <w:rFonts w:ascii="OrigGarmnd BT" w:hAnsi="OrigGarmnd BT"/>
          <w:b/>
        </w:rPr>
        <w:t xml:space="preserve"> </w:t>
      </w:r>
      <w:r w:rsidRPr="00E141CC">
        <w:rPr>
          <w:rFonts w:ascii="OrigGarmnd BT" w:hAnsi="OrigGarmnd BT"/>
        </w:rPr>
        <w:t>LBU-</w:t>
      </w:r>
      <w:r w:rsidRPr="00E141CC">
        <w:rPr>
          <w:rFonts w:ascii="OrigGarmnd BT" w:hAnsi="OrigGarmnd BT"/>
          <w:b/>
        </w:rPr>
        <w:t>s</w:t>
      </w:r>
      <w:r w:rsidRPr="00E141CC">
        <w:rPr>
          <w:rFonts w:ascii="OrigGarmnd BT" w:hAnsi="OrigGarmnd BT"/>
        </w:rPr>
        <w:t>töd kan t.ex. innehålla yrkesvägledning, information och marknadsföringsstöd till producentorganisationer efter kvalitetssäkr</w:t>
      </w:r>
      <w:r w:rsidR="00014546" w:rsidRPr="00E141CC">
        <w:rPr>
          <w:rFonts w:ascii="OrigGarmnd BT" w:hAnsi="OrigGarmnd BT"/>
        </w:rPr>
        <w:t>ing</w:t>
      </w:r>
      <w:r w:rsidRPr="00E141CC">
        <w:rPr>
          <w:rFonts w:ascii="OrigGarmnd BT" w:hAnsi="OrigGarmnd BT"/>
        </w:rPr>
        <w:t xml:space="preserve">, miljöåtgärder </w:t>
      </w:r>
      <w:r w:rsidR="00014546" w:rsidRPr="00E141CC">
        <w:rPr>
          <w:rFonts w:ascii="OrigGarmnd BT" w:hAnsi="OrigGarmnd BT"/>
        </w:rPr>
        <w:t>samt</w:t>
      </w:r>
      <w:r w:rsidRPr="00E141CC">
        <w:rPr>
          <w:rFonts w:ascii="OrigGarmnd BT" w:hAnsi="OrigGarmnd BT"/>
        </w:rPr>
        <w:t xml:space="preserve"> förtidspensionering. </w:t>
      </w:r>
    </w:p>
    <w:p w14:paraId="5FBED5E8" w14:textId="77777777" w:rsidR="00652FA0" w:rsidRPr="00E141CC" w:rsidRDefault="00652FA0" w:rsidP="00652FA0">
      <w:pPr>
        <w:pStyle w:val="Brdtext"/>
        <w:ind w:left="0"/>
        <w:rPr>
          <w:rFonts w:ascii="OrigGarmnd BT" w:hAnsi="OrigGarmnd BT"/>
        </w:rPr>
      </w:pPr>
      <w:r w:rsidRPr="00E141CC">
        <w:rPr>
          <w:rFonts w:ascii="OrigGarmnd BT" w:hAnsi="OrigGarmnd BT"/>
        </w:rPr>
        <w:t xml:space="preserve">Vidare innehåller förslaget </w:t>
      </w:r>
      <w:r w:rsidRPr="00E141CC">
        <w:rPr>
          <w:rFonts w:ascii="OrigGarmnd BT" w:hAnsi="OrigGarmnd BT"/>
          <w:b/>
        </w:rPr>
        <w:t>förenklingar</w:t>
      </w:r>
      <w:r w:rsidRPr="00E141CC">
        <w:rPr>
          <w:rFonts w:ascii="OrigGarmnd BT" w:hAnsi="OrigGarmnd BT"/>
        </w:rPr>
        <w:t xml:space="preserve"> när det gäller regler kring tillverkningsmetoder, ana</w:t>
      </w:r>
      <w:r w:rsidR="00111427" w:rsidRPr="00E141CC">
        <w:rPr>
          <w:rFonts w:ascii="OrigGarmnd BT" w:hAnsi="OrigGarmnd BT"/>
        </w:rPr>
        <w:t xml:space="preserve">lysmetoder och märkning. Internationella vinorganisationens (OIV) </w:t>
      </w:r>
      <w:r w:rsidRPr="00E141CC">
        <w:rPr>
          <w:rFonts w:ascii="OrigGarmnd BT" w:hAnsi="OrigGarmnd BT"/>
        </w:rPr>
        <w:t xml:space="preserve">reglerna om tillverkningsmetoder ska godkännas av </w:t>
      </w:r>
      <w:r w:rsidR="000A5A83" w:rsidRPr="00E141CC">
        <w:rPr>
          <w:rFonts w:ascii="OrigGarmnd BT" w:hAnsi="OrigGarmnd BT"/>
        </w:rPr>
        <w:t>kommissionen</w:t>
      </w:r>
      <w:r w:rsidRPr="00E141CC">
        <w:rPr>
          <w:rFonts w:ascii="OrigGarmnd BT" w:hAnsi="OrigGarmnd BT"/>
        </w:rPr>
        <w:t xml:space="preserve"> istället för </w:t>
      </w:r>
      <w:r w:rsidR="00FB27FF" w:rsidRPr="00E141CC">
        <w:rPr>
          <w:rFonts w:ascii="OrigGarmnd BT" w:hAnsi="OrigGarmnd BT"/>
        </w:rPr>
        <w:t xml:space="preserve">som idag av </w:t>
      </w:r>
      <w:r w:rsidRPr="00E141CC">
        <w:rPr>
          <w:rFonts w:ascii="OrigGarmnd BT" w:hAnsi="OrigGarmnd BT"/>
        </w:rPr>
        <w:t xml:space="preserve">rådet. Vidare föreslås att det skall bli möjligt att märka årgång och druvsort på alla viner. Tidigare krävdes en geografisk beteckning för detta. </w:t>
      </w:r>
    </w:p>
    <w:p w14:paraId="37211CCB" w14:textId="77777777" w:rsidR="00652FA0" w:rsidRPr="00E141CC" w:rsidRDefault="00652FA0" w:rsidP="00652FA0">
      <w:pPr>
        <w:pStyle w:val="Brdtext"/>
        <w:ind w:left="0"/>
        <w:rPr>
          <w:rFonts w:ascii="OrigGarmnd BT" w:hAnsi="OrigGarmnd BT"/>
        </w:rPr>
      </w:pPr>
      <w:r w:rsidRPr="00E141CC">
        <w:rPr>
          <w:rFonts w:ascii="OrigGarmnd BT" w:hAnsi="OrigGarmnd BT"/>
        </w:rPr>
        <w:t xml:space="preserve">Nya regler föreslås för </w:t>
      </w:r>
      <w:r w:rsidRPr="00E141CC">
        <w:rPr>
          <w:rFonts w:ascii="OrigGarmnd BT" w:hAnsi="OrigGarmnd BT"/>
          <w:b/>
        </w:rPr>
        <w:t>berikning av vin</w:t>
      </w:r>
      <w:r w:rsidRPr="00E141CC">
        <w:rPr>
          <w:rFonts w:ascii="OrigGarmnd BT" w:hAnsi="OrigGarmnd BT"/>
        </w:rPr>
        <w:t xml:space="preserve"> (metoden används för att höja alkoholhalten i vin). Höjning av alkoholhalten genom berikning blir endast tillåtet genom tillsats av </w:t>
      </w:r>
      <w:r w:rsidRPr="00E141CC">
        <w:rPr>
          <w:rFonts w:ascii="OrigGarmnd BT" w:hAnsi="OrigGarmnd BT"/>
          <w:b/>
        </w:rPr>
        <w:t>koncentrerad druvmust</w:t>
      </w:r>
      <w:r w:rsidRPr="00E141CC">
        <w:rPr>
          <w:rFonts w:ascii="OrigGarmnd BT" w:hAnsi="OrigGarmnd BT"/>
        </w:rPr>
        <w:t xml:space="preserve"> eller </w:t>
      </w:r>
      <w:r w:rsidRPr="00E141CC">
        <w:rPr>
          <w:rFonts w:ascii="OrigGarmnd BT" w:hAnsi="OrigGarmnd BT"/>
          <w:b/>
        </w:rPr>
        <w:t>koncentrerad rektifierad druvmust</w:t>
      </w:r>
      <w:r w:rsidRPr="00E141CC">
        <w:rPr>
          <w:rFonts w:ascii="OrigGarmnd BT" w:hAnsi="OrigGarmnd BT"/>
        </w:rPr>
        <w:t xml:space="preserve">, i nuläget är även </w:t>
      </w:r>
      <w:r w:rsidRPr="00E141CC">
        <w:rPr>
          <w:rFonts w:ascii="OrigGarmnd BT" w:hAnsi="OrigGarmnd BT"/>
          <w:b/>
        </w:rPr>
        <w:t>sackaros</w:t>
      </w:r>
      <w:r w:rsidRPr="00E141CC">
        <w:rPr>
          <w:rFonts w:ascii="OrigGarmnd BT" w:hAnsi="OrigGarmnd BT"/>
        </w:rPr>
        <w:t xml:space="preserve"> (socker) tillåtet. Härutöver föreslås är att i zon A, (</w:t>
      </w:r>
      <w:r w:rsidR="000A5A83" w:rsidRPr="00E141CC">
        <w:rPr>
          <w:rFonts w:ascii="OrigGarmnd BT" w:hAnsi="OrigGarmnd BT"/>
        </w:rPr>
        <w:t xml:space="preserve">den </w:t>
      </w:r>
      <w:r w:rsidRPr="00E141CC">
        <w:rPr>
          <w:rFonts w:ascii="OrigGarmnd BT" w:hAnsi="OrigGarmnd BT"/>
        </w:rPr>
        <w:t>kallare vinodlingszon dit även Sverige tillhör) får höjningen av alkoholhalten vara högst 2 vol</w:t>
      </w:r>
      <w:r w:rsidR="000A5A83" w:rsidRPr="00E141CC">
        <w:rPr>
          <w:rFonts w:ascii="OrigGarmnd BT" w:hAnsi="OrigGarmnd BT"/>
        </w:rPr>
        <w:t>ymprocent</w:t>
      </w:r>
      <w:r w:rsidRPr="00E141CC">
        <w:rPr>
          <w:rFonts w:ascii="OrigGarmnd BT" w:hAnsi="OrigGarmnd BT"/>
        </w:rPr>
        <w:t>. I nuläget är det tillåtet att höja högst 3,5 vol</w:t>
      </w:r>
      <w:r w:rsidR="000A5A83" w:rsidRPr="00E141CC">
        <w:rPr>
          <w:rFonts w:ascii="OrigGarmnd BT" w:hAnsi="OrigGarmnd BT"/>
        </w:rPr>
        <w:t>ymprocent</w:t>
      </w:r>
      <w:r w:rsidRPr="00E141CC">
        <w:rPr>
          <w:rFonts w:ascii="OrigGarmnd BT" w:hAnsi="OrigGarmnd BT"/>
        </w:rPr>
        <w:t xml:space="preserve">. </w:t>
      </w:r>
    </w:p>
    <w:p w14:paraId="0C5A66B9" w14:textId="77777777" w:rsidR="00652FA0" w:rsidRPr="00E141CC" w:rsidRDefault="00652FA0" w:rsidP="00652FA0">
      <w:pPr>
        <w:pStyle w:val="Brdtext"/>
        <w:ind w:left="0"/>
        <w:rPr>
          <w:rFonts w:ascii="OrigGarmnd BT" w:hAnsi="OrigGarmnd BT"/>
        </w:rPr>
      </w:pPr>
      <w:r w:rsidRPr="00E141CC">
        <w:rPr>
          <w:rFonts w:ascii="OrigGarmnd BT" w:hAnsi="OrigGarmnd BT"/>
        </w:rPr>
        <w:t xml:space="preserve">Även </w:t>
      </w:r>
      <w:r w:rsidRPr="00E141CC">
        <w:rPr>
          <w:rFonts w:ascii="OrigGarmnd BT" w:hAnsi="OrigGarmnd BT"/>
          <w:b/>
        </w:rPr>
        <w:t>satsningar på marknadsföring</w:t>
      </w:r>
      <w:r w:rsidRPr="00E141CC">
        <w:rPr>
          <w:rFonts w:ascii="OrigGarmnd BT" w:hAnsi="OrigGarmnd BT"/>
        </w:rPr>
        <w:t xml:space="preserve"> föreslås såväl i tredje land som på den inre marknaden. K</w:t>
      </w:r>
      <w:r w:rsidR="000A5A83" w:rsidRPr="00E141CC">
        <w:rPr>
          <w:rFonts w:ascii="OrigGarmnd BT" w:hAnsi="OrigGarmnd BT"/>
        </w:rPr>
        <w:t>ommissionen</w:t>
      </w:r>
      <w:r w:rsidRPr="00E141CC">
        <w:rPr>
          <w:rFonts w:ascii="OrigGarmnd BT" w:hAnsi="OrigGarmnd BT"/>
        </w:rPr>
        <w:t xml:space="preserve"> vill göra det möjligt att dela ut marknadsföringsstöd till producenterna inom ramen för </w:t>
      </w:r>
      <w:r w:rsidR="000A5A83" w:rsidRPr="00E141CC">
        <w:rPr>
          <w:rFonts w:ascii="OrigGarmnd BT" w:hAnsi="OrigGarmnd BT"/>
        </w:rPr>
        <w:t xml:space="preserve">de </w:t>
      </w:r>
      <w:r w:rsidRPr="00E141CC">
        <w:rPr>
          <w:rFonts w:ascii="OrigGarmnd BT" w:hAnsi="OrigGarmnd BT"/>
        </w:rPr>
        <w:t>nationella kuvert</w:t>
      </w:r>
      <w:r w:rsidR="000A5A83" w:rsidRPr="00E141CC">
        <w:rPr>
          <w:rFonts w:ascii="OrigGarmnd BT" w:hAnsi="OrigGarmnd BT"/>
        </w:rPr>
        <w:t>en</w:t>
      </w:r>
      <w:r w:rsidRPr="00E141CC">
        <w:rPr>
          <w:rFonts w:ascii="OrigGarmnd BT" w:hAnsi="OrigGarmnd BT"/>
        </w:rPr>
        <w:t xml:space="preserve"> (öronmärkta medel</w:t>
      </w:r>
      <w:r w:rsidR="00B557E0" w:rsidRPr="00E141CC">
        <w:rPr>
          <w:rFonts w:ascii="OrigGarmnd BT" w:hAnsi="OrigGarmnd BT"/>
        </w:rPr>
        <w:t xml:space="preserve"> </w:t>
      </w:r>
      <w:r w:rsidRPr="00E141CC">
        <w:rPr>
          <w:rFonts w:ascii="OrigGarmnd BT" w:hAnsi="OrigGarmnd BT"/>
        </w:rPr>
        <w:t>för marknadsförin</w:t>
      </w:r>
      <w:r w:rsidR="000A5A83" w:rsidRPr="00E141CC">
        <w:rPr>
          <w:rFonts w:ascii="OrigGarmnd BT" w:hAnsi="OrigGarmnd BT"/>
        </w:rPr>
        <w:t>g</w:t>
      </w:r>
      <w:r w:rsidRPr="00E141CC">
        <w:rPr>
          <w:rFonts w:ascii="OrigGarmnd BT" w:hAnsi="OrigGarmnd BT"/>
        </w:rPr>
        <w:t xml:space="preserve"> av EU-vin i tredje land) samt inom ramen för marknadsordningen för säljfrämjande åtgärder. </w:t>
      </w:r>
    </w:p>
    <w:p w14:paraId="03238BEC" w14:textId="77777777" w:rsidR="00652FA0" w:rsidRPr="00E141CC" w:rsidRDefault="00652FA0" w:rsidP="00652FA0">
      <w:pPr>
        <w:pStyle w:val="Brdtext"/>
        <w:ind w:left="0"/>
        <w:rPr>
          <w:rFonts w:ascii="OrigGarmnd BT" w:hAnsi="OrigGarmnd BT"/>
          <w:b/>
          <w:bCs/>
        </w:rPr>
      </w:pPr>
      <w:r w:rsidRPr="00E141CC">
        <w:rPr>
          <w:rFonts w:ascii="OrigGarmnd BT" w:hAnsi="OrigGarmnd BT"/>
        </w:rPr>
        <w:t xml:space="preserve">Ett </w:t>
      </w:r>
      <w:r w:rsidRPr="00E141CC">
        <w:rPr>
          <w:rFonts w:ascii="OrigGarmnd BT" w:hAnsi="OrigGarmnd BT"/>
          <w:b/>
        </w:rPr>
        <w:t>nytt system för ursprungsbeteckningar (DO) och geografiska beteckningar (GI) införs.</w:t>
      </w:r>
      <w:r w:rsidRPr="00E141CC">
        <w:rPr>
          <w:rFonts w:ascii="OrigGarmnd BT" w:hAnsi="OrigGarmnd BT"/>
        </w:rPr>
        <w:t xml:space="preserve"> Till ursprungsbeteckning kan även i vissa fall traditionella termer (TT) hänföras. </w:t>
      </w:r>
      <w:r w:rsidR="00B13A2B" w:rsidRPr="00E141CC">
        <w:rPr>
          <w:rFonts w:ascii="OrigGarmnd BT" w:hAnsi="OrigGarmnd BT"/>
        </w:rPr>
        <w:t>Kommissionen</w:t>
      </w:r>
      <w:r w:rsidRPr="00E141CC">
        <w:rPr>
          <w:rFonts w:ascii="OrigGarmnd BT" w:hAnsi="OrigGarmnd BT"/>
        </w:rPr>
        <w:t xml:space="preserve"> skall inrätta ett system för registrering och skydd av dessa beteckningar. Slutligen skall ett nytt </w:t>
      </w:r>
      <w:r w:rsidRPr="00E141CC">
        <w:rPr>
          <w:rFonts w:ascii="OrigGarmnd BT" w:hAnsi="OrigGarmnd BT"/>
          <w:b/>
        </w:rPr>
        <w:t>kvalitetssystem</w:t>
      </w:r>
      <w:r w:rsidRPr="00E141CC">
        <w:rPr>
          <w:rFonts w:ascii="OrigGarmnd BT" w:hAnsi="OrigGarmnd BT"/>
        </w:rPr>
        <w:t xml:space="preserve"> för vin införas och bordsvinsbegreppet avskaffas.</w:t>
      </w:r>
    </w:p>
    <w:p w14:paraId="05BB7F81" w14:textId="77777777" w:rsidR="002E692A" w:rsidRPr="00E141CC" w:rsidRDefault="002E692A">
      <w:pPr>
        <w:pStyle w:val="RKrubrik"/>
        <w:rPr>
          <w:i/>
          <w:iCs/>
        </w:rPr>
      </w:pPr>
      <w:r w:rsidRPr="00E141CC">
        <w:rPr>
          <w:i/>
          <w:iCs/>
        </w:rPr>
        <w:t>Gällande svenska regler och förslagets effekter på dessa</w:t>
      </w:r>
    </w:p>
    <w:p w14:paraId="05173623" w14:textId="77777777" w:rsidR="002E692A" w:rsidRPr="00E141CC" w:rsidRDefault="00A17E97">
      <w:pPr>
        <w:pStyle w:val="RKnormal"/>
      </w:pPr>
      <w:r w:rsidRPr="00E141CC">
        <w:t>-</w:t>
      </w:r>
    </w:p>
    <w:p w14:paraId="66847EA5" w14:textId="77777777" w:rsidR="002E692A" w:rsidRPr="00E141CC" w:rsidRDefault="002E692A">
      <w:pPr>
        <w:pStyle w:val="RKrubrik"/>
      </w:pPr>
      <w:r w:rsidRPr="00E141CC">
        <w:t>Ekonomiska konsekvenser</w:t>
      </w:r>
    </w:p>
    <w:p w14:paraId="03FB7BC1" w14:textId="77777777" w:rsidR="00652FA0" w:rsidRPr="00E141CC" w:rsidRDefault="00652FA0" w:rsidP="00652FA0">
      <w:pPr>
        <w:pStyle w:val="RKnormal"/>
        <w:rPr>
          <w:szCs w:val="24"/>
        </w:rPr>
      </w:pPr>
      <w:r w:rsidRPr="00E141CC">
        <w:rPr>
          <w:rFonts w:cs="Courier"/>
          <w:color w:val="000000"/>
          <w:szCs w:val="24"/>
          <w:lang w:eastAsia="sv-SE"/>
        </w:rPr>
        <w:t>Förslaget är budgetneutralt. Nya stöd kommer att rymmas inom nuvarande budget.</w:t>
      </w:r>
    </w:p>
    <w:p w14:paraId="61C758B4" w14:textId="77777777" w:rsidR="002E692A" w:rsidRPr="00E141CC" w:rsidRDefault="002E692A">
      <w:pPr>
        <w:pStyle w:val="RKrubrik"/>
      </w:pPr>
      <w:r w:rsidRPr="00E141CC">
        <w:t>Övrigt</w:t>
      </w:r>
    </w:p>
    <w:p w14:paraId="37A2D712" w14:textId="77777777" w:rsidR="00E13F2A" w:rsidRPr="00E141CC" w:rsidRDefault="00E13F2A" w:rsidP="00E13F2A">
      <w:pPr>
        <w:pStyle w:val="RKrubrik"/>
      </w:pPr>
      <w:commentRangeStart w:id="1"/>
      <w:r w:rsidRPr="00E141CC">
        <w:t>Fackuttryck/termer</w:t>
      </w:r>
      <w:commentRangeEnd w:id="1"/>
      <w:r w:rsidRPr="00E141CC">
        <w:rPr>
          <w:rStyle w:val="Kommentarsreferens"/>
          <w:sz w:val="22"/>
          <w:szCs w:val="20"/>
        </w:rPr>
        <w:commentReference w:id="1"/>
      </w:r>
    </w:p>
    <w:p w14:paraId="7D2193AB" w14:textId="77777777" w:rsidR="00B043FF" w:rsidRPr="00E141CC" w:rsidRDefault="00B043FF" w:rsidP="00111427">
      <w:pPr>
        <w:pStyle w:val="RKnormal"/>
        <w:rPr>
          <w:szCs w:val="24"/>
        </w:rPr>
      </w:pPr>
      <w:r w:rsidRPr="00E141CC">
        <w:rPr>
          <w:b/>
          <w:szCs w:val="24"/>
        </w:rPr>
        <w:t>Koncentrerad druvmust</w:t>
      </w:r>
      <w:r w:rsidR="00111427" w:rsidRPr="00E141CC">
        <w:rPr>
          <w:b/>
          <w:szCs w:val="24"/>
        </w:rPr>
        <w:t>:</w:t>
      </w:r>
      <w:r w:rsidR="00111427" w:rsidRPr="00E141CC">
        <w:rPr>
          <w:szCs w:val="24"/>
        </w:rPr>
        <w:t xml:space="preserve"> </w:t>
      </w:r>
      <w:r w:rsidRPr="00E141CC">
        <w:t xml:space="preserve">Koncentrerad druvmust innebär att inte enbart socker berörs i </w:t>
      </w:r>
      <w:r w:rsidR="00B557E0" w:rsidRPr="00E141CC">
        <w:t>koncentrationen</w:t>
      </w:r>
      <w:r w:rsidRPr="00E141CC">
        <w:t xml:space="preserve"> utan också halten av syra och aromer. Koncentrerad druvmust kan därmed ha en negativ effekt i berikningspro</w:t>
      </w:r>
      <w:r w:rsidR="00B557E0" w:rsidRPr="00E141CC">
        <w:t>c</w:t>
      </w:r>
      <w:r w:rsidRPr="00E141CC">
        <w:t>essen då den påverkar vinets smak etc. I rektifieringsprocessen avlägsnas alla icke-</w:t>
      </w:r>
      <w:r w:rsidRPr="00E141CC">
        <w:rPr>
          <w:szCs w:val="24"/>
        </w:rPr>
        <w:t xml:space="preserve">önskvärda substanser såsom aromer etc. innan </w:t>
      </w:r>
      <w:r w:rsidR="00B557E0" w:rsidRPr="00E141CC">
        <w:rPr>
          <w:szCs w:val="24"/>
        </w:rPr>
        <w:t>koncentrationen</w:t>
      </w:r>
      <w:r w:rsidRPr="00E141CC">
        <w:rPr>
          <w:szCs w:val="24"/>
        </w:rPr>
        <w:t xml:space="preserve">. </w:t>
      </w:r>
    </w:p>
    <w:p w14:paraId="0C2B07ED" w14:textId="77777777" w:rsidR="00B043FF" w:rsidRPr="00E141CC" w:rsidRDefault="00B043FF" w:rsidP="00111427">
      <w:pPr>
        <w:pStyle w:val="RKnormal"/>
        <w:rPr>
          <w:szCs w:val="24"/>
        </w:rPr>
      </w:pPr>
    </w:p>
    <w:p w14:paraId="69DBCBDD" w14:textId="77777777" w:rsidR="00B043FF" w:rsidRPr="00E141CC" w:rsidRDefault="00B043FF" w:rsidP="00111427">
      <w:pPr>
        <w:pStyle w:val="RKnormal"/>
      </w:pPr>
      <w:r w:rsidRPr="00E141CC">
        <w:rPr>
          <w:b/>
          <w:szCs w:val="24"/>
        </w:rPr>
        <w:t>Rektifierad koncentrerad druvmust</w:t>
      </w:r>
      <w:r w:rsidR="00111427" w:rsidRPr="00E141CC">
        <w:rPr>
          <w:b/>
          <w:szCs w:val="24"/>
        </w:rPr>
        <w:t>:</w:t>
      </w:r>
      <w:r w:rsidR="00111427" w:rsidRPr="00E141CC">
        <w:rPr>
          <w:szCs w:val="24"/>
        </w:rPr>
        <w:t xml:space="preserve"> </w:t>
      </w:r>
      <w:r w:rsidRPr="00E141CC">
        <w:t xml:space="preserve">Innehåller enbart socker och vatten. Därmed är den en neutral substans som inte påverkar vinets smak i berikningsprocessen. </w:t>
      </w:r>
    </w:p>
    <w:p w14:paraId="3028C30A" w14:textId="77777777" w:rsidR="00B043FF" w:rsidRPr="00E141CC" w:rsidRDefault="00B043FF" w:rsidP="00111427">
      <w:pPr>
        <w:pStyle w:val="RKnormal"/>
      </w:pPr>
    </w:p>
    <w:p w14:paraId="26CF23BC" w14:textId="77777777" w:rsidR="00EF055E" w:rsidRPr="00E141CC" w:rsidRDefault="00EF055E" w:rsidP="00111427">
      <w:pPr>
        <w:pStyle w:val="RKnormal"/>
      </w:pPr>
      <w:r w:rsidRPr="00E141CC">
        <w:rPr>
          <w:b/>
        </w:rPr>
        <w:t>OIV</w:t>
      </w:r>
      <w:r w:rsidR="00111427" w:rsidRPr="00E141CC">
        <w:rPr>
          <w:b/>
        </w:rPr>
        <w:t>:</w:t>
      </w:r>
      <w:r w:rsidR="00111427" w:rsidRPr="00E141CC">
        <w:t xml:space="preserve"> </w:t>
      </w:r>
      <w:r w:rsidRPr="00E141CC">
        <w:t>Den internationella vinorganisationen. Denna är framförallt en vetenskaplig och teknisk organisation som bl.a. utarbetar metoder och standars för vinodling.</w:t>
      </w:r>
    </w:p>
    <w:p w14:paraId="739AB99D" w14:textId="77777777" w:rsidR="002E692A" w:rsidRPr="00E141CC" w:rsidRDefault="002E692A" w:rsidP="000A5A83">
      <w:pPr>
        <w:pStyle w:val="RKnormal"/>
        <w:rPr>
          <w:i/>
          <w:iCs/>
        </w:rPr>
      </w:pPr>
    </w:p>
    <w:p w14:paraId="11CF9F78" w14:textId="77777777" w:rsidR="002E692A" w:rsidRPr="00E141CC" w:rsidRDefault="002E692A" w:rsidP="000A5A83">
      <w:pPr>
        <w:pStyle w:val="RKnormal"/>
      </w:pPr>
    </w:p>
    <w:p w14:paraId="65257391" w14:textId="77777777" w:rsidR="006E4E11" w:rsidRPr="00E141CC" w:rsidRDefault="006E4E11" w:rsidP="000A5A83">
      <w:pPr>
        <w:pStyle w:val="RKnormal"/>
      </w:pPr>
    </w:p>
    <w:p w14:paraId="68CF6B9F" w14:textId="77777777" w:rsidR="006E4E11" w:rsidRPr="00E141CC" w:rsidRDefault="006E4E11" w:rsidP="000A5A83">
      <w:pPr>
        <w:pStyle w:val="RKnormal"/>
      </w:pPr>
    </w:p>
    <w:p w14:paraId="7860ACD1" w14:textId="77777777" w:rsidR="002E692A" w:rsidRPr="00E141CC" w:rsidRDefault="002E692A" w:rsidP="000A5A83">
      <w:pPr>
        <w:pStyle w:val="RKnormal"/>
      </w:pPr>
    </w:p>
    <w:sectPr w:rsidR="002E692A" w:rsidRPr="00E141CC">
      <w:headerReference w:type="even" r:id="rId9"/>
      <w:headerReference w:type="default" r:id="rId10"/>
      <w:headerReference w:type="first" r:id="rId11"/>
      <w:type w:val="continuous"/>
      <w:pgSz w:w="11907" w:h="16840" w:code="9"/>
      <w:pgMar w:top="567" w:right="1701" w:bottom="1134" w:left="2835" w:header="709" w:footer="539" w:gutter="0"/>
      <w:cols w:space="720"/>
      <w:formProt w:val="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ot" w:date="2007-07-02T17:16:00Z" w:initials="N">
    <w:p w14:paraId="449C80C6" w14:textId="77777777" w:rsidR="00092A9E" w:rsidRPr="00E141CC" w:rsidRDefault="00092A9E" w:rsidP="00E13F2A">
      <w:pPr>
        <w:pStyle w:val="Kommentarer"/>
      </w:pPr>
      <w:r w:rsidRPr="00E141CC">
        <w:fldChar w:fldCharType="begin" w:fldLock="1"/>
      </w:r>
      <w:r w:rsidRPr="00E141CC">
        <w:instrText>PAGE \# "'Sidan: '#'</w:instrText>
      </w:r>
      <w:r w:rsidRPr="00E141CC">
        <w:br/>
        <w:instrText>'"</w:instrText>
      </w:r>
      <w:r w:rsidRPr="00E141CC">
        <w:rPr>
          <w:rStyle w:val="Kommentarsreferens"/>
        </w:rPr>
        <w:instrText xml:space="preserve">  </w:instrText>
      </w:r>
      <w:r w:rsidRPr="00E141CC">
        <w:fldChar w:fldCharType="end"/>
      </w:r>
      <w:r w:rsidRPr="00E141CC">
        <w:rPr>
          <w:rStyle w:val="Kommentarsreferens"/>
        </w:rPr>
        <w:annotationRef/>
      </w:r>
      <w:r w:rsidRPr="00E141CC">
        <w:t>Där så behövs, t.ex. om det är en ny fråga och den innehåller många facktermer eller fackuttryck.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9C80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9C80C6" w16cid:durableId="062B2E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34E28" w14:textId="77777777" w:rsidR="00B71F14" w:rsidRPr="00E141CC" w:rsidRDefault="00B71F14">
      <w:r w:rsidRPr="00E141CC">
        <w:separator/>
      </w:r>
    </w:p>
  </w:endnote>
  <w:endnote w:type="continuationSeparator" w:id="0">
    <w:p w14:paraId="629E10EA" w14:textId="77777777" w:rsidR="00B71F14" w:rsidRPr="00E141CC" w:rsidRDefault="00B71F14">
      <w:r w:rsidRPr="00E141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B145B" w14:textId="77777777" w:rsidR="00B71F14" w:rsidRPr="00E141CC" w:rsidRDefault="00B71F14">
      <w:r w:rsidRPr="00E141CC">
        <w:separator/>
      </w:r>
    </w:p>
  </w:footnote>
  <w:footnote w:type="continuationSeparator" w:id="0">
    <w:p w14:paraId="1C8FB770" w14:textId="77777777" w:rsidR="00B71F14" w:rsidRPr="00E141CC" w:rsidRDefault="00B71F14">
      <w:r w:rsidRPr="00E141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0B94" w14:textId="77777777" w:rsidR="00092A9E" w:rsidRPr="00E141CC" w:rsidRDefault="00092A9E">
    <w:pPr>
      <w:pStyle w:val="Sidhuvud"/>
      <w:framePr w:wrap="around" w:vAnchor="text" w:hAnchor="margin" w:xAlign="right" w:y="1"/>
      <w:rPr>
        <w:rStyle w:val="Sidnummer"/>
      </w:rPr>
    </w:pPr>
    <w:r w:rsidRPr="00E141CC">
      <w:rPr>
        <w:rStyle w:val="Sidnummer"/>
      </w:rPr>
      <w:fldChar w:fldCharType="begin" w:fldLock="1"/>
    </w:r>
    <w:r w:rsidRPr="00E141CC">
      <w:rPr>
        <w:rStyle w:val="Sidnummer"/>
      </w:rPr>
      <w:instrText xml:space="preserve">PAGE  </w:instrText>
    </w:r>
    <w:r w:rsidRPr="00E141CC">
      <w:rPr>
        <w:rStyle w:val="Sidnummer"/>
      </w:rPr>
      <w:fldChar w:fldCharType="separate"/>
    </w:r>
    <w:r w:rsidR="00453C5F" w:rsidRPr="00E141CC">
      <w:rPr>
        <w:rStyle w:val="Sidnummer"/>
      </w:rPr>
      <w:t>2</w:t>
    </w:r>
    <w:r w:rsidRPr="00E141C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92A9E" w:rsidRPr="00E141CC" w14:paraId="64C4B3C7" w14:textId="77777777">
      <w:tblPrEx>
        <w:tblCellMar>
          <w:top w:w="0" w:type="dxa"/>
          <w:bottom w:w="0" w:type="dxa"/>
        </w:tblCellMar>
      </w:tblPrEx>
      <w:trPr>
        <w:cantSplit/>
      </w:trPr>
      <w:tc>
        <w:tcPr>
          <w:tcW w:w="3119" w:type="dxa"/>
        </w:tcPr>
        <w:p w14:paraId="3B97FA78" w14:textId="77777777" w:rsidR="00092A9E" w:rsidRPr="00E141CC" w:rsidRDefault="00092A9E">
          <w:pPr>
            <w:pStyle w:val="Sidhuvud"/>
            <w:spacing w:line="200" w:lineRule="atLeast"/>
            <w:ind w:right="357"/>
            <w:rPr>
              <w:rFonts w:ascii="TradeGothic" w:hAnsi="TradeGothic"/>
              <w:b/>
              <w:bCs/>
              <w:sz w:val="16"/>
            </w:rPr>
          </w:pPr>
        </w:p>
      </w:tc>
      <w:tc>
        <w:tcPr>
          <w:tcW w:w="4111" w:type="dxa"/>
          <w:tcMar>
            <w:left w:w="567" w:type="dxa"/>
          </w:tcMar>
        </w:tcPr>
        <w:p w14:paraId="50708EEE" w14:textId="77777777" w:rsidR="00092A9E" w:rsidRPr="00E141CC" w:rsidRDefault="00092A9E">
          <w:pPr>
            <w:pStyle w:val="Sidhuvud"/>
            <w:ind w:right="360"/>
          </w:pPr>
        </w:p>
      </w:tc>
      <w:tc>
        <w:tcPr>
          <w:tcW w:w="1525" w:type="dxa"/>
        </w:tcPr>
        <w:p w14:paraId="0928294A" w14:textId="77777777" w:rsidR="00092A9E" w:rsidRPr="00E141CC" w:rsidRDefault="00092A9E">
          <w:pPr>
            <w:pStyle w:val="Sidhuvud"/>
            <w:ind w:right="360"/>
          </w:pPr>
        </w:p>
      </w:tc>
    </w:tr>
  </w:tbl>
  <w:p w14:paraId="6931C676" w14:textId="77777777" w:rsidR="00092A9E" w:rsidRPr="00E141CC" w:rsidRDefault="00092A9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F045D" w14:textId="77777777" w:rsidR="00092A9E" w:rsidRPr="00E141CC" w:rsidRDefault="00092A9E">
    <w:pPr>
      <w:pStyle w:val="Sidhuvud"/>
      <w:framePr w:wrap="around" w:vAnchor="text" w:hAnchor="margin" w:xAlign="right" w:y="1"/>
      <w:rPr>
        <w:rStyle w:val="Sidnummer"/>
      </w:rPr>
    </w:pPr>
    <w:r w:rsidRPr="00E141CC">
      <w:rPr>
        <w:rStyle w:val="Sidnummer"/>
      </w:rPr>
      <w:fldChar w:fldCharType="begin" w:fldLock="1"/>
    </w:r>
    <w:r w:rsidRPr="00E141CC">
      <w:rPr>
        <w:rStyle w:val="Sidnummer"/>
      </w:rPr>
      <w:instrText xml:space="preserve">PAGE  </w:instrText>
    </w:r>
    <w:r w:rsidRPr="00E141CC">
      <w:rPr>
        <w:rStyle w:val="Sidnummer"/>
      </w:rPr>
      <w:fldChar w:fldCharType="separate"/>
    </w:r>
    <w:r w:rsidR="00453C5F" w:rsidRPr="00E141CC">
      <w:rPr>
        <w:rStyle w:val="Sidnummer"/>
      </w:rPr>
      <w:t>5</w:t>
    </w:r>
    <w:r w:rsidRPr="00E141C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92A9E" w:rsidRPr="00E141CC" w14:paraId="06CCCE6B" w14:textId="77777777">
      <w:tblPrEx>
        <w:tblCellMar>
          <w:top w:w="0" w:type="dxa"/>
          <w:bottom w:w="0" w:type="dxa"/>
        </w:tblCellMar>
      </w:tblPrEx>
      <w:trPr>
        <w:cantSplit/>
      </w:trPr>
      <w:tc>
        <w:tcPr>
          <w:tcW w:w="3119" w:type="dxa"/>
        </w:tcPr>
        <w:p w14:paraId="48071F94" w14:textId="77777777" w:rsidR="00092A9E" w:rsidRPr="00E141CC" w:rsidRDefault="00092A9E">
          <w:pPr>
            <w:pStyle w:val="Sidhuvud"/>
            <w:spacing w:line="200" w:lineRule="atLeast"/>
            <w:ind w:right="357"/>
            <w:rPr>
              <w:rFonts w:ascii="TradeGothic" w:hAnsi="TradeGothic"/>
              <w:b/>
              <w:bCs/>
              <w:sz w:val="16"/>
            </w:rPr>
          </w:pPr>
        </w:p>
      </w:tc>
      <w:tc>
        <w:tcPr>
          <w:tcW w:w="4111" w:type="dxa"/>
          <w:tcMar>
            <w:left w:w="567" w:type="dxa"/>
          </w:tcMar>
        </w:tcPr>
        <w:p w14:paraId="545348A8" w14:textId="77777777" w:rsidR="00092A9E" w:rsidRPr="00E141CC" w:rsidRDefault="00092A9E">
          <w:pPr>
            <w:pStyle w:val="Sidhuvud"/>
            <w:ind w:right="360"/>
          </w:pPr>
        </w:p>
      </w:tc>
      <w:tc>
        <w:tcPr>
          <w:tcW w:w="1525" w:type="dxa"/>
        </w:tcPr>
        <w:p w14:paraId="1A173158" w14:textId="77777777" w:rsidR="00092A9E" w:rsidRPr="00E141CC" w:rsidRDefault="00092A9E">
          <w:pPr>
            <w:pStyle w:val="Sidhuvud"/>
            <w:ind w:right="360"/>
          </w:pPr>
        </w:p>
      </w:tc>
    </w:tr>
  </w:tbl>
  <w:p w14:paraId="7A17A35A" w14:textId="77777777" w:rsidR="00092A9E" w:rsidRPr="00E141CC" w:rsidRDefault="00092A9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0F02" w14:textId="6C5B72DF" w:rsidR="00092A9E" w:rsidRPr="00E141CC" w:rsidRDefault="00E141CC">
    <w:pPr>
      <w:framePr w:w="2948" w:h="1321" w:hRule="exact" w:wrap="notBeside" w:vAnchor="page" w:hAnchor="page" w:x="1362" w:y="653"/>
    </w:pPr>
    <w:r w:rsidRPr="00E141CC">
      <w:rPr>
        <w:noProof/>
      </w:rPr>
      <w:drawing>
        <wp:inline distT="0" distB="0" distL="0" distR="0" wp14:anchorId="3A235F21" wp14:editId="7457EE3C">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14:paraId="5B019D50" w14:textId="77777777" w:rsidR="00092A9E" w:rsidRPr="00E141CC" w:rsidRDefault="00092A9E">
    <w:pPr>
      <w:pStyle w:val="RKrubrik"/>
      <w:keepNext w:val="0"/>
      <w:tabs>
        <w:tab w:val="clear" w:pos="1134"/>
        <w:tab w:val="clear" w:pos="2835"/>
      </w:tabs>
      <w:spacing w:before="0" w:after="0" w:line="320" w:lineRule="atLeast"/>
      <w:rPr>
        <w:bCs/>
      </w:rPr>
    </w:pPr>
  </w:p>
  <w:p w14:paraId="67FCDAE1" w14:textId="77777777" w:rsidR="00092A9E" w:rsidRPr="00E141CC" w:rsidRDefault="00092A9E">
    <w:pPr>
      <w:rPr>
        <w:rFonts w:ascii="TradeGothic" w:hAnsi="TradeGothic"/>
        <w:b/>
        <w:bCs/>
        <w:spacing w:val="12"/>
        <w:sz w:val="22"/>
      </w:rPr>
    </w:pPr>
  </w:p>
  <w:p w14:paraId="6A65DB41" w14:textId="77777777" w:rsidR="00092A9E" w:rsidRPr="00E141CC" w:rsidRDefault="00092A9E">
    <w:pPr>
      <w:pStyle w:val="RKrubrik"/>
      <w:keepNext w:val="0"/>
      <w:tabs>
        <w:tab w:val="clear" w:pos="1134"/>
        <w:tab w:val="clear" w:pos="2835"/>
      </w:tabs>
      <w:spacing w:before="0" w:after="0" w:line="320" w:lineRule="atLeast"/>
      <w:rPr>
        <w:bCs/>
      </w:rPr>
    </w:pPr>
  </w:p>
  <w:p w14:paraId="60992D92" w14:textId="77777777" w:rsidR="00092A9E" w:rsidRPr="00E141CC" w:rsidRDefault="00092A9E">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2E692A"/>
    <w:rsid w:val="00014546"/>
    <w:rsid w:val="000222C9"/>
    <w:rsid w:val="00025AF2"/>
    <w:rsid w:val="000913F3"/>
    <w:rsid w:val="00091E3B"/>
    <w:rsid w:val="00092A9E"/>
    <w:rsid w:val="00092BC5"/>
    <w:rsid w:val="000A153D"/>
    <w:rsid w:val="000A5A83"/>
    <w:rsid w:val="000D0981"/>
    <w:rsid w:val="000E0A95"/>
    <w:rsid w:val="000E1169"/>
    <w:rsid w:val="000E3D75"/>
    <w:rsid w:val="000F3DBA"/>
    <w:rsid w:val="001025A9"/>
    <w:rsid w:val="00111427"/>
    <w:rsid w:val="00150384"/>
    <w:rsid w:val="00157A08"/>
    <w:rsid w:val="00183048"/>
    <w:rsid w:val="001C731D"/>
    <w:rsid w:val="00260E11"/>
    <w:rsid w:val="002636E8"/>
    <w:rsid w:val="002B550F"/>
    <w:rsid w:val="002C1737"/>
    <w:rsid w:val="002E692A"/>
    <w:rsid w:val="003160C5"/>
    <w:rsid w:val="003504DB"/>
    <w:rsid w:val="0035410E"/>
    <w:rsid w:val="003676AE"/>
    <w:rsid w:val="003A033D"/>
    <w:rsid w:val="003A09C3"/>
    <w:rsid w:val="003A177A"/>
    <w:rsid w:val="003B0FC5"/>
    <w:rsid w:val="003B6240"/>
    <w:rsid w:val="003D7D67"/>
    <w:rsid w:val="003E540E"/>
    <w:rsid w:val="003E5727"/>
    <w:rsid w:val="00443DC2"/>
    <w:rsid w:val="00453C5F"/>
    <w:rsid w:val="00456228"/>
    <w:rsid w:val="004A3538"/>
    <w:rsid w:val="004B0B38"/>
    <w:rsid w:val="004B63B9"/>
    <w:rsid w:val="004D134B"/>
    <w:rsid w:val="004F428A"/>
    <w:rsid w:val="00523A01"/>
    <w:rsid w:val="00562DC8"/>
    <w:rsid w:val="00566466"/>
    <w:rsid w:val="0057383F"/>
    <w:rsid w:val="005825D5"/>
    <w:rsid w:val="005A6910"/>
    <w:rsid w:val="005B1E8D"/>
    <w:rsid w:val="005C5CC9"/>
    <w:rsid w:val="005E483D"/>
    <w:rsid w:val="005F795E"/>
    <w:rsid w:val="00613EF2"/>
    <w:rsid w:val="0063386F"/>
    <w:rsid w:val="006430ED"/>
    <w:rsid w:val="00652FA0"/>
    <w:rsid w:val="006544C9"/>
    <w:rsid w:val="00654C45"/>
    <w:rsid w:val="00667925"/>
    <w:rsid w:val="00680095"/>
    <w:rsid w:val="00683BA4"/>
    <w:rsid w:val="006B4606"/>
    <w:rsid w:val="006C3C63"/>
    <w:rsid w:val="006E4E11"/>
    <w:rsid w:val="0070464B"/>
    <w:rsid w:val="007242A3"/>
    <w:rsid w:val="0073187E"/>
    <w:rsid w:val="0077603E"/>
    <w:rsid w:val="00781EE8"/>
    <w:rsid w:val="0079052B"/>
    <w:rsid w:val="007933F4"/>
    <w:rsid w:val="007A4097"/>
    <w:rsid w:val="007C4FF9"/>
    <w:rsid w:val="007D0D9F"/>
    <w:rsid w:val="007F0340"/>
    <w:rsid w:val="00805A9E"/>
    <w:rsid w:val="008208ED"/>
    <w:rsid w:val="00821C1D"/>
    <w:rsid w:val="00824B04"/>
    <w:rsid w:val="008504B7"/>
    <w:rsid w:val="00852AA8"/>
    <w:rsid w:val="00854D08"/>
    <w:rsid w:val="0087170E"/>
    <w:rsid w:val="00873FC5"/>
    <w:rsid w:val="00875F5D"/>
    <w:rsid w:val="00882095"/>
    <w:rsid w:val="0089567A"/>
    <w:rsid w:val="008A13D6"/>
    <w:rsid w:val="008A39CD"/>
    <w:rsid w:val="008C56EE"/>
    <w:rsid w:val="009177D5"/>
    <w:rsid w:val="009505BB"/>
    <w:rsid w:val="00973DBC"/>
    <w:rsid w:val="009848F4"/>
    <w:rsid w:val="009874CD"/>
    <w:rsid w:val="009E34FD"/>
    <w:rsid w:val="009E5432"/>
    <w:rsid w:val="009F76E0"/>
    <w:rsid w:val="00A17E97"/>
    <w:rsid w:val="00A5532B"/>
    <w:rsid w:val="00A57BC3"/>
    <w:rsid w:val="00A6204F"/>
    <w:rsid w:val="00A7204E"/>
    <w:rsid w:val="00A9089A"/>
    <w:rsid w:val="00AA0F61"/>
    <w:rsid w:val="00AA147D"/>
    <w:rsid w:val="00AC070D"/>
    <w:rsid w:val="00AE7302"/>
    <w:rsid w:val="00AF163B"/>
    <w:rsid w:val="00B043FF"/>
    <w:rsid w:val="00B13A2B"/>
    <w:rsid w:val="00B208C3"/>
    <w:rsid w:val="00B20F97"/>
    <w:rsid w:val="00B24A72"/>
    <w:rsid w:val="00B37A5F"/>
    <w:rsid w:val="00B400A5"/>
    <w:rsid w:val="00B557E0"/>
    <w:rsid w:val="00B71F14"/>
    <w:rsid w:val="00B741F5"/>
    <w:rsid w:val="00B75F1C"/>
    <w:rsid w:val="00B85728"/>
    <w:rsid w:val="00BA6BEA"/>
    <w:rsid w:val="00BE64DB"/>
    <w:rsid w:val="00C022F0"/>
    <w:rsid w:val="00C17882"/>
    <w:rsid w:val="00C22A27"/>
    <w:rsid w:val="00CA3F97"/>
    <w:rsid w:val="00CB6790"/>
    <w:rsid w:val="00CF1FD4"/>
    <w:rsid w:val="00D068FF"/>
    <w:rsid w:val="00D07E04"/>
    <w:rsid w:val="00D10870"/>
    <w:rsid w:val="00D11303"/>
    <w:rsid w:val="00D13CC8"/>
    <w:rsid w:val="00D16033"/>
    <w:rsid w:val="00D21E49"/>
    <w:rsid w:val="00D552C9"/>
    <w:rsid w:val="00D557A3"/>
    <w:rsid w:val="00D55FC2"/>
    <w:rsid w:val="00D77D11"/>
    <w:rsid w:val="00DB5A8F"/>
    <w:rsid w:val="00DD427D"/>
    <w:rsid w:val="00DE0BD1"/>
    <w:rsid w:val="00E06775"/>
    <w:rsid w:val="00E13F2A"/>
    <w:rsid w:val="00E141CC"/>
    <w:rsid w:val="00E17711"/>
    <w:rsid w:val="00EC5BC5"/>
    <w:rsid w:val="00EC77E5"/>
    <w:rsid w:val="00ED2B67"/>
    <w:rsid w:val="00EE06A8"/>
    <w:rsid w:val="00EE50D0"/>
    <w:rsid w:val="00EF055E"/>
    <w:rsid w:val="00EF4EB5"/>
    <w:rsid w:val="00F1736B"/>
    <w:rsid w:val="00F234FE"/>
    <w:rsid w:val="00F5387B"/>
    <w:rsid w:val="00F7371A"/>
    <w:rsid w:val="00FA22A1"/>
    <w:rsid w:val="00FA435B"/>
    <w:rsid w:val="00FB27FF"/>
    <w:rsid w:val="00FB3B42"/>
    <w:rsid w:val="00FD104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22C7D"/>
  <w15:chartTrackingRefBased/>
  <w15:docId w15:val="{75AA7206-5798-4810-A6D2-898683B20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4A3538"/>
    <w:rPr>
      <w:rFonts w:ascii="OrigGarmnd BT" w:hAnsi="OrigGarmnd BT"/>
      <w:sz w:val="24"/>
      <w:lang w:val="sv-SE" w:eastAsia="en-US" w:bidi="ar-SA"/>
    </w:rPr>
  </w:style>
  <w:style w:type="character" w:customStyle="1" w:styleId="RKrubrikChar">
    <w:name w:val="RKrubrik Char"/>
    <w:basedOn w:val="RKnormalChar"/>
    <w:link w:val="RKrubrik"/>
    <w:rsid w:val="004A3538"/>
    <w:rPr>
      <w:rFonts w:ascii="TradeGothic" w:hAnsi="TradeGothic"/>
      <w:b/>
      <w:sz w:val="22"/>
      <w:lang w:val="sv-SE" w:eastAsia="en-US" w:bidi="ar-SA"/>
    </w:rPr>
  </w:style>
  <w:style w:type="paragraph" w:styleId="Brdtext">
    <w:name w:val="Body Text"/>
    <w:basedOn w:val="Normal"/>
    <w:rsid w:val="00652FA0"/>
    <w:pPr>
      <w:spacing w:after="120" w:line="240" w:lineRule="auto"/>
      <w:ind w:left="1134"/>
    </w:pPr>
    <w:rPr>
      <w:rFonts w:ascii="Times New Roman" w:hAnsi="Times New Roman"/>
      <w:lang w:eastAsia="sv-SE"/>
    </w:rPr>
  </w:style>
  <w:style w:type="character" w:styleId="Kommentarsreferens">
    <w:name w:val="annotation reference"/>
    <w:basedOn w:val="Standardstycketeckensnitt"/>
    <w:semiHidden/>
    <w:rsid w:val="00E13F2A"/>
    <w:rPr>
      <w:sz w:val="16"/>
      <w:szCs w:val="16"/>
    </w:rPr>
  </w:style>
  <w:style w:type="paragraph" w:styleId="Kommentarer">
    <w:name w:val="annotation text"/>
    <w:basedOn w:val="Normal"/>
    <w:semiHidden/>
    <w:rsid w:val="00E13F2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1413</Words>
  <Characters>8824</Characters>
  <Application>Microsoft Office Word</Application>
  <DocSecurity>4</DocSecurity>
  <Lines>215</Lines>
  <Paragraphs>74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2025-12-17T04:12:00Z</dcterms:created>
  <dcterms:modified xsi:type="dcterms:W3CDTF">2025-12-17T04:12:00Z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60</vt:i4>
  </property>
</Properties>
</file>