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4AB3933" w14:textId="77777777" w:rsidTr="0037351B">
        <w:tc>
          <w:tcPr>
            <w:tcW w:w="2268" w:type="dxa"/>
          </w:tcPr>
          <w:p w14:paraId="3CB52C1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68B317" w14:textId="77777777" w:rsidR="006E4E11" w:rsidRDefault="006E4E11" w:rsidP="007242A3">
            <w:pPr>
              <w:framePr w:w="5035" w:h="1644" w:wrap="notBeside" w:vAnchor="page" w:hAnchor="page" w:x="6573" w:y="721"/>
              <w:rPr>
                <w:rFonts w:ascii="TradeGothic" w:hAnsi="TradeGothic"/>
                <w:i/>
                <w:sz w:val="18"/>
              </w:rPr>
            </w:pPr>
          </w:p>
        </w:tc>
      </w:tr>
      <w:tr w:rsidR="0037351B" w14:paraId="0FA14113" w14:textId="77777777" w:rsidTr="0037351B">
        <w:tc>
          <w:tcPr>
            <w:tcW w:w="5267" w:type="dxa"/>
            <w:gridSpan w:val="3"/>
          </w:tcPr>
          <w:p w14:paraId="37BE03B6" w14:textId="062E51AB" w:rsidR="0037351B" w:rsidRDefault="00AF0551" w:rsidP="007242A3">
            <w:pPr>
              <w:framePr w:w="5035" w:h="1644" w:wrap="notBeside" w:vAnchor="page" w:hAnchor="page" w:x="6573" w:y="721"/>
              <w:rPr>
                <w:rFonts w:ascii="TradeGothic" w:hAnsi="TradeGothic"/>
                <w:b/>
                <w:sz w:val="22"/>
              </w:rPr>
            </w:pPr>
            <w:r>
              <w:rPr>
                <w:rFonts w:ascii="TradeGothic" w:hAnsi="TradeGothic"/>
                <w:b/>
                <w:sz w:val="22"/>
              </w:rPr>
              <w:t>PM till riksdagen</w:t>
            </w:r>
          </w:p>
        </w:tc>
      </w:tr>
      <w:tr w:rsidR="006E4E11" w14:paraId="1C7001C3" w14:textId="77777777" w:rsidTr="0037351B">
        <w:tc>
          <w:tcPr>
            <w:tcW w:w="3402" w:type="dxa"/>
            <w:gridSpan w:val="2"/>
          </w:tcPr>
          <w:p w14:paraId="384A3538" w14:textId="77777777" w:rsidR="006E4E11" w:rsidRDefault="006E4E11" w:rsidP="007242A3">
            <w:pPr>
              <w:framePr w:w="5035" w:h="1644" w:wrap="notBeside" w:vAnchor="page" w:hAnchor="page" w:x="6573" w:y="721"/>
            </w:pPr>
          </w:p>
        </w:tc>
        <w:tc>
          <w:tcPr>
            <w:tcW w:w="1865" w:type="dxa"/>
          </w:tcPr>
          <w:p w14:paraId="11E86B7B" w14:textId="77777777" w:rsidR="006E4E11" w:rsidRDefault="006E4E11" w:rsidP="007242A3">
            <w:pPr>
              <w:framePr w:w="5035" w:h="1644" w:wrap="notBeside" w:vAnchor="page" w:hAnchor="page" w:x="6573" w:y="721"/>
            </w:pPr>
          </w:p>
        </w:tc>
      </w:tr>
      <w:tr w:rsidR="006E4E11" w14:paraId="6072CB05" w14:textId="77777777" w:rsidTr="0037351B">
        <w:tc>
          <w:tcPr>
            <w:tcW w:w="2268" w:type="dxa"/>
          </w:tcPr>
          <w:p w14:paraId="10005289" w14:textId="745E16D4" w:rsidR="006E4E11" w:rsidRDefault="0037351B" w:rsidP="00FD50AC">
            <w:pPr>
              <w:framePr w:w="5035" w:h="1644" w:wrap="notBeside" w:vAnchor="page" w:hAnchor="page" w:x="6573" w:y="721"/>
            </w:pPr>
            <w:r>
              <w:t>201</w:t>
            </w:r>
            <w:r w:rsidR="00FD50AC">
              <w:t>4</w:t>
            </w:r>
            <w:r>
              <w:t>-</w:t>
            </w:r>
            <w:r w:rsidR="00FD50AC">
              <w:t>05</w:t>
            </w:r>
            <w:r>
              <w:t>-2</w:t>
            </w:r>
            <w:r w:rsidR="006B3CF4">
              <w:t>8</w:t>
            </w:r>
          </w:p>
        </w:tc>
        <w:tc>
          <w:tcPr>
            <w:tcW w:w="2999" w:type="dxa"/>
            <w:gridSpan w:val="2"/>
          </w:tcPr>
          <w:p w14:paraId="776B0A30" w14:textId="77777777" w:rsidR="006E4E11" w:rsidRPr="00ED583F" w:rsidRDefault="006E4E11" w:rsidP="007242A3">
            <w:pPr>
              <w:framePr w:w="5035" w:h="1644" w:wrap="notBeside" w:vAnchor="page" w:hAnchor="page" w:x="6573" w:y="721"/>
              <w:rPr>
                <w:sz w:val="20"/>
              </w:rPr>
            </w:pPr>
          </w:p>
        </w:tc>
      </w:tr>
      <w:tr w:rsidR="006E4E11" w14:paraId="12A7767D" w14:textId="77777777" w:rsidTr="0037351B">
        <w:tc>
          <w:tcPr>
            <w:tcW w:w="2268" w:type="dxa"/>
          </w:tcPr>
          <w:p w14:paraId="2EE37B20" w14:textId="69684965" w:rsidR="006E4E11" w:rsidRDefault="006E4E11" w:rsidP="007242A3">
            <w:pPr>
              <w:framePr w:w="5035" w:h="1644" w:wrap="notBeside" w:vAnchor="page" w:hAnchor="page" w:x="6573" w:y="721"/>
            </w:pPr>
          </w:p>
        </w:tc>
        <w:tc>
          <w:tcPr>
            <w:tcW w:w="2999" w:type="dxa"/>
            <w:gridSpan w:val="2"/>
          </w:tcPr>
          <w:p w14:paraId="67F73B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29E4597" w14:textId="77777777">
        <w:trPr>
          <w:trHeight w:val="284"/>
        </w:trPr>
        <w:tc>
          <w:tcPr>
            <w:tcW w:w="4911" w:type="dxa"/>
          </w:tcPr>
          <w:p w14:paraId="3D795428" w14:textId="77777777" w:rsidR="006E4E11" w:rsidRDefault="0037351B">
            <w:pPr>
              <w:pStyle w:val="Avsndare"/>
              <w:framePr w:h="2483" w:wrap="notBeside" w:x="1504"/>
              <w:rPr>
                <w:b/>
                <w:i w:val="0"/>
                <w:sz w:val="22"/>
              </w:rPr>
            </w:pPr>
            <w:r>
              <w:rPr>
                <w:b/>
                <w:i w:val="0"/>
                <w:sz w:val="22"/>
              </w:rPr>
              <w:t>Näringsdepartementet</w:t>
            </w:r>
          </w:p>
        </w:tc>
      </w:tr>
      <w:tr w:rsidR="006E4E11" w14:paraId="10A077B5" w14:textId="77777777">
        <w:trPr>
          <w:trHeight w:val="284"/>
        </w:trPr>
        <w:tc>
          <w:tcPr>
            <w:tcW w:w="4911" w:type="dxa"/>
          </w:tcPr>
          <w:p w14:paraId="3CE0A180" w14:textId="77777777" w:rsidR="006E4E11" w:rsidRDefault="006E4E11">
            <w:pPr>
              <w:pStyle w:val="Avsndare"/>
              <w:framePr w:h="2483" w:wrap="notBeside" w:x="1504"/>
              <w:rPr>
                <w:bCs/>
                <w:iCs/>
              </w:rPr>
            </w:pPr>
          </w:p>
        </w:tc>
      </w:tr>
      <w:tr w:rsidR="006E4E11" w14:paraId="2F283115" w14:textId="77777777">
        <w:trPr>
          <w:trHeight w:val="284"/>
        </w:trPr>
        <w:tc>
          <w:tcPr>
            <w:tcW w:w="4911" w:type="dxa"/>
          </w:tcPr>
          <w:p w14:paraId="771D03D0" w14:textId="55FD3D93" w:rsidR="006E4E11" w:rsidRDefault="00221597">
            <w:pPr>
              <w:pStyle w:val="Avsndare"/>
              <w:framePr w:h="2483" w:wrap="notBeside" w:x="1504"/>
              <w:rPr>
                <w:bCs/>
                <w:iCs/>
              </w:rPr>
            </w:pPr>
            <w:r>
              <w:rPr>
                <w:bCs/>
                <w:iCs/>
              </w:rPr>
              <w:t>Energi</w:t>
            </w:r>
          </w:p>
        </w:tc>
      </w:tr>
      <w:tr w:rsidR="006E4E11" w14:paraId="1110EE71" w14:textId="77777777">
        <w:trPr>
          <w:trHeight w:val="284"/>
        </w:trPr>
        <w:tc>
          <w:tcPr>
            <w:tcW w:w="4911" w:type="dxa"/>
          </w:tcPr>
          <w:p w14:paraId="33EFC979" w14:textId="77777777" w:rsidR="006E4E11" w:rsidRDefault="006E4E11">
            <w:pPr>
              <w:pStyle w:val="Avsndare"/>
              <w:framePr w:h="2483" w:wrap="notBeside" w:x="1504"/>
              <w:rPr>
                <w:bCs/>
                <w:iCs/>
              </w:rPr>
            </w:pPr>
          </w:p>
        </w:tc>
      </w:tr>
      <w:tr w:rsidR="006E4E11" w14:paraId="549571D5" w14:textId="77777777">
        <w:trPr>
          <w:trHeight w:val="284"/>
        </w:trPr>
        <w:tc>
          <w:tcPr>
            <w:tcW w:w="4911" w:type="dxa"/>
          </w:tcPr>
          <w:p w14:paraId="51982377" w14:textId="77777777" w:rsidR="006E4E11" w:rsidRDefault="006E4E11">
            <w:pPr>
              <w:pStyle w:val="Avsndare"/>
              <w:framePr w:h="2483" w:wrap="notBeside" w:x="1504"/>
              <w:rPr>
                <w:bCs/>
                <w:iCs/>
              </w:rPr>
            </w:pPr>
          </w:p>
        </w:tc>
      </w:tr>
      <w:tr w:rsidR="006E4E11" w14:paraId="2E19EBD8" w14:textId="77777777">
        <w:trPr>
          <w:trHeight w:val="284"/>
        </w:trPr>
        <w:tc>
          <w:tcPr>
            <w:tcW w:w="4911" w:type="dxa"/>
          </w:tcPr>
          <w:p w14:paraId="043CDDE9" w14:textId="77777777" w:rsidR="006E4E11" w:rsidRDefault="006E4E11">
            <w:pPr>
              <w:pStyle w:val="Avsndare"/>
              <w:framePr w:h="2483" w:wrap="notBeside" w:x="1504"/>
              <w:rPr>
                <w:bCs/>
                <w:iCs/>
              </w:rPr>
            </w:pPr>
          </w:p>
        </w:tc>
      </w:tr>
      <w:tr w:rsidR="006E4E11" w14:paraId="5641F653" w14:textId="77777777">
        <w:trPr>
          <w:trHeight w:val="284"/>
        </w:trPr>
        <w:tc>
          <w:tcPr>
            <w:tcW w:w="4911" w:type="dxa"/>
          </w:tcPr>
          <w:p w14:paraId="337979CA" w14:textId="0B74FFEF" w:rsidR="006E4E11" w:rsidRDefault="006E4E11">
            <w:pPr>
              <w:pStyle w:val="Avsndare"/>
              <w:framePr w:h="2483" w:wrap="notBeside" w:x="1504"/>
              <w:rPr>
                <w:bCs/>
                <w:iCs/>
              </w:rPr>
            </w:pPr>
            <w:bookmarkStart w:id="0" w:name="_GoBack"/>
            <w:bookmarkEnd w:id="0"/>
          </w:p>
        </w:tc>
      </w:tr>
      <w:tr w:rsidR="006E4E11" w14:paraId="2C6C7841" w14:textId="77777777">
        <w:trPr>
          <w:trHeight w:val="284"/>
        </w:trPr>
        <w:tc>
          <w:tcPr>
            <w:tcW w:w="4911" w:type="dxa"/>
          </w:tcPr>
          <w:p w14:paraId="3B93B3FB" w14:textId="77777777" w:rsidR="006E4E11" w:rsidRDefault="006E4E11">
            <w:pPr>
              <w:pStyle w:val="Avsndare"/>
              <w:framePr w:h="2483" w:wrap="notBeside" w:x="1504"/>
              <w:rPr>
                <w:bCs/>
                <w:iCs/>
              </w:rPr>
            </w:pPr>
          </w:p>
        </w:tc>
      </w:tr>
      <w:tr w:rsidR="006E4E11" w14:paraId="495A1401" w14:textId="77777777">
        <w:trPr>
          <w:trHeight w:val="284"/>
        </w:trPr>
        <w:tc>
          <w:tcPr>
            <w:tcW w:w="4911" w:type="dxa"/>
          </w:tcPr>
          <w:p w14:paraId="584E27CF" w14:textId="77777777" w:rsidR="006E4E11" w:rsidRDefault="006E4E11">
            <w:pPr>
              <w:pStyle w:val="Avsndare"/>
              <w:framePr w:h="2483" w:wrap="notBeside" w:x="1504"/>
              <w:rPr>
                <w:bCs/>
                <w:iCs/>
              </w:rPr>
            </w:pPr>
          </w:p>
        </w:tc>
      </w:tr>
    </w:tbl>
    <w:p w14:paraId="1FBE421B" w14:textId="77777777" w:rsidR="006E4E11" w:rsidRPr="0037351B" w:rsidRDefault="006E4E11">
      <w:pPr>
        <w:framePr w:w="4400" w:h="2523" w:wrap="notBeside" w:vAnchor="page" w:hAnchor="page" w:x="6453" w:y="2445"/>
        <w:ind w:left="142"/>
        <w:rPr>
          <w:b/>
        </w:rPr>
      </w:pPr>
    </w:p>
    <w:p w14:paraId="60FAD42F" w14:textId="221BC3D4" w:rsidR="0037351B" w:rsidRDefault="0037351B">
      <w:pPr>
        <w:pStyle w:val="RKrubrik"/>
        <w:pBdr>
          <w:bottom w:val="single" w:sz="6" w:space="1" w:color="auto"/>
        </w:pBdr>
      </w:pPr>
      <w:bookmarkStart w:id="1" w:name="bRubrik"/>
      <w:bookmarkEnd w:id="1"/>
      <w:r>
        <w:t>Rådets möte (</w:t>
      </w:r>
      <w:r w:rsidR="00003C19">
        <w:t>TTE</w:t>
      </w:r>
      <w:r>
        <w:t xml:space="preserve">) den </w:t>
      </w:r>
      <w:r w:rsidR="001B58D1">
        <w:t>13 juni</w:t>
      </w:r>
      <w:r w:rsidR="00003C19">
        <w:t xml:space="preserve"> 201</w:t>
      </w:r>
      <w:r w:rsidR="001B58D1">
        <w:t>4</w:t>
      </w:r>
    </w:p>
    <w:p w14:paraId="11AAE8C4" w14:textId="77777777" w:rsidR="0037351B" w:rsidRDefault="0037351B">
      <w:pPr>
        <w:pStyle w:val="RKnormal"/>
      </w:pPr>
    </w:p>
    <w:p w14:paraId="64B06AF0" w14:textId="77777777" w:rsidR="0037351B" w:rsidRDefault="0037351B">
      <w:pPr>
        <w:pStyle w:val="RKnormal"/>
      </w:pPr>
      <w:r>
        <w:t xml:space="preserve">Dagordningspunkt </w:t>
      </w:r>
      <w:r w:rsidR="00003C19">
        <w:t>4</w:t>
      </w:r>
    </w:p>
    <w:p w14:paraId="5F035AD1" w14:textId="77777777" w:rsidR="0037351B" w:rsidRDefault="0037351B">
      <w:pPr>
        <w:pStyle w:val="RKnormal"/>
      </w:pPr>
    </w:p>
    <w:p w14:paraId="45A33F03" w14:textId="77777777" w:rsidR="00657ABF" w:rsidRPr="00AE4590" w:rsidRDefault="00657ABF" w:rsidP="00657ABF">
      <w:pPr>
        <w:spacing w:line="240" w:lineRule="auto"/>
        <w:ind w:left="567" w:hanging="567"/>
      </w:pPr>
      <w:r>
        <w:t>Rubrik: Förslag till Europaparlamentets och rådets direktiv om ändringar av  direktiv 98/70/EG om kvaliteten på bensin och dieselbränslen och om ändring av direktiv 2009/28/EG om främjande av användning av energi från förnybara energikällor.</w:t>
      </w:r>
      <w:r w:rsidRPr="00AE4590" w:rsidDel="00FA3F5A">
        <w:t xml:space="preserve"> </w:t>
      </w:r>
      <w:r w:rsidRPr="00AE4590">
        <w:t>(</w:t>
      </w:r>
      <w:r>
        <w:t>Första läsning)</w:t>
      </w:r>
    </w:p>
    <w:p w14:paraId="22B52F7B" w14:textId="77777777" w:rsidR="00657ABF" w:rsidRPr="007F065C" w:rsidRDefault="00657ABF" w:rsidP="00657ABF">
      <w:pPr>
        <w:ind w:left="567"/>
        <w:rPr>
          <w:bCs/>
          <w:i/>
          <w:iCs/>
        </w:rPr>
      </w:pPr>
      <w:r w:rsidRPr="007F065C">
        <w:rPr>
          <w:bCs/>
          <w:i/>
          <w:iCs/>
        </w:rPr>
        <w:t>=</w:t>
      </w:r>
      <w:r w:rsidRPr="007F065C">
        <w:rPr>
          <w:bCs/>
          <w:i/>
          <w:iCs/>
        </w:rPr>
        <w:tab/>
      </w:r>
      <w:r>
        <w:rPr>
          <w:bCs/>
          <w:i/>
          <w:iCs/>
        </w:rPr>
        <w:t xml:space="preserve">Politisk överenskommelse </w:t>
      </w:r>
    </w:p>
    <w:p w14:paraId="63E0E7D3" w14:textId="7ABB581D" w:rsidR="0037351B" w:rsidRDefault="0037351B">
      <w:pPr>
        <w:pStyle w:val="RKnormal"/>
      </w:pPr>
    </w:p>
    <w:p w14:paraId="462A66CA" w14:textId="77777777" w:rsidR="0037351B" w:rsidRDefault="0037351B">
      <w:pPr>
        <w:pStyle w:val="RKnormal"/>
      </w:pPr>
    </w:p>
    <w:p w14:paraId="63B624C1" w14:textId="77777777" w:rsidR="00003C19" w:rsidRPr="007F065C" w:rsidRDefault="0037351B" w:rsidP="00AE4590">
      <w:pPr>
        <w:rPr>
          <w:bCs/>
        </w:rPr>
      </w:pPr>
      <w:r>
        <w:t>Dokument:</w:t>
      </w:r>
      <w:r w:rsidR="00003C19" w:rsidRPr="007F065C">
        <w:rPr>
          <w:bCs/>
        </w:rPr>
        <w:t xml:space="preserve"> 2012/0288 (COD) </w:t>
      </w:r>
    </w:p>
    <w:p w14:paraId="5DACE3FE" w14:textId="77777777" w:rsidR="0037351B" w:rsidRDefault="0037351B">
      <w:pPr>
        <w:pStyle w:val="RKnormal"/>
      </w:pPr>
    </w:p>
    <w:p w14:paraId="4CB365FB" w14:textId="77777777" w:rsidR="0037351B" w:rsidRDefault="0037351B">
      <w:pPr>
        <w:pStyle w:val="RKnormal"/>
      </w:pPr>
    </w:p>
    <w:p w14:paraId="195C3ECE" w14:textId="77777777" w:rsidR="0037351B" w:rsidRDefault="0037351B">
      <w:pPr>
        <w:pStyle w:val="RKnormal"/>
      </w:pPr>
      <w:r>
        <w:t>Tidigare dokument</w:t>
      </w:r>
      <w:r w:rsidR="00003C19">
        <w:t xml:space="preserve">: </w:t>
      </w:r>
      <w:r w:rsidR="00003C19" w:rsidRPr="00FE31A9">
        <w:t>Faktapromemoria 2012/13:FPM40</w:t>
      </w:r>
    </w:p>
    <w:p w14:paraId="02E2188A" w14:textId="77777777" w:rsidR="0037351B" w:rsidRDefault="0037351B">
      <w:pPr>
        <w:pStyle w:val="RKnormal"/>
      </w:pPr>
    </w:p>
    <w:p w14:paraId="36D42659" w14:textId="02DC0C63" w:rsidR="0037351B" w:rsidRDefault="0037351B">
      <w:pPr>
        <w:pStyle w:val="RKnormal"/>
      </w:pPr>
      <w:r>
        <w:t xml:space="preserve">Tidigare behandlad vid samråd med EU-nämnden: </w:t>
      </w:r>
      <w:r w:rsidR="00AE4590">
        <w:t>Frågan behandlades i EU-nämnden inför TTE-rådet (energi) den 22 februari</w:t>
      </w:r>
      <w:r w:rsidR="00FD50AC">
        <w:t xml:space="preserve"> 2013</w:t>
      </w:r>
      <w:r w:rsidR="00AE4590">
        <w:t>, miljörådet den 21 mars</w:t>
      </w:r>
      <w:r w:rsidR="00FD50AC">
        <w:t xml:space="preserve"> 2013</w:t>
      </w:r>
      <w:r w:rsidR="00AE4590">
        <w:t>, TTE-rådet (energi) den 7 juni</w:t>
      </w:r>
      <w:r w:rsidR="00FD50AC">
        <w:t xml:space="preserve"> 2013, </w:t>
      </w:r>
      <w:r w:rsidR="00AE4590">
        <w:t xml:space="preserve">miljörådet den </w:t>
      </w:r>
      <w:r w:rsidR="00EB0E0E">
        <w:t>18 juni</w:t>
      </w:r>
      <w:r w:rsidR="00FD50AC">
        <w:t xml:space="preserve"> 2013 samt TTE-rådet 12 december 2013</w:t>
      </w:r>
      <w:r w:rsidR="00EB0E0E">
        <w:t xml:space="preserve">. </w:t>
      </w:r>
    </w:p>
    <w:p w14:paraId="03CFF15D" w14:textId="77777777" w:rsidR="00EB0E0E" w:rsidRDefault="00EB0E0E">
      <w:pPr>
        <w:pStyle w:val="RKnormal"/>
      </w:pPr>
    </w:p>
    <w:p w14:paraId="5B6B3CC6" w14:textId="77777777" w:rsidR="0037351B" w:rsidRDefault="0037351B">
      <w:pPr>
        <w:pStyle w:val="RKrubrik"/>
      </w:pPr>
      <w:r>
        <w:t>Bakgrund</w:t>
      </w:r>
    </w:p>
    <w:p w14:paraId="008AFC39" w14:textId="25312EC1" w:rsidR="00EB0E0E" w:rsidRPr="00F51824" w:rsidRDefault="00EB0E0E" w:rsidP="00EB0E0E">
      <w:pPr>
        <w:pStyle w:val="RKnormal"/>
      </w:pPr>
      <w:r w:rsidRPr="00F51824">
        <w:t xml:space="preserve">I direktivet om främjande av användningen av energi från förnybara energikällor (2009/28/EG), det s.k. förnybartdirektivet, fastställdes </w:t>
      </w:r>
      <w:r w:rsidR="0027259E">
        <w:t xml:space="preserve">att </w:t>
      </w:r>
      <w:r w:rsidRPr="00F51824">
        <w:t>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w:t>
      </w:r>
      <w:r w:rsidR="0027259E">
        <w:t>19</w:t>
      </w:r>
      <w:r w:rsidRPr="00F51824">
        <w:t>98/70/EG), det s.k. bränslekvalitetsdirektivet, ett bindande mål om att växthusgasintensiteten för drivmedel som används för vägtransporter och mobila maskiner som inte är avsedda att användas på väg ska minska med 6 procent mellan 2010 och 2020.</w:t>
      </w:r>
    </w:p>
    <w:p w14:paraId="6EFAD6C5" w14:textId="77777777" w:rsidR="00EB0E0E" w:rsidRPr="00F51824" w:rsidRDefault="00EB0E0E" w:rsidP="00EB0E0E">
      <w:pPr>
        <w:pStyle w:val="RKnormal"/>
      </w:pPr>
      <w:r w:rsidRPr="00F51824">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14:paraId="280E2906" w14:textId="0D415D00" w:rsidR="00EB0E0E" w:rsidRDefault="00EB0E0E" w:rsidP="00EB0E0E">
      <w:pPr>
        <w:pStyle w:val="RKnormal"/>
      </w:pPr>
      <w:r w:rsidRPr="00F51824">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w:t>
      </w:r>
      <w:r>
        <w:t>presenterade den 17 okto</w:t>
      </w:r>
      <w:r w:rsidR="007C59DC">
        <w:t>b</w:t>
      </w:r>
      <w:r>
        <w:t xml:space="preserve">er 2012 </w:t>
      </w:r>
      <w:r w:rsidR="00221597">
        <w:t>ett förslag till direktiv med detta syfte</w:t>
      </w:r>
      <w:r w:rsidRPr="00F51824">
        <w:t xml:space="preserve">. </w:t>
      </w:r>
    </w:p>
    <w:p w14:paraId="424887F2" w14:textId="77777777" w:rsidR="00EB0E0E" w:rsidRDefault="00EB0E0E" w:rsidP="00EB0E0E">
      <w:pPr>
        <w:pStyle w:val="RKnormal"/>
        <w:rPr>
          <w:i/>
        </w:rPr>
      </w:pPr>
    </w:p>
    <w:p w14:paraId="739434AA" w14:textId="77777777" w:rsidR="00EB0E0E" w:rsidRDefault="00EB0E0E" w:rsidP="00EB0E0E">
      <w:pPr>
        <w:pStyle w:val="RKnormal"/>
        <w:rPr>
          <w:i/>
        </w:rPr>
      </w:pPr>
      <w:r w:rsidRPr="00BB6D4A">
        <w:rPr>
          <w:i/>
        </w:rPr>
        <w:t>Förhandlingsläget</w:t>
      </w:r>
    </w:p>
    <w:p w14:paraId="17B5513A" w14:textId="0F3550D6" w:rsidR="004B47E3" w:rsidRDefault="00281CA4" w:rsidP="00EB0E0E">
      <w:pPr>
        <w:tabs>
          <w:tab w:val="left" w:pos="709"/>
          <w:tab w:val="left" w:pos="2835"/>
        </w:tabs>
        <w:spacing w:line="240" w:lineRule="atLeast"/>
      </w:pPr>
      <w:r>
        <w:lastRenderedPageBreak/>
        <w:t xml:space="preserve">Förslaget har förhandlats i både rådet och Europaparlamentet under </w:t>
      </w:r>
      <w:r w:rsidR="00FD50AC">
        <w:t>2013</w:t>
      </w:r>
      <w:r>
        <w:t xml:space="preserve">. </w:t>
      </w:r>
      <w:r w:rsidR="00EB0E0E" w:rsidRPr="004407A8">
        <w:t xml:space="preserve">Orienteringsdebatter </w:t>
      </w:r>
      <w:r>
        <w:t xml:space="preserve">i rådet </w:t>
      </w:r>
      <w:r w:rsidR="00EB0E0E" w:rsidRPr="004407A8">
        <w:t>hölls vid TTE-rådet (energi) den 22 februari och miljörådet den 21 mars</w:t>
      </w:r>
      <w:r w:rsidR="00EB0E0E">
        <w:t xml:space="preserve">. Ordförandeskapet lämnade lägesrapporter vid TTE-rådet den 7 juni </w:t>
      </w:r>
      <w:r w:rsidR="009B375A">
        <w:t>och</w:t>
      </w:r>
      <w:r w:rsidR="00EB0E0E">
        <w:t xml:space="preserve"> miljörådet den 18 juni</w:t>
      </w:r>
      <w:r w:rsidR="00FD50AC">
        <w:t xml:space="preserve"> </w:t>
      </w:r>
      <w:r w:rsidR="00E01408">
        <w:t xml:space="preserve">samt försökte utan framgång vid att TTE-rådet den 12 december nå en </w:t>
      </w:r>
      <w:r w:rsidR="00E01408" w:rsidRPr="00BF66CC">
        <w:rPr>
          <w:i/>
        </w:rPr>
        <w:t xml:space="preserve">politisk överenskommelse </w:t>
      </w:r>
      <w:r w:rsidR="00E01408">
        <w:t>om rådet</w:t>
      </w:r>
      <w:r w:rsidR="009B375A">
        <w:t>s</w:t>
      </w:r>
      <w:r w:rsidR="00E01408">
        <w:t xml:space="preserve"> första läsning.</w:t>
      </w:r>
      <w:r w:rsidR="004B47E3">
        <w:t xml:space="preserve"> </w:t>
      </w:r>
    </w:p>
    <w:p w14:paraId="21F9CE1A" w14:textId="77777777" w:rsidR="007C310B" w:rsidRDefault="007C310B" w:rsidP="00EB0E0E">
      <w:pPr>
        <w:tabs>
          <w:tab w:val="left" w:pos="709"/>
          <w:tab w:val="left" w:pos="2835"/>
        </w:tabs>
        <w:spacing w:line="240" w:lineRule="atLeast"/>
      </w:pPr>
    </w:p>
    <w:p w14:paraId="07647F7C" w14:textId="3A9AC7D3" w:rsidR="00281CA4" w:rsidRDefault="00281CA4" w:rsidP="00281CA4">
      <w:pPr>
        <w:pStyle w:val="RKnormal"/>
      </w:pPr>
      <w:r w:rsidRPr="004F2564">
        <w:t xml:space="preserve">Rådet och Europaparlamentet </w:t>
      </w:r>
      <w:r w:rsidR="009B375A">
        <w:t>var till att börja med</w:t>
      </w:r>
      <w:r>
        <w:t xml:space="preserve"> inställda på en</w:t>
      </w:r>
      <w:r w:rsidR="0023486F">
        <w:t xml:space="preserve"> överenskommelse i första läsning. Det litauiska ordförandeskapet ursprungliga ansats var att nå en överenskommelse med Europaparlamentet </w:t>
      </w:r>
      <w:r w:rsidR="00EF6879">
        <w:t xml:space="preserve">innan </w:t>
      </w:r>
      <w:r w:rsidR="009B375A">
        <w:t>utgången av 2013.</w:t>
      </w:r>
      <w:r w:rsidR="00EF6879">
        <w:t xml:space="preserve"> </w:t>
      </w:r>
      <w:r w:rsidR="009B375A">
        <w:t xml:space="preserve">Då </w:t>
      </w:r>
      <w:r w:rsidR="00EF6879">
        <w:t xml:space="preserve">diskussionerna i rådet inte </w:t>
      </w:r>
      <w:r w:rsidR="009B375A">
        <w:t>kunde</w:t>
      </w:r>
      <w:r w:rsidR="00EF6879">
        <w:t xml:space="preserve"> avslutas</w:t>
      </w:r>
      <w:r w:rsidR="009B375A">
        <w:t xml:space="preserve"> under hösten 2013 och då</w:t>
      </w:r>
      <w:r w:rsidR="00EF6879">
        <w:t xml:space="preserve"> </w:t>
      </w:r>
      <w:r>
        <w:t xml:space="preserve">Europaparlamentet </w:t>
      </w:r>
      <w:r w:rsidR="0023486F">
        <w:t xml:space="preserve">inte </w:t>
      </w:r>
      <w:r w:rsidR="009B375A">
        <w:t>beslutade</w:t>
      </w:r>
      <w:r w:rsidR="0023486F">
        <w:t xml:space="preserve"> om</w:t>
      </w:r>
      <w:r>
        <w:t xml:space="preserve"> ett mandat till att inleda triloger med rådet</w:t>
      </w:r>
      <w:r w:rsidR="009B375A">
        <w:t xml:space="preserve"> var det dock inte möjligt att inleda </w:t>
      </w:r>
      <w:r w:rsidR="0027259E">
        <w:t>förhandlingar</w:t>
      </w:r>
      <w:r w:rsidR="009B375A">
        <w:t xml:space="preserve"> mellan rådet och parlamentet under hösten 2013</w:t>
      </w:r>
      <w:r>
        <w:t xml:space="preserve">. I september </w:t>
      </w:r>
      <w:r w:rsidR="00E01408">
        <w:t xml:space="preserve">2013 </w:t>
      </w:r>
      <w:r>
        <w:t xml:space="preserve">röstade </w:t>
      </w:r>
      <w:r w:rsidR="0023486F">
        <w:t xml:space="preserve">Europaparlamentet istället </w:t>
      </w:r>
      <w:r>
        <w:t>igenom Europaparlamentets första läsning</w:t>
      </w:r>
      <w:r w:rsidR="00EF6879">
        <w:t xml:space="preserve"> av förslaget</w:t>
      </w:r>
      <w:r>
        <w:t xml:space="preserve">. </w:t>
      </w:r>
    </w:p>
    <w:p w14:paraId="357B68D3" w14:textId="77777777" w:rsidR="00281CA4" w:rsidRDefault="00281CA4" w:rsidP="00281CA4">
      <w:pPr>
        <w:pStyle w:val="RKnormal"/>
      </w:pPr>
    </w:p>
    <w:p w14:paraId="5A714A02" w14:textId="5EF0AAB0" w:rsidR="00281CA4" w:rsidRDefault="00EF6879" w:rsidP="00281CA4">
      <w:pPr>
        <w:pStyle w:val="RKnormal"/>
      </w:pPr>
      <w:r>
        <w:t xml:space="preserve">Eftersom Europaparlamentet inte </w:t>
      </w:r>
      <w:r w:rsidR="009B375A">
        <w:t xml:space="preserve">beslutade </w:t>
      </w:r>
      <w:r>
        <w:t xml:space="preserve">om </w:t>
      </w:r>
      <w:r w:rsidR="0027259E">
        <w:t xml:space="preserve">ett </w:t>
      </w:r>
      <w:r>
        <w:t xml:space="preserve">mandat till triloger </w:t>
      </w:r>
      <w:r w:rsidR="00E01408">
        <w:t>bes</w:t>
      </w:r>
      <w:r w:rsidR="009B375A">
        <w:t>tämde</w:t>
      </w:r>
      <w:r w:rsidR="00E01408">
        <w:t xml:space="preserve"> det </w:t>
      </w:r>
      <w:r>
        <w:t>litauiska ordförandeskapet sig för att gå vidare till en andra läsning av förslaget</w:t>
      </w:r>
      <w:r w:rsidR="00281CA4">
        <w:t>.</w:t>
      </w:r>
      <w:r>
        <w:t xml:space="preserve"> Det inneb</w:t>
      </w:r>
      <w:r w:rsidR="009B375A">
        <w:t>a</w:t>
      </w:r>
      <w:r>
        <w:t>r att rådet, liksom Europaparlamentet gjorde i september</w:t>
      </w:r>
      <w:r w:rsidR="009B375A">
        <w:t xml:space="preserve"> 2013</w:t>
      </w:r>
      <w:r>
        <w:t>,</w:t>
      </w:r>
      <w:r w:rsidR="009B375A">
        <w:t xml:space="preserve"> förväntades</w:t>
      </w:r>
      <w:r>
        <w:t xml:space="preserve"> ta ställning till kommissionens förslag och anta sin första läsning.</w:t>
      </w:r>
      <w:r w:rsidR="00281CA4">
        <w:t xml:space="preserve"> </w:t>
      </w:r>
      <w:r w:rsidR="0023486F">
        <w:t>Det litauiska ordförandeskapet</w:t>
      </w:r>
      <w:r w:rsidR="00EC128C">
        <w:t xml:space="preserve"> </w:t>
      </w:r>
      <w:r w:rsidR="00E01408">
        <w:t xml:space="preserve">misslyckades dock i sin ambition att vid </w:t>
      </w:r>
      <w:r w:rsidR="00EC128C">
        <w:t>TTE-rådet den 12 december</w:t>
      </w:r>
      <w:r w:rsidR="00854F88">
        <w:t xml:space="preserve"> </w:t>
      </w:r>
      <w:r w:rsidR="009B375A">
        <w:t xml:space="preserve">att </w:t>
      </w:r>
      <w:r w:rsidR="00854F88">
        <w:t xml:space="preserve">nå en </w:t>
      </w:r>
      <w:r w:rsidR="00854F88" w:rsidRPr="00BF66CC">
        <w:rPr>
          <w:i/>
        </w:rPr>
        <w:t xml:space="preserve">politisk överenskommelse </w:t>
      </w:r>
      <w:r w:rsidR="00854F88">
        <w:t xml:space="preserve">om </w:t>
      </w:r>
      <w:r w:rsidR="00EC128C">
        <w:t>rådet första läsning.</w:t>
      </w:r>
      <w:r w:rsidR="00281CA4">
        <w:t xml:space="preserve"> </w:t>
      </w:r>
    </w:p>
    <w:p w14:paraId="50A90247" w14:textId="77777777" w:rsidR="00E01408" w:rsidRDefault="00E01408" w:rsidP="00281CA4">
      <w:pPr>
        <w:pStyle w:val="RKnormal"/>
      </w:pPr>
    </w:p>
    <w:p w14:paraId="05A657F6" w14:textId="51D11540" w:rsidR="00E01408" w:rsidRDefault="00E01408" w:rsidP="00E01408">
      <w:pPr>
        <w:pStyle w:val="RKnormal"/>
      </w:pPr>
      <w:r>
        <w:t xml:space="preserve">Efter fortsatta diskussioner </w:t>
      </w:r>
      <w:r w:rsidR="009B375A">
        <w:t>gö</w:t>
      </w:r>
      <w:r>
        <w:t xml:space="preserve">r det grekiska ordförandeskapet nu ett förnyat försök att vid TTE-rådet den 13 juni </w:t>
      </w:r>
      <w:r w:rsidR="003E6620">
        <w:t xml:space="preserve">2014 </w:t>
      </w:r>
      <w:r>
        <w:t xml:space="preserve">nå en </w:t>
      </w:r>
      <w:r w:rsidRPr="00BF66CC">
        <w:rPr>
          <w:i/>
        </w:rPr>
        <w:t xml:space="preserve">politisk överenskommelse </w:t>
      </w:r>
      <w:r>
        <w:t>om rådet</w:t>
      </w:r>
      <w:r w:rsidR="009B375A">
        <w:t>s</w:t>
      </w:r>
      <w:r>
        <w:t xml:space="preserve"> första läsning. Denna kommer sedan att ligga till grund för fortsatta förhandlingar om en andraläsningsöverenskommelse med Europaparlamentet.</w:t>
      </w:r>
    </w:p>
    <w:p w14:paraId="477BB7D0" w14:textId="768D7598" w:rsidR="004B47E3" w:rsidRDefault="004B47E3" w:rsidP="00EB0E0E">
      <w:pPr>
        <w:tabs>
          <w:tab w:val="left" w:pos="709"/>
          <w:tab w:val="left" w:pos="2835"/>
        </w:tabs>
        <w:spacing w:line="240" w:lineRule="atLeast"/>
      </w:pPr>
    </w:p>
    <w:p w14:paraId="70477F6D" w14:textId="77777777" w:rsidR="00854F88" w:rsidRPr="00BF66CC" w:rsidRDefault="00854F88" w:rsidP="00EB0E0E">
      <w:pPr>
        <w:tabs>
          <w:tab w:val="left" w:pos="709"/>
          <w:tab w:val="left" w:pos="2835"/>
        </w:tabs>
        <w:spacing w:line="240" w:lineRule="atLeast"/>
        <w:rPr>
          <w:i/>
        </w:rPr>
      </w:pPr>
      <w:r w:rsidRPr="00BF66CC">
        <w:rPr>
          <w:i/>
        </w:rPr>
        <w:t>Förslaget till rådets första läsning</w:t>
      </w:r>
    </w:p>
    <w:p w14:paraId="01F062C6" w14:textId="5D2926FE" w:rsidR="00C14095" w:rsidRDefault="004B47E3" w:rsidP="00EB0E0E">
      <w:pPr>
        <w:pStyle w:val="RKnormal"/>
      </w:pPr>
      <w:r>
        <w:t>Det förslag</w:t>
      </w:r>
      <w:r w:rsidR="00854F88">
        <w:t xml:space="preserve"> till rådets första läsning</w:t>
      </w:r>
      <w:r>
        <w:t xml:space="preserve"> som </w:t>
      </w:r>
      <w:r w:rsidR="009B375A">
        <w:t>lades</w:t>
      </w:r>
      <w:r w:rsidR="007C59DC">
        <w:t xml:space="preserve"> fram</w:t>
      </w:r>
      <w:r w:rsidR="00854F88">
        <w:t xml:space="preserve"> för politisk överenskommelse vid TTE-rådet den 12 december</w:t>
      </w:r>
      <w:r w:rsidR="007C59DC">
        <w:t xml:space="preserve"> </w:t>
      </w:r>
      <w:r>
        <w:t>skilj</w:t>
      </w:r>
      <w:r w:rsidR="009B375A">
        <w:t>de</w:t>
      </w:r>
      <w:r>
        <w:t xml:space="preserve"> sig i flera avseenden från </w:t>
      </w:r>
      <w:r w:rsidR="007C310B">
        <w:t>k</w:t>
      </w:r>
      <w:r>
        <w:t>ommissionens ursprungliga förslag. Den föreslagna restriktionen för konventionella biodrivmedel h</w:t>
      </w:r>
      <w:r w:rsidR="009B375A">
        <w:t>öjdes</w:t>
      </w:r>
      <w:r>
        <w:t xml:space="preserve">, från fem till sju procent. </w:t>
      </w:r>
      <w:r w:rsidR="0000188F">
        <w:t>Listan (Annex IX) på vilka råvaror som bör främjas särskilt för produktion av biodrivmedel utöka</w:t>
      </w:r>
      <w:r w:rsidR="009B375A">
        <w:t>de</w:t>
      </w:r>
      <w:r w:rsidR="0000188F">
        <w:t xml:space="preserve">s, främst med skoglig råvara såsom svartlut, lignin och tallolja. </w:t>
      </w:r>
    </w:p>
    <w:p w14:paraId="7E0A083D" w14:textId="77777777" w:rsidR="00C14095" w:rsidRDefault="00C14095" w:rsidP="00EB0E0E">
      <w:pPr>
        <w:pStyle w:val="RKnormal"/>
      </w:pPr>
    </w:p>
    <w:p w14:paraId="61EB02D9" w14:textId="0EC9C9F3" w:rsidR="0000188F" w:rsidRDefault="004B47E3" w:rsidP="00EB0E0E">
      <w:pPr>
        <w:pStyle w:val="RKnormal"/>
      </w:pPr>
      <w:r>
        <w:t>De av kommissionen föreslagna viktningsmekanismerna som syftar till att främja avancerade bio</w:t>
      </w:r>
      <w:r w:rsidR="0000188F">
        <w:t>drivmedel förändra</w:t>
      </w:r>
      <w:r w:rsidR="003E6620">
        <w:t>de</w:t>
      </w:r>
      <w:r w:rsidR="0000188F">
        <w:t xml:space="preserve">s, så att samtliga biodrivmedel upptagna i Annex IX ska räknas dubbelt mot transportmålet. Tidigare förslag till kvadrupelräkning av vissa biodrivmedel </w:t>
      </w:r>
      <w:r w:rsidR="003E6620">
        <w:t>försvann</w:t>
      </w:r>
      <w:r w:rsidR="0027259E">
        <w:t xml:space="preserve"> </w:t>
      </w:r>
      <w:r w:rsidR="0000188F">
        <w:t>därmed. Däremot föresl</w:t>
      </w:r>
      <w:r w:rsidR="003E6620">
        <w:t>og</w:t>
      </w:r>
      <w:r w:rsidR="0000188F">
        <w:t xml:space="preserve">s dubbelräkningen </w:t>
      </w:r>
      <w:r w:rsidR="008906E5">
        <w:t xml:space="preserve">av vissa biodrivmedel </w:t>
      </w:r>
      <w:r w:rsidR="0000188F">
        <w:t xml:space="preserve">nu gälla även mot det övergripande bördefördelade förnybartmålet och inte bara mot transportmålet. </w:t>
      </w:r>
    </w:p>
    <w:p w14:paraId="0FD924D0" w14:textId="77777777" w:rsidR="0000188F" w:rsidRDefault="0000188F" w:rsidP="00EB0E0E">
      <w:pPr>
        <w:pStyle w:val="RKnormal"/>
      </w:pPr>
    </w:p>
    <w:p w14:paraId="1865FB35" w14:textId="0F7659F3" w:rsidR="00C14095" w:rsidRDefault="0000188F" w:rsidP="00EB0E0E">
      <w:pPr>
        <w:pStyle w:val="RKnormal"/>
      </w:pPr>
      <w:r>
        <w:t>Viktningen av förnybar el i transpo</w:t>
      </w:r>
      <w:r w:rsidR="007C59DC">
        <w:t>r</w:t>
      </w:r>
      <w:r>
        <w:t>tsektorn föresl</w:t>
      </w:r>
      <w:r w:rsidR="003E6620">
        <w:t>og</w:t>
      </w:r>
      <w:r>
        <w:t xml:space="preserve">s öka så att förnybar el i vägfordon ska multipliceras med 5 vid beräkningen av </w:t>
      </w:r>
      <w:r w:rsidR="00C14095">
        <w:t>måluppfyllelse</w:t>
      </w:r>
      <w:r w:rsidR="008906E5">
        <w:t xml:space="preserve"> av transportmålet</w:t>
      </w:r>
      <w:r>
        <w:t>, jämfört med dagens 2,5</w:t>
      </w:r>
      <w:r w:rsidR="00C14095">
        <w:t>. F</w:t>
      </w:r>
      <w:r>
        <w:t>örnybar el i den spårbundna trafiken ska räknas 2,5 gånger, jämfört med dagens enkelräkning. Denna viktning</w:t>
      </w:r>
      <w:r w:rsidR="00C14095">
        <w:t xml:space="preserve"> av förnybar el syftar till att främja elektrifieringen av transportsektorn och </w:t>
      </w:r>
      <w:r>
        <w:t xml:space="preserve">gäller dock endast mot transportmålet, inte mot det övergripande förnybartmålet. </w:t>
      </w:r>
    </w:p>
    <w:p w14:paraId="1B62EA36" w14:textId="77777777" w:rsidR="00C14095" w:rsidRDefault="00C14095" w:rsidP="00EB0E0E">
      <w:pPr>
        <w:pStyle w:val="RKnormal"/>
      </w:pPr>
    </w:p>
    <w:p w14:paraId="3CBFD7CF" w14:textId="711DC76B" w:rsidR="0000188F" w:rsidRDefault="00C14095" w:rsidP="00EB0E0E">
      <w:pPr>
        <w:pStyle w:val="RKnormal"/>
      </w:pPr>
      <w:r>
        <w:t>Då det inte f</w:t>
      </w:r>
      <w:r w:rsidR="003E6620">
        <w:t>ann</w:t>
      </w:r>
      <w:r>
        <w:t xml:space="preserve">s tillräckligt stöd för ett </w:t>
      </w:r>
      <w:r w:rsidR="003E6620">
        <w:t xml:space="preserve">bindande submål för avancerade biodrivmedel som flera länder velat se </w:t>
      </w:r>
      <w:r w:rsidR="007C59DC">
        <w:t>föresl</w:t>
      </w:r>
      <w:r w:rsidR="003E6620">
        <w:t>og</w:t>
      </w:r>
      <w:r w:rsidR="007C59DC">
        <w:t xml:space="preserve">s </w:t>
      </w:r>
      <w:r w:rsidR="003E6620">
        <w:t>i december 2013</w:t>
      </w:r>
      <w:r w:rsidR="00006F66">
        <w:t xml:space="preserve"> </w:t>
      </w:r>
      <w:r w:rsidR="007C59DC">
        <w:t xml:space="preserve">ett för </w:t>
      </w:r>
      <w:r w:rsidR="007C310B">
        <w:t>medlemsstaterna</w:t>
      </w:r>
      <w:r>
        <w:t xml:space="preserve"> frivilligt submål för avancerade biodrivmedel.</w:t>
      </w:r>
    </w:p>
    <w:p w14:paraId="26C6F0E6" w14:textId="77777777" w:rsidR="007C59DC" w:rsidRDefault="007C59DC" w:rsidP="00EB0E0E">
      <w:pPr>
        <w:pStyle w:val="RKnormal"/>
      </w:pPr>
    </w:p>
    <w:p w14:paraId="6BABE95E" w14:textId="35B4352B" w:rsidR="00E01408" w:rsidRDefault="007C59DC">
      <w:pPr>
        <w:pStyle w:val="RKnormal"/>
      </w:pPr>
      <w:r>
        <w:t>Användning av ILUC-faktorer är en annan fråga som diskuterats ingående</w:t>
      </w:r>
      <w:r w:rsidR="003E6620">
        <w:t xml:space="preserve"> under förhandlingarna</w:t>
      </w:r>
      <w:r>
        <w:t>. Fl</w:t>
      </w:r>
      <w:r w:rsidR="008906E5">
        <w:t>e</w:t>
      </w:r>
      <w:r>
        <w:t xml:space="preserve">ra </w:t>
      </w:r>
      <w:r w:rsidR="007C310B">
        <w:t>medlemsstater</w:t>
      </w:r>
      <w:r>
        <w:t xml:space="preserve"> har argumenterat för att ILUC-utsläpp ska användas </w:t>
      </w:r>
      <w:r w:rsidR="000772AF">
        <w:t>i beräkningarna av måluppfyllelse eller inkorporeras i dagens hållbarhetskriterier. Då dessa förs</w:t>
      </w:r>
      <w:r w:rsidR="008906E5">
        <w:t>l</w:t>
      </w:r>
      <w:r w:rsidR="000772AF">
        <w:t>ag inte v</w:t>
      </w:r>
      <w:r w:rsidR="003E6620">
        <w:t>ann</w:t>
      </w:r>
      <w:r w:rsidR="000772AF">
        <w:t xml:space="preserve"> tillräckligt stöd föresl</w:t>
      </w:r>
      <w:r w:rsidR="003E6620">
        <w:t>og</w:t>
      </w:r>
      <w:r w:rsidR="000772AF">
        <w:t xml:space="preserve">s istället </w:t>
      </w:r>
      <w:r w:rsidR="008906E5">
        <w:t xml:space="preserve">krav på rapportering av </w:t>
      </w:r>
      <w:r w:rsidR="000772AF">
        <w:t>volymer av sådana biodrivmedel som i direktivet anges vara förknippade med ILUC-utsläpp.</w:t>
      </w:r>
    </w:p>
    <w:p w14:paraId="185E437C" w14:textId="77777777" w:rsidR="00E01408" w:rsidRDefault="00E01408">
      <w:pPr>
        <w:pStyle w:val="RKnormal"/>
      </w:pPr>
    </w:p>
    <w:p w14:paraId="121966C5" w14:textId="30FC5F71" w:rsidR="00E01408" w:rsidRPr="003473BF" w:rsidRDefault="00E01408" w:rsidP="00E01408">
      <w:pPr>
        <w:pStyle w:val="RKnormal"/>
      </w:pPr>
      <w:r>
        <w:t>I det nya förslaget till kompromiss</w:t>
      </w:r>
      <w:r w:rsidR="0027259E">
        <w:t xml:space="preserve"> som nu presenteras inför TTE-rådet den 13 juni</w:t>
      </w:r>
      <w:r>
        <w:t xml:space="preserve"> har två förändringar gjorts jämfört med det förslag som presenterades </w:t>
      </w:r>
      <w:r w:rsidR="0027259E">
        <w:t>inför</w:t>
      </w:r>
      <w:r>
        <w:t xml:space="preserve"> TTE-rådet i december 2013. </w:t>
      </w:r>
      <w:r w:rsidR="00773806">
        <w:t>D</w:t>
      </w:r>
      <w:r w:rsidRPr="003473BF">
        <w:t>et tidigare frivilliga målet för avancerade biodrivmedel ersätts med ett obligatoriskt</w:t>
      </w:r>
      <w:r w:rsidR="00006F66">
        <w:t>, men ej legalt bindande</w:t>
      </w:r>
      <w:r w:rsidRPr="003473BF">
        <w:t xml:space="preserve"> mål för avancerade biodrivmedel. Denna förändring innebär alltså en höjning i direktivets ambitionsnivå avseende främjande av avancerade biodrivmedel. </w:t>
      </w:r>
    </w:p>
    <w:p w14:paraId="73885AE5" w14:textId="77777777" w:rsidR="00E01408" w:rsidRPr="003473BF" w:rsidRDefault="00E01408" w:rsidP="00E01408">
      <w:pPr>
        <w:pStyle w:val="RKnormal"/>
      </w:pPr>
    </w:p>
    <w:p w14:paraId="51140065" w14:textId="517E870E" w:rsidR="00E01408" w:rsidRPr="003473BF" w:rsidRDefault="00773806" w:rsidP="00E01408">
      <w:pPr>
        <w:pStyle w:val="RKnormal"/>
      </w:pPr>
      <w:r>
        <w:t xml:space="preserve">Detta mjukas dock upp av att </w:t>
      </w:r>
      <w:r w:rsidR="00E01408" w:rsidRPr="003473BF">
        <w:t xml:space="preserve">det är upp till </w:t>
      </w:r>
      <w:r w:rsidR="0027259E">
        <w:t>medlemsstaterna</w:t>
      </w:r>
      <w:r w:rsidR="00E01408" w:rsidRPr="003473BF">
        <w:t xml:space="preserve"> att bestämma nivån för målet, samt att det introduceras ett antal </w:t>
      </w:r>
      <w:r w:rsidR="0027259E">
        <w:t>omständigheter under vilka</w:t>
      </w:r>
      <w:r w:rsidR="00E01408" w:rsidRPr="003473BF">
        <w:t xml:space="preserve"> de </w:t>
      </w:r>
      <w:r w:rsidR="0027259E">
        <w:t>medlemsstater</w:t>
      </w:r>
      <w:r w:rsidR="00E01408" w:rsidRPr="003473BF">
        <w:t xml:space="preserve"> som vill sätta ett mål som är lägre än det föreslagna referensvärdet om 0,5 procent av energiåtgången i transportsektorn</w:t>
      </w:r>
      <w:r w:rsidR="0027259E">
        <w:t xml:space="preserve"> kan göra det</w:t>
      </w:r>
      <w:r w:rsidR="00E01408" w:rsidRPr="003473BF">
        <w:t xml:space="preserve">. </w:t>
      </w:r>
    </w:p>
    <w:p w14:paraId="0760109D" w14:textId="77777777" w:rsidR="00E01408" w:rsidRPr="003473BF" w:rsidRDefault="00E01408" w:rsidP="00E01408">
      <w:pPr>
        <w:pStyle w:val="RKnormal"/>
      </w:pPr>
    </w:p>
    <w:p w14:paraId="0B6A1C6C" w14:textId="77777777" w:rsidR="00E01408" w:rsidRPr="003473BF" w:rsidRDefault="00E01408" w:rsidP="00E01408">
      <w:pPr>
        <w:pStyle w:val="RKnormal"/>
      </w:pPr>
      <w:r w:rsidRPr="003473BF">
        <w:t xml:space="preserve">I förslaget återfinns även en ny beaktandesats som understryker osäkerheten i befintliga ILUC-skattningar. Tillägget är sannolikt en eftergift för de länder som under förhandlingarna med emfas argumenterat för att ILUC-beräkningarna är förknippade med stora osäkerheter. </w:t>
      </w:r>
    </w:p>
    <w:p w14:paraId="39147315" w14:textId="573E74F3" w:rsidR="0037351B" w:rsidRDefault="00E01408">
      <w:pPr>
        <w:pStyle w:val="RKnormal"/>
      </w:pPr>
      <w:r>
        <w:t xml:space="preserve"> </w:t>
      </w:r>
      <w:r w:rsidR="000772AF">
        <w:t xml:space="preserve"> </w:t>
      </w:r>
    </w:p>
    <w:p w14:paraId="608FCA10" w14:textId="77777777" w:rsidR="0037351B" w:rsidRDefault="0037351B">
      <w:pPr>
        <w:pStyle w:val="RKrubrik"/>
      </w:pPr>
      <w:r>
        <w:t>Rättslig grund och beslutsförfarande</w:t>
      </w:r>
    </w:p>
    <w:p w14:paraId="0747B510" w14:textId="77777777" w:rsidR="00AE4590" w:rsidRPr="00F51824" w:rsidRDefault="00AE4590" w:rsidP="00AE4590">
      <w:pPr>
        <w:pStyle w:val="RKnormal"/>
      </w:pPr>
      <w:r w:rsidRPr="00F51824">
        <w:t>Förslaget syftar till att skydda miljön och till en fungerande inre marknad. Förslaget baseras därmed på artiklarna 192(1) and 114 av Fördraget om Europeiska unionens funktionssätt.</w:t>
      </w:r>
    </w:p>
    <w:p w14:paraId="64F9D3D8" w14:textId="77777777" w:rsidR="00AE4590" w:rsidRPr="00AE4590" w:rsidRDefault="00AE4590" w:rsidP="00AE4590">
      <w:pPr>
        <w:pStyle w:val="RKnormal"/>
      </w:pPr>
    </w:p>
    <w:p w14:paraId="5F40E5AD" w14:textId="77777777" w:rsidR="0037351B" w:rsidRDefault="0037351B">
      <w:pPr>
        <w:pStyle w:val="RKnormal"/>
      </w:pPr>
    </w:p>
    <w:p w14:paraId="57B80061" w14:textId="77777777" w:rsidR="0037351B" w:rsidRDefault="0037351B">
      <w:pPr>
        <w:pStyle w:val="RKrubrik"/>
        <w:rPr>
          <w:i/>
          <w:iCs/>
        </w:rPr>
      </w:pPr>
      <w:r>
        <w:rPr>
          <w:i/>
          <w:iCs/>
        </w:rPr>
        <w:t>Svensk ståndpunkt</w:t>
      </w:r>
    </w:p>
    <w:p w14:paraId="06614806" w14:textId="70ADEA06" w:rsidR="0027259E" w:rsidRDefault="00221597" w:rsidP="0027259E">
      <w:pPr>
        <w:pStyle w:val="RKnormal"/>
      </w:pPr>
      <w:r>
        <w:t>Regeringen kan ställa sig bakom ordförandeskapets förslag till politisk överenskommelse om rådets första läsning</w:t>
      </w:r>
      <w:r w:rsidR="008A5DD4">
        <w:t xml:space="preserve"> g</w:t>
      </w:r>
      <w:r w:rsidR="0027259E">
        <w:t>ivet att regeringen ställ</w:t>
      </w:r>
      <w:r w:rsidR="00600F90">
        <w:t>de</w:t>
      </w:r>
      <w:r w:rsidR="0027259E">
        <w:t xml:space="preserve"> sig bakom det kompromissförslag som presenterades på TTE-rådet 12 december 2013 samt att</w:t>
      </w:r>
      <w:r w:rsidR="008A5DD4">
        <w:t xml:space="preserve"> det nya </w:t>
      </w:r>
      <w:r w:rsidR="0027259E">
        <w:t xml:space="preserve"> förslaget  förändrats i en för Sverige önskvärd riktning. </w:t>
      </w:r>
      <w:r w:rsidR="008A5DD4">
        <w:t>Regeringen noterar särskilt att den nya kompromissen är mer ambitiös än tidigare förslag i fråga om avancerade biodrivmedel.</w:t>
      </w:r>
    </w:p>
    <w:p w14:paraId="48F35D9B" w14:textId="4F34A0AB" w:rsidR="00221597" w:rsidRDefault="00221597" w:rsidP="007C59DC">
      <w:pPr>
        <w:pStyle w:val="RKnormal"/>
      </w:pPr>
    </w:p>
    <w:p w14:paraId="3B5AF161" w14:textId="77777777" w:rsidR="00221597" w:rsidRDefault="00221597" w:rsidP="007C59DC">
      <w:pPr>
        <w:pStyle w:val="RKnormal"/>
      </w:pPr>
    </w:p>
    <w:p w14:paraId="2AEAE98F" w14:textId="77777777" w:rsidR="000772AF" w:rsidRDefault="000772AF" w:rsidP="007C59DC">
      <w:pPr>
        <w:pStyle w:val="RKnormal"/>
      </w:pPr>
      <w:r>
        <w:t xml:space="preserve">Regeringen har i förhandlingarna särskilt verkat för att direktivet ska återspegla de skillnader som finns mellan olika biodrivmedels miljöprestanda, för att avancerade biodrivmedel med hög miljöprestanda (exempelvis baserade på skoglig råvara) ska främjas och för att förslaget inte ska urvattna befintligt direktivs ambitionsnivå. </w:t>
      </w:r>
    </w:p>
    <w:p w14:paraId="110EEC31" w14:textId="77777777" w:rsidR="000772AF" w:rsidRDefault="000772AF" w:rsidP="007C59DC">
      <w:pPr>
        <w:pStyle w:val="RKnormal"/>
      </w:pPr>
    </w:p>
    <w:p w14:paraId="0487D418" w14:textId="77777777" w:rsidR="000772AF" w:rsidRDefault="000772AF" w:rsidP="007C59DC">
      <w:pPr>
        <w:pStyle w:val="RKnormal"/>
      </w:pPr>
      <w:r>
        <w:t xml:space="preserve">Enligt regeringens bedömning är det även angeläget att förhandlingarna om detta direktiv inte fördröjs mer än nödvändigt eftersom industrin, behöver få besked om vilka spelregler som kommer att gälla framöver. Ifall spelreglerna är oklara kommer nödvändiga investeringar i ny teknik inte till stånd. </w:t>
      </w:r>
    </w:p>
    <w:p w14:paraId="69E04A59" w14:textId="77777777" w:rsidR="000772AF" w:rsidRDefault="000772AF" w:rsidP="007C59DC">
      <w:pPr>
        <w:pStyle w:val="RKnormal"/>
      </w:pPr>
    </w:p>
    <w:p w14:paraId="5C9129EC" w14:textId="5AF7EA7B" w:rsidR="002D2FFB" w:rsidRDefault="002D2FFB" w:rsidP="007C59DC">
      <w:pPr>
        <w:pStyle w:val="RKnormal"/>
      </w:pPr>
      <w:r>
        <w:t>Givet vikten av att komma i mål och att förslaget innehåller flera positiva komponenter</w:t>
      </w:r>
      <w:r w:rsidR="00854F88">
        <w:t>,</w:t>
      </w:r>
      <w:r>
        <w:t xml:space="preserve"> såsom att den skogliga råvaran nu finns med på listan över de råvaror som bör främjas för avancerade biodrivmedel, anser regeringen, trots att förslaget i flera avseende</w:t>
      </w:r>
      <w:r w:rsidR="00854F88">
        <w:t>n hade kunna varit mer ambitiöst</w:t>
      </w:r>
      <w:r>
        <w:t xml:space="preserve">, bör kunna accepteras som rådets position inför kommande förhandlingar med </w:t>
      </w:r>
      <w:r w:rsidR="008A5DD4">
        <w:t>Europaparlamentet</w:t>
      </w:r>
      <w:r>
        <w:t xml:space="preserve">, vars förslag i flera avseenden är mer ambitiöst. </w:t>
      </w:r>
    </w:p>
    <w:p w14:paraId="4ED3D315" w14:textId="21C5F5FC" w:rsidR="00FD50AC" w:rsidRDefault="00FD50AC" w:rsidP="007C59DC">
      <w:pPr>
        <w:pStyle w:val="RKnormal"/>
      </w:pPr>
    </w:p>
    <w:p w14:paraId="48022AA9" w14:textId="77777777" w:rsidR="0037351B" w:rsidRDefault="0037351B">
      <w:pPr>
        <w:pStyle w:val="RKrubrik"/>
      </w:pPr>
      <w:r>
        <w:t>Europaparlamentets inställning</w:t>
      </w:r>
    </w:p>
    <w:p w14:paraId="162B6CC4" w14:textId="3C98100E" w:rsidR="0037351B" w:rsidRDefault="00221597">
      <w:pPr>
        <w:pStyle w:val="RKnormal"/>
      </w:pPr>
      <w:r>
        <w:t xml:space="preserve">Europaparlamentet </w:t>
      </w:r>
      <w:r w:rsidR="00777B47">
        <w:t xml:space="preserve">avslutade sin första läsning av förslaget den 11 september 2013. I korthet innebär EP:s beslut att den av </w:t>
      </w:r>
      <w:r>
        <w:t>k</w:t>
      </w:r>
      <w:r w:rsidR="00777B47">
        <w:t xml:space="preserve">ommissionen föreslagna restriktionen för konventionella biodrivmedel, vid beräkning av </w:t>
      </w:r>
      <w:r>
        <w:t>medlemsstaternas</w:t>
      </w:r>
      <w:r w:rsidR="00777B47">
        <w:t xml:space="preserve"> uppfyllelse av transportmålet, höjs från fem till sex procent. </w:t>
      </w:r>
      <w:r>
        <w:t>Europaparlamentet</w:t>
      </w:r>
      <w:r w:rsidDel="00221597">
        <w:t xml:space="preserve"> </w:t>
      </w:r>
      <w:r w:rsidR="00777B47">
        <w:t xml:space="preserve"> föreslår även att det införs ett bindande mål för avancerade biodrivmedel vilket innebär att 2,5 av de 10 procenten förnybar energi i transportsektorn ska utgöras av sådana drivmedel.  </w:t>
      </w:r>
    </w:p>
    <w:p w14:paraId="1AF846BD" w14:textId="77777777" w:rsidR="0037351B" w:rsidRDefault="0037351B">
      <w:pPr>
        <w:pStyle w:val="RKrubrik"/>
        <w:rPr>
          <w:i/>
          <w:iCs/>
        </w:rPr>
      </w:pPr>
      <w:r>
        <w:rPr>
          <w:i/>
          <w:iCs/>
        </w:rPr>
        <w:t>Förslaget</w:t>
      </w:r>
    </w:p>
    <w:p w14:paraId="41BE8897" w14:textId="77777777" w:rsidR="00EB0E0E" w:rsidRDefault="00EB0E0E" w:rsidP="00EB0E0E">
      <w:pPr>
        <w:pStyle w:val="RKnormal"/>
      </w:pPr>
      <w:r w:rsidRPr="00C4021A">
        <w:t xml:space="preserve">Biodrivmedel kan orsaka utsläpp av växthusgaser genom förändrad markanvändning. Med direkt förändrad markanvändning avses exempelvis att skogs- och betesmark omvandlas till jordbruksmark för produktion av biodrivmedel. Med indirekt förändrad markanvändning eller Indirect Land Use Change (ILUC) menas att ökad produktion av biodrivmedel i ett land kan leda till att annan produktion, t.ex. livsmedelsproduktion trängs undan, vilket i förlängningen kan leda till omvandling av skogs- eller betesmark till jordbruksmark för exempelvis livsmedelsproduktion i andra länder. Denna omvandling kan orsaka utsläpp av växthusgaser. </w:t>
      </w:r>
    </w:p>
    <w:p w14:paraId="458AF115" w14:textId="77777777" w:rsidR="00EB0E0E" w:rsidRPr="00C4021A" w:rsidRDefault="00EB0E0E" w:rsidP="00EB0E0E">
      <w:pPr>
        <w:pStyle w:val="RKnormal"/>
      </w:pPr>
    </w:p>
    <w:p w14:paraId="7E4F7F80" w14:textId="77777777" w:rsidR="00EB0E0E" w:rsidRDefault="00EB0E0E" w:rsidP="00EB0E0E">
      <w:pPr>
        <w:pStyle w:val="RKnormal"/>
      </w:pPr>
      <w:r w:rsidRPr="00C4021A">
        <w:t xml:space="preserve">Kommissionens analys visar att det finns ett antal osäkerheter och begränsningar kopplade till de modeller som används för att kvantifiera utsläpp orsakade av indirekt förändrad markanvändning. Samtidigt konstateras att utsläpp som en följd av indirekt ändrad markanvändning enligt de använda beräkningsmodellerna i vissa fall kan vara så stora </w:t>
      </w:r>
      <w:r w:rsidRPr="00C4021A">
        <w:lastRenderedPageBreak/>
        <w:t>att de mer än eliminerar de minskningar av klimatgaser som användningen av dessa biodrivmedel ger då de ersätter fossila bränslen, men att effekten är mindre påtaglig för andra bränslen. Då EU enligt kommissionens bedömning bör agera enligt försiktighetsprincipen föreslås, trots de osäkerheter som är förknippade med de modeller som analysen bygger på, åtgärder som syftar till att minimera de befarade ILUC-effekterna.</w:t>
      </w:r>
    </w:p>
    <w:p w14:paraId="4ADB5FA3" w14:textId="77777777" w:rsidR="00EB0E0E" w:rsidRPr="00C4021A" w:rsidRDefault="00EB0E0E" w:rsidP="00EB0E0E">
      <w:pPr>
        <w:pStyle w:val="RKnormal"/>
      </w:pPr>
    </w:p>
    <w:p w14:paraId="5CF0E015" w14:textId="77777777" w:rsidR="00EB0E0E" w:rsidRDefault="00221597" w:rsidP="00EB0E0E">
      <w:pPr>
        <w:pStyle w:val="RKnormal"/>
      </w:pPr>
      <w:r>
        <w:t xml:space="preserve">Kommissionens ursprungliga förslag presenterades i oktober 2012 och har under förhandlingarnas gång ändrats. </w:t>
      </w:r>
      <w:r w:rsidR="00EB0E0E" w:rsidRPr="00C4021A">
        <w:t>I kommissionens</w:t>
      </w:r>
      <w:r>
        <w:t xml:space="preserve"> ursprungliga</w:t>
      </w:r>
      <w:r w:rsidR="00EB0E0E" w:rsidRPr="00C4021A">
        <w:t xml:space="preserve"> förslag införs till en början krav på att ILUC-faktorerna ska användas i rapporteringen om biodrivmedel. Däremot ingår ILUC faktorerna inte i uppföljningen av det utsläppskrav till år 2020 som enligt bränslekvalitetsdirektivet åligger bränsleleverantörerna. </w:t>
      </w:r>
    </w:p>
    <w:p w14:paraId="1FD166BD" w14:textId="77777777" w:rsidR="00221597" w:rsidRPr="00C4021A" w:rsidRDefault="00221597" w:rsidP="00EB0E0E">
      <w:pPr>
        <w:pStyle w:val="RKnormal"/>
      </w:pPr>
    </w:p>
    <w:p w14:paraId="3F5F23B9" w14:textId="6F1ACBA1" w:rsidR="00EB0E0E" w:rsidRDefault="00EB0E0E" w:rsidP="00EB0E0E">
      <w:pPr>
        <w:pStyle w:val="RKnormal"/>
      </w:pPr>
      <w:r w:rsidRPr="00C4021A">
        <w:t>Kommissionen föresl</w:t>
      </w:r>
      <w:r w:rsidR="00221597">
        <w:t>og</w:t>
      </w:r>
      <w:r w:rsidRPr="00C4021A">
        <w:t xml:space="preserve"> ett tak för den andel konventionella biodrivmedel som får användas i medlemsländernas redovisning av måluppfyllelsen avseende målen för andel förnybar energi. Bidraget från de i direktivförslaget utpekade biodrivmedlen f</w:t>
      </w:r>
      <w:r w:rsidR="00221597">
        <w:t>ick enligt kommissionens ursprungliga förslag</w:t>
      </w:r>
      <w:r w:rsidRPr="00C4021A">
        <w:t xml:space="preserve"> inte vara mer än fem procent av energianvändningen i transportsektorn år 2020. </w:t>
      </w:r>
    </w:p>
    <w:p w14:paraId="3FEA397D" w14:textId="77777777" w:rsidR="00EB0E0E" w:rsidRDefault="00EB0E0E" w:rsidP="00EB0E0E">
      <w:pPr>
        <w:pStyle w:val="RKnormal"/>
      </w:pPr>
    </w:p>
    <w:p w14:paraId="17AC3C9D" w14:textId="7202CE74" w:rsidR="00EB0E0E" w:rsidRDefault="00EB0E0E" w:rsidP="00EB0E0E">
      <w:pPr>
        <w:pStyle w:val="RKnormal"/>
      </w:pPr>
      <w:r w:rsidRPr="00C4021A">
        <w:t>Kommissionen g</w:t>
      </w:r>
      <w:r w:rsidR="00221597">
        <w:t>jorde</w:t>
      </w:r>
      <w:r w:rsidRPr="00C4021A">
        <w:t xml:space="preserve"> också bedömningen att dessa drivmedel inte bör subventioneras efter 2020 eftersom endast mer avancerade bränslen bör främjas på längre sikt</w:t>
      </w:r>
      <w:r>
        <w:t>.</w:t>
      </w:r>
    </w:p>
    <w:p w14:paraId="459E2276" w14:textId="77777777" w:rsidR="00EB0E0E" w:rsidRPr="00C4021A" w:rsidRDefault="00EB0E0E" w:rsidP="00EB0E0E">
      <w:pPr>
        <w:pStyle w:val="RKnormal"/>
      </w:pPr>
      <w:r w:rsidRPr="00C4021A">
        <w:t xml:space="preserve"> </w:t>
      </w:r>
    </w:p>
    <w:p w14:paraId="5E9CD106" w14:textId="70B738CA" w:rsidR="00EB0E0E" w:rsidRDefault="00EB0E0E" w:rsidP="00EB0E0E">
      <w:pPr>
        <w:pStyle w:val="RKnormal"/>
      </w:pPr>
      <w:r w:rsidRPr="00C4021A">
        <w:t>För att främja mer avancerade bränslen som inte beräknas orsaka indirekta utsläpp såsom beskrivits ovan föresl</w:t>
      </w:r>
      <w:r w:rsidR="00221597">
        <w:t>og kommissinen</w:t>
      </w:r>
      <w:r w:rsidRPr="00C4021A">
        <w:t xml:space="preserve"> att dessa får räknas dubbelt eller fyrfalt i medlemsstaternas måluppfyllelse. Det lämnas dock till medlemsstaterna att utforma styrmedel för att utnyttja omräkningsmöjligheterna.</w:t>
      </w:r>
    </w:p>
    <w:p w14:paraId="410BA9F2" w14:textId="77777777" w:rsidR="00EB0E0E" w:rsidRPr="00C4021A" w:rsidRDefault="00EB0E0E" w:rsidP="00EB0E0E">
      <w:pPr>
        <w:pStyle w:val="RKnormal"/>
      </w:pPr>
    </w:p>
    <w:p w14:paraId="77838FCA" w14:textId="400A98F1" w:rsidR="00EB0E0E" w:rsidRPr="00C4021A" w:rsidRDefault="00EB0E0E" w:rsidP="00EB0E0E">
      <w:pPr>
        <w:pStyle w:val="RKnormal"/>
      </w:pPr>
      <w:r w:rsidRPr="00C4021A">
        <w:t>Kommissionen föresl</w:t>
      </w:r>
      <w:r w:rsidR="00221597">
        <w:t>og</w:t>
      </w:r>
      <w:r w:rsidRPr="00C4021A">
        <w:t xml:space="preserve"> även en tidigareläggning av den redan tidigare fastställda succesiva ökningen av de krav som ställs på de utsläpp av klimatgaser som är förknippade med produktionen av biodrivmedel. </w:t>
      </w:r>
    </w:p>
    <w:p w14:paraId="0D302149" w14:textId="719A1D41" w:rsidR="00EB0E0E" w:rsidRPr="00EB0E0E" w:rsidRDefault="00EB0E0E" w:rsidP="00EB0E0E">
      <w:pPr>
        <w:pStyle w:val="RKnormal"/>
      </w:pPr>
      <w:r w:rsidRPr="00C4021A">
        <w:t xml:space="preserve">Vidare </w:t>
      </w:r>
      <w:r w:rsidR="00221597" w:rsidRPr="00C4021A">
        <w:t>inneh</w:t>
      </w:r>
      <w:r w:rsidR="00221597">
        <w:t>öll</w:t>
      </w:r>
      <w:r w:rsidR="00221597" w:rsidRPr="00C4021A">
        <w:t xml:space="preserve"> </w:t>
      </w:r>
      <w:r w:rsidRPr="00C4021A">
        <w:t>förslaget ett stort antal bestämmelser av mer teknisk karaktär.</w:t>
      </w:r>
    </w:p>
    <w:p w14:paraId="0A79AC63" w14:textId="77777777" w:rsidR="0037351B" w:rsidRDefault="0037351B">
      <w:pPr>
        <w:pStyle w:val="RKnormal"/>
      </w:pPr>
    </w:p>
    <w:p w14:paraId="78D714A6" w14:textId="77777777" w:rsidR="0037351B" w:rsidRDefault="0037351B">
      <w:pPr>
        <w:pStyle w:val="RKrubrik"/>
        <w:rPr>
          <w:i/>
          <w:iCs/>
        </w:rPr>
      </w:pPr>
      <w:r>
        <w:rPr>
          <w:i/>
          <w:iCs/>
        </w:rPr>
        <w:t>Gällande svenska regler och förslagets effekter på dessa</w:t>
      </w:r>
    </w:p>
    <w:p w14:paraId="6E401778" w14:textId="77777777" w:rsidR="00EB0E0E" w:rsidRDefault="00EB0E0E" w:rsidP="00EB0E0E">
      <w:pPr>
        <w:pStyle w:val="RKnormal"/>
      </w:pPr>
      <w:r w:rsidRPr="00C4021A">
        <w:t>Gällande svenska regler om hållbarhetskriterier för biodrivmedel finns i lag (2010:598) om hållbarhetskriterier för biodrivmedel och flytande biobränslen samt i tillhörande förordning. Det i bränslekvalitetsdirektivet föreskrivna målet om att växthusgasintensiteten för drivmedel som används för vägtransporter och mobila maskiner som inte är avsedda att användas på väg ska minska med 6 procent mellan 2010 och 2020 återfinns i drivmedelslagen (2011:319). De svenska lagarna och förordningarna kan behöva ändras med anledning av de av kommissionen föreslagna ändringarna i EU-direktiven.</w:t>
      </w:r>
    </w:p>
    <w:p w14:paraId="2BD1377A" w14:textId="77777777" w:rsidR="0037351B" w:rsidRDefault="0037351B">
      <w:pPr>
        <w:pStyle w:val="RKrubrik"/>
      </w:pPr>
      <w:r>
        <w:t>Ekonomiska konsekvenser</w:t>
      </w:r>
    </w:p>
    <w:p w14:paraId="144A17EB" w14:textId="77777777" w:rsidR="0037351B" w:rsidRPr="00F1636B" w:rsidRDefault="00AE4590">
      <w:pPr>
        <w:pStyle w:val="RKnormal"/>
      </w:pPr>
      <w:r w:rsidRPr="00C4021A">
        <w:t>Förslaget kommer att få konsekvenser för investerare på biodrivmedelsmarknaderna</w:t>
      </w:r>
      <w:r w:rsidR="00A27786">
        <w:t xml:space="preserve">. Eftersom Sverige enligt </w:t>
      </w:r>
      <w:r w:rsidR="00F1636B">
        <w:t xml:space="preserve">regeringens bedömning </w:t>
      </w:r>
      <w:r w:rsidR="00A27786">
        <w:t>prognos kommer att uppfylla målet om andelen förnybar energi i transportsektorn med eller utan detta försla</w:t>
      </w:r>
      <w:r w:rsidR="00F1636B">
        <w:t>g har det inga direkta statsfinansiella effekter.</w:t>
      </w:r>
    </w:p>
    <w:p w14:paraId="7984489E" w14:textId="77777777" w:rsidR="0037351B" w:rsidRDefault="0037351B">
      <w:pPr>
        <w:pStyle w:val="RKnormal"/>
        <w:ind w:left="-1134"/>
      </w:pPr>
    </w:p>
    <w:p w14:paraId="62E2C2B8" w14:textId="77777777" w:rsidR="006E4E11" w:rsidRDefault="006E4E11">
      <w:pPr>
        <w:pStyle w:val="RKrubrik"/>
        <w:spacing w:before="0" w:after="0"/>
      </w:pPr>
    </w:p>
    <w:p w14:paraId="3054E749" w14:textId="77777777" w:rsidR="006E4E11" w:rsidRDefault="006E4E11">
      <w:pPr>
        <w:pStyle w:val="RKnormal"/>
      </w:pPr>
    </w:p>
    <w:sectPr w:rsidR="006E4E11">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22044" w14:textId="77777777" w:rsidR="00F563DE" w:rsidRDefault="00F563DE">
      <w:r>
        <w:separator/>
      </w:r>
    </w:p>
  </w:endnote>
  <w:endnote w:type="continuationSeparator" w:id="0">
    <w:p w14:paraId="3B148239" w14:textId="77777777" w:rsidR="00F563DE" w:rsidRDefault="00F5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9836" w14:textId="77777777" w:rsidR="00F563DE" w:rsidRDefault="00F563DE">
      <w:r>
        <w:separator/>
      </w:r>
    </w:p>
  </w:footnote>
  <w:footnote w:type="continuationSeparator" w:id="0">
    <w:p w14:paraId="0CADF6A5" w14:textId="77777777" w:rsidR="00F563DE" w:rsidRDefault="00F5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AD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5E81">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80675B" w14:textId="77777777">
      <w:trPr>
        <w:cantSplit/>
      </w:trPr>
      <w:tc>
        <w:tcPr>
          <w:tcW w:w="3119" w:type="dxa"/>
        </w:tcPr>
        <w:p w14:paraId="143D1D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AF998E" w14:textId="77777777" w:rsidR="00E80146" w:rsidRDefault="00E80146">
          <w:pPr>
            <w:pStyle w:val="Sidhuvud"/>
            <w:ind w:right="360"/>
          </w:pPr>
        </w:p>
      </w:tc>
      <w:tc>
        <w:tcPr>
          <w:tcW w:w="1525" w:type="dxa"/>
        </w:tcPr>
        <w:p w14:paraId="76A29022" w14:textId="77777777" w:rsidR="00E80146" w:rsidRDefault="00E80146">
          <w:pPr>
            <w:pStyle w:val="Sidhuvud"/>
            <w:ind w:right="360"/>
          </w:pPr>
        </w:p>
      </w:tc>
    </w:tr>
  </w:tbl>
  <w:p w14:paraId="3A09E3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99D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5E81">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D68470" w14:textId="77777777">
      <w:trPr>
        <w:cantSplit/>
      </w:trPr>
      <w:tc>
        <w:tcPr>
          <w:tcW w:w="3119" w:type="dxa"/>
        </w:tcPr>
        <w:p w14:paraId="5A39A6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C5B154" w14:textId="77777777" w:rsidR="00E80146" w:rsidRDefault="00E80146">
          <w:pPr>
            <w:pStyle w:val="Sidhuvud"/>
            <w:ind w:right="360"/>
          </w:pPr>
        </w:p>
      </w:tc>
      <w:tc>
        <w:tcPr>
          <w:tcW w:w="1525" w:type="dxa"/>
        </w:tcPr>
        <w:p w14:paraId="6B30DE8C" w14:textId="77777777" w:rsidR="00E80146" w:rsidRDefault="00E80146">
          <w:pPr>
            <w:pStyle w:val="Sidhuvud"/>
            <w:ind w:right="360"/>
          </w:pPr>
        </w:p>
      </w:tc>
    </w:tr>
  </w:tbl>
  <w:p w14:paraId="5CA3A5F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99D5A" w14:textId="77777777" w:rsidR="0037351B" w:rsidRDefault="0037351B">
    <w:pPr>
      <w:framePr w:w="2948" w:h="1321" w:hRule="exact" w:wrap="notBeside" w:vAnchor="page" w:hAnchor="page" w:x="1362" w:y="653"/>
    </w:pPr>
    <w:r>
      <w:rPr>
        <w:noProof/>
        <w:lang w:eastAsia="sv-SE"/>
      </w:rPr>
      <w:drawing>
        <wp:inline distT="0" distB="0" distL="0" distR="0" wp14:anchorId="58EE3DC4" wp14:editId="46C4794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FA62E01" w14:textId="77777777" w:rsidR="00E80146" w:rsidRDefault="00E80146">
    <w:pPr>
      <w:pStyle w:val="RKrubrik"/>
      <w:keepNext w:val="0"/>
      <w:tabs>
        <w:tab w:val="clear" w:pos="1134"/>
        <w:tab w:val="clear" w:pos="2835"/>
      </w:tabs>
      <w:spacing w:before="0" w:after="0" w:line="320" w:lineRule="atLeast"/>
      <w:rPr>
        <w:bCs/>
      </w:rPr>
    </w:pPr>
  </w:p>
  <w:p w14:paraId="253FD1EE" w14:textId="77777777" w:rsidR="00E80146" w:rsidRDefault="00E80146">
    <w:pPr>
      <w:rPr>
        <w:rFonts w:ascii="TradeGothic" w:hAnsi="TradeGothic"/>
        <w:b/>
        <w:bCs/>
        <w:spacing w:val="12"/>
        <w:sz w:val="22"/>
      </w:rPr>
    </w:pPr>
  </w:p>
  <w:p w14:paraId="1C654ACA" w14:textId="77777777" w:rsidR="00E80146" w:rsidRDefault="00E80146">
    <w:pPr>
      <w:pStyle w:val="RKrubrik"/>
      <w:keepNext w:val="0"/>
      <w:tabs>
        <w:tab w:val="clear" w:pos="1134"/>
        <w:tab w:val="clear" w:pos="2835"/>
      </w:tabs>
      <w:spacing w:before="0" w:after="0" w:line="320" w:lineRule="atLeast"/>
      <w:rPr>
        <w:bCs/>
      </w:rPr>
    </w:pPr>
  </w:p>
  <w:p w14:paraId="74F2EB1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37351B"/>
    <w:rsid w:val="0000188F"/>
    <w:rsid w:val="00003C19"/>
    <w:rsid w:val="00006F66"/>
    <w:rsid w:val="000772AF"/>
    <w:rsid w:val="001444F5"/>
    <w:rsid w:val="00150384"/>
    <w:rsid w:val="00160901"/>
    <w:rsid w:val="001805B7"/>
    <w:rsid w:val="001B58D1"/>
    <w:rsid w:val="00221597"/>
    <w:rsid w:val="0023486F"/>
    <w:rsid w:val="0027259E"/>
    <w:rsid w:val="00281CA4"/>
    <w:rsid w:val="00285DBA"/>
    <w:rsid w:val="002D2FFB"/>
    <w:rsid w:val="00367B1C"/>
    <w:rsid w:val="0037351B"/>
    <w:rsid w:val="00376F57"/>
    <w:rsid w:val="003E6620"/>
    <w:rsid w:val="004A328D"/>
    <w:rsid w:val="004B47E3"/>
    <w:rsid w:val="0058762B"/>
    <w:rsid w:val="00600F90"/>
    <w:rsid w:val="00611536"/>
    <w:rsid w:val="00657ABF"/>
    <w:rsid w:val="006B3CF4"/>
    <w:rsid w:val="006E4E11"/>
    <w:rsid w:val="007242A3"/>
    <w:rsid w:val="00773806"/>
    <w:rsid w:val="00777B47"/>
    <w:rsid w:val="007A6855"/>
    <w:rsid w:val="007C310B"/>
    <w:rsid w:val="007C59DC"/>
    <w:rsid w:val="00854F88"/>
    <w:rsid w:val="008906E5"/>
    <w:rsid w:val="00897D45"/>
    <w:rsid w:val="008A5DD4"/>
    <w:rsid w:val="0092027A"/>
    <w:rsid w:val="00955E31"/>
    <w:rsid w:val="009659B6"/>
    <w:rsid w:val="00992E72"/>
    <w:rsid w:val="009B375A"/>
    <w:rsid w:val="00A2102E"/>
    <w:rsid w:val="00A27786"/>
    <w:rsid w:val="00AE4590"/>
    <w:rsid w:val="00AF0551"/>
    <w:rsid w:val="00AF26D1"/>
    <w:rsid w:val="00B95E81"/>
    <w:rsid w:val="00BF0DB4"/>
    <w:rsid w:val="00BF66CC"/>
    <w:rsid w:val="00C14095"/>
    <w:rsid w:val="00D133D7"/>
    <w:rsid w:val="00D356E4"/>
    <w:rsid w:val="00D54227"/>
    <w:rsid w:val="00DD3F6B"/>
    <w:rsid w:val="00E01408"/>
    <w:rsid w:val="00E55692"/>
    <w:rsid w:val="00E80146"/>
    <w:rsid w:val="00E904D0"/>
    <w:rsid w:val="00EB0E0E"/>
    <w:rsid w:val="00EC128C"/>
    <w:rsid w:val="00EC25F9"/>
    <w:rsid w:val="00ED583F"/>
    <w:rsid w:val="00EF6879"/>
    <w:rsid w:val="00F1636B"/>
    <w:rsid w:val="00F563DE"/>
    <w:rsid w:val="00FD5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0E09E"/>
  <w15:docId w15:val="{92B551B5-5662-4243-8490-B061CD80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6F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6F57"/>
    <w:rPr>
      <w:rFonts w:ascii="Tahoma" w:hAnsi="Tahoma" w:cs="Tahoma"/>
      <w:sz w:val="16"/>
      <w:szCs w:val="16"/>
      <w:lang w:eastAsia="en-US"/>
    </w:rPr>
  </w:style>
  <w:style w:type="character" w:customStyle="1" w:styleId="RKnormalChar">
    <w:name w:val="RKnormal Char"/>
    <w:link w:val="RKnormal"/>
    <w:locked/>
    <w:rsid w:val="00AE459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strationNumber xmlns="62b9993d-d305-422b-98ce-86e52e73126b" xsi:nil="true"/>
    <LatestActivity xmlns="62b9993d-d305-422b-98ce-86e52e73126b" xsi:nil="true"/>
    <Delivered xmlns="62b9993d-d305-422b-98ce-86e52e73126b" xsi:nil="true"/>
    <DepartementsenhetId xmlns="62b9993d-d305-422b-98ce-86e52e73126b">Näringsdepartementet</DepartementsenhetId>
    <DocumentStatus xmlns="62b9993d-d305-422b-98ce-86e52e73126b">Utkast</DocumentStatus>
    <AktivitetskategoriId xmlns="62b9993d-d305-422b-98ce-86e52e73126b">4.1. Europeiska unionen</AktivitetskategoriId>
    <ViewPointStartDate xmlns="62b9993d-d305-422b-98ce-86e52e73126b" xsi:nil="true"/>
    <ViewPointInProgress xmlns="62b9993d-d305-422b-98ce-86e52e73126b" xsi:nil="true"/>
    <ViewPointEndDate xmlns="62b9993d-d305-422b-98ce-86e52e731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PDokument" ma:contentTypeID="0x01010053E1D612BA3F4E21AA250ECD751942B300A438A3B60E60C443A4B84955EE42D691" ma:contentTypeVersion="0" ma:contentTypeDescription="EUPDokument" ma:contentTypeScope="" ma:versionID="3c1f6d84cecc83dd082958e142a76001">
  <xsd:schema xmlns:xsd="http://www.w3.org/2001/XMLSchema" xmlns:xs="http://www.w3.org/2001/XMLSchema" xmlns:p="http://schemas.microsoft.com/office/2006/metadata/properties" xmlns:ns2="62b9993d-d305-422b-98ce-86e52e73126b" targetNamespace="http://schemas.microsoft.com/office/2006/metadata/properties" ma:root="true" ma:fieldsID="6073e5f64b04f2ad3d04bd9f61f778b4" ns2:_="">
    <xsd:import namespace="62b9993d-d305-422b-98ce-86e52e73126b"/>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993d-d305-422b-98ce-86e52e73126b"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D3234-316E-4377-B690-0B712731683B}">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62b9993d-d305-422b-98ce-86e52e73126b"/>
    <ds:schemaRef ds:uri="http://purl.org/dc/dcmitype/"/>
  </ds:schemaRefs>
</ds:datastoreItem>
</file>

<file path=customXml/itemProps2.xml><?xml version="1.0" encoding="utf-8"?>
<ds:datastoreItem xmlns:ds="http://schemas.openxmlformats.org/officeDocument/2006/customXml" ds:itemID="{C56196D3-82E8-49FE-B450-F014397C5C9E}">
  <ds:schemaRefs>
    <ds:schemaRef ds:uri="http://schemas.microsoft.com/sharepoint/v3/contenttype/forms"/>
  </ds:schemaRefs>
</ds:datastoreItem>
</file>

<file path=customXml/itemProps3.xml><?xml version="1.0" encoding="utf-8"?>
<ds:datastoreItem xmlns:ds="http://schemas.openxmlformats.org/officeDocument/2006/customXml" ds:itemID="{85E4BE34-CD53-4FCF-9280-053EA4187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993d-d305-422b-98ce-86e52e73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1786</Words>
  <Characters>11329</Characters>
  <Application>Microsoft Office Word</Application>
  <DocSecurity>4</DocSecurity>
  <Lines>283</Lines>
  <Paragraphs>59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Malmberg</dc:creator>
  <cp:lastModifiedBy>Johan Eriksson</cp:lastModifiedBy>
  <cp:revision>2</cp:revision>
  <cp:lastPrinted>2014-06-02T10:55:00Z</cp:lastPrinted>
  <dcterms:created xsi:type="dcterms:W3CDTF">2014-06-02T10:56:00Z</dcterms:created>
  <dcterms:modified xsi:type="dcterms:W3CDTF">2014-06-02T10:56:00Z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0x01010053E1D612BA3F4E21AA250ECD751942B300A438A3B60E60C443A4B84955EE42D691</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d099711a-fdb4-4a4b-991f-3af61956d6e1</vt:lpwstr>
  </property>
  <property fmtid="{D5CDD505-2E9C-101B-9397-08002B2CF9AE}" pid="9" name="MCreatorEmail">
    <vt:lpwstr>i:0#.w|rk\mpm0320</vt:lpwstr>
  </property>
</Properties>
</file>