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161" w:type="dxa"/>
        <w:tblInd w:w="8" w:type="dxa"/>
        <w:tblLayout w:type="fixed"/>
        <w:tblCellMar>
          <w:left w:w="0" w:type="dxa"/>
          <w:right w:w="0" w:type="dxa"/>
        </w:tblCellMar>
        <w:tblLook w:val="0000" w:firstRow="0" w:lastRow="0" w:firstColumn="0" w:lastColumn="0" w:noHBand="0" w:noVBand="0"/>
      </w:tblPr>
      <w:tblGrid>
        <w:gridCol w:w="4746"/>
        <w:gridCol w:w="159"/>
        <w:gridCol w:w="1256"/>
      </w:tblGrid>
      <w:tr w:rsidR="00000000" w:rsidRPr="00CA33C8">
        <w:tblPrEx>
          <w:tblCellMar>
            <w:top w:w="0" w:type="dxa"/>
            <w:left w:w="0" w:type="dxa"/>
            <w:bottom w:w="0" w:type="dxa"/>
            <w:right w:w="0" w:type="dxa"/>
          </w:tblCellMar>
        </w:tblPrEx>
        <w:trPr>
          <w:gridAfter w:val="2"/>
          <w:wAfter w:w="1415" w:type="dxa"/>
          <w:cantSplit/>
          <w:trHeight w:val="1325"/>
        </w:trPr>
        <w:tc>
          <w:tcPr>
            <w:tcW w:w="4746" w:type="dxa"/>
          </w:tcPr>
          <w:p w:rsidR="002178C8" w:rsidRPr="00CA33C8" w:rsidRDefault="002178C8">
            <w:pPr>
              <w:pStyle w:val="HuvudRubrik"/>
            </w:pPr>
            <w:r w:rsidRPr="00CA33C8">
              <w:t>Regeringskansliet</w:t>
            </w:r>
          </w:p>
          <w:p w:rsidR="002178C8" w:rsidRPr="00CA33C8" w:rsidRDefault="002178C8">
            <w:pPr>
              <w:pStyle w:val="HuvudRubrik"/>
            </w:pPr>
            <w:r w:rsidRPr="00CA33C8">
              <w:t>Faktapromemoria 2004/05:FPM14</w:t>
            </w:r>
          </w:p>
        </w:tc>
      </w:tr>
      <w:tr w:rsidR="00000000" w:rsidRPr="00CA33C8">
        <w:tblPrEx>
          <w:tblCellMar>
            <w:top w:w="0" w:type="dxa"/>
            <w:left w:w="0" w:type="dxa"/>
            <w:bottom w:w="0" w:type="dxa"/>
            <w:right w:w="0" w:type="dxa"/>
          </w:tblCellMar>
        </w:tblPrEx>
        <w:trPr>
          <w:gridAfter w:val="2"/>
          <w:wAfter w:w="1415" w:type="dxa"/>
          <w:cantSplit/>
          <w:trHeight w:val="241"/>
        </w:trPr>
        <w:tc>
          <w:tcPr>
            <w:tcW w:w="4746" w:type="dxa"/>
          </w:tcPr>
          <w:p w:rsidR="002178C8" w:rsidRPr="00CA33C8" w:rsidRDefault="002178C8">
            <w:pPr>
              <w:pStyle w:val="HuvudRubrik"/>
              <w:rPr>
                <w:sz w:val="28"/>
              </w:rPr>
            </w:pPr>
            <w:r w:rsidRPr="00CA33C8">
              <w:t>Kommissionens förslag till nytt mediaprogram (Media 2007)</w:t>
            </w:r>
          </w:p>
        </w:tc>
      </w:tr>
      <w:tr w:rsidR="00000000" w:rsidRPr="00CA33C8">
        <w:tblPrEx>
          <w:tblCellMar>
            <w:top w:w="0" w:type="dxa"/>
            <w:left w:w="0" w:type="dxa"/>
            <w:bottom w:w="0" w:type="dxa"/>
            <w:right w:w="0" w:type="dxa"/>
          </w:tblCellMar>
        </w:tblPrEx>
        <w:trPr>
          <w:cantSplit/>
          <w:trHeight w:val="286"/>
        </w:trPr>
        <w:tc>
          <w:tcPr>
            <w:tcW w:w="6161" w:type="dxa"/>
            <w:gridSpan w:val="3"/>
          </w:tcPr>
          <w:p w:rsidR="002178C8" w:rsidRPr="00CA33C8" w:rsidRDefault="002178C8">
            <w:pPr>
              <w:pStyle w:val="Departement"/>
              <w:rPr>
                <w:sz w:val="28"/>
              </w:rPr>
            </w:pPr>
            <w:r w:rsidRPr="00CA33C8">
              <w:t>Kulturdepartementet</w:t>
            </w:r>
          </w:p>
        </w:tc>
      </w:tr>
      <w:tr w:rsidR="00000000" w:rsidRPr="00CA33C8">
        <w:tblPrEx>
          <w:tblCellMar>
            <w:top w:w="0" w:type="dxa"/>
            <w:left w:w="0" w:type="dxa"/>
            <w:bottom w:w="0" w:type="dxa"/>
            <w:right w:w="0" w:type="dxa"/>
          </w:tblCellMar>
        </w:tblPrEx>
        <w:trPr>
          <w:cantSplit/>
          <w:trHeight w:val="241"/>
        </w:trPr>
        <w:tc>
          <w:tcPr>
            <w:tcW w:w="6161" w:type="dxa"/>
            <w:gridSpan w:val="3"/>
          </w:tcPr>
          <w:p w:rsidR="002178C8" w:rsidRPr="00CA33C8" w:rsidRDefault="002178C8">
            <w:pPr>
              <w:pStyle w:val="Dokumentdatum"/>
            </w:pPr>
            <w:r w:rsidRPr="00CA33C8">
              <w:t>20004-09-24</w:t>
            </w:r>
          </w:p>
        </w:tc>
      </w:tr>
      <w:tr w:rsidR="00000000" w:rsidRPr="00CA33C8">
        <w:tblPrEx>
          <w:tblCellMar>
            <w:top w:w="0" w:type="dxa"/>
            <w:left w:w="0" w:type="dxa"/>
            <w:bottom w:w="0" w:type="dxa"/>
            <w:right w:w="0" w:type="dxa"/>
          </w:tblCellMar>
        </w:tblPrEx>
        <w:trPr>
          <w:cantSplit/>
          <w:trHeight w:val="729"/>
        </w:trPr>
        <w:tc>
          <w:tcPr>
            <w:tcW w:w="6161" w:type="dxa"/>
            <w:gridSpan w:val="3"/>
            <w:vAlign w:val="bottom"/>
          </w:tcPr>
          <w:p w:rsidR="002178C8" w:rsidRPr="00CA33C8" w:rsidRDefault="002178C8">
            <w:pPr>
              <w:pStyle w:val="Dokumentbeteckning"/>
            </w:pPr>
            <w:r w:rsidRPr="00CA33C8">
              <w:t>Dokumentbeteckning</w:t>
            </w:r>
          </w:p>
        </w:tc>
      </w:tr>
      <w:tr w:rsidR="00000000" w:rsidRPr="00CA33C8">
        <w:tblPrEx>
          <w:tblCellMar>
            <w:top w:w="0" w:type="dxa"/>
            <w:left w:w="0" w:type="dxa"/>
            <w:bottom w:w="0" w:type="dxa"/>
            <w:right w:w="0" w:type="dxa"/>
          </w:tblCellMar>
        </w:tblPrEx>
        <w:trPr>
          <w:gridAfter w:val="1"/>
          <w:wAfter w:w="1256" w:type="dxa"/>
          <w:trHeight w:val="120"/>
        </w:trPr>
        <w:tc>
          <w:tcPr>
            <w:tcW w:w="4905" w:type="dxa"/>
            <w:gridSpan w:val="2"/>
          </w:tcPr>
          <w:p w:rsidR="002178C8" w:rsidRPr="00CA33C8" w:rsidRDefault="002178C8">
            <w:bookmarkStart w:id="0" w:name="KomNr"/>
            <w:bookmarkEnd w:id="0"/>
            <w:r w:rsidRPr="00CA33C8">
              <w:t xml:space="preserve">KOM(2004)470 slutlig. </w:t>
            </w:r>
          </w:p>
        </w:tc>
      </w:tr>
      <w:tr w:rsidR="00000000" w:rsidRPr="00CA33C8">
        <w:tblPrEx>
          <w:tblCellMar>
            <w:top w:w="0" w:type="dxa"/>
            <w:left w:w="0" w:type="dxa"/>
            <w:bottom w:w="0" w:type="dxa"/>
            <w:right w:w="0" w:type="dxa"/>
          </w:tblCellMar>
        </w:tblPrEx>
        <w:trPr>
          <w:gridAfter w:val="1"/>
          <w:wAfter w:w="1256" w:type="dxa"/>
          <w:trHeight w:val="120"/>
        </w:trPr>
        <w:tc>
          <w:tcPr>
            <w:tcW w:w="4905" w:type="dxa"/>
            <w:gridSpan w:val="2"/>
          </w:tcPr>
          <w:p w:rsidR="002178C8" w:rsidRPr="00CA33C8" w:rsidRDefault="002178C8">
            <w:pPr>
              <w:pStyle w:val="Dokumentbeteckning-titel"/>
            </w:pPr>
            <w:r w:rsidRPr="00CA33C8">
              <w:t>Förslag till Europaparlamentets och rådets beslut om genomförandet av ett stödprogram för den europeiska audiovisuella sektorn (Media 2007).</w:t>
            </w:r>
          </w:p>
        </w:tc>
      </w:tr>
    </w:tbl>
    <w:p w:rsidR="002178C8" w:rsidRPr="00CA33C8" w:rsidRDefault="002178C8">
      <w:pPr>
        <w:pStyle w:val="Rubrik1"/>
        <w:numPr>
          <w:ilvl w:val="0"/>
          <w:numId w:val="0"/>
        </w:numPr>
      </w:pPr>
      <w:r w:rsidRPr="00CA33C8">
        <w:t>Sammanfattning</w:t>
      </w:r>
    </w:p>
    <w:p w:rsidR="002178C8" w:rsidRPr="00CA33C8" w:rsidRDefault="002178C8"/>
    <w:p w:rsidR="002178C8" w:rsidRPr="00CA33C8" w:rsidRDefault="002178C8">
      <w:r w:rsidRPr="00CA33C8">
        <w:t xml:space="preserve">Det föreslagna MEDIA 2007-programmet är en sammanslagning av dels MEDIA Plus och dels MEDIA Training. Programmet skall löpa 2007-2013 med en budget på 1,055 miljarder euro. Sverige har goda erfarenheter av de tidigare programmen och anser att MEDIA 2007 generellt är utformat på ett bra sätt. </w:t>
      </w:r>
    </w:p>
    <w:p w:rsidR="002178C8" w:rsidRPr="00CA33C8" w:rsidRDefault="002178C8">
      <w:pPr>
        <w:pStyle w:val="Rubrik1"/>
      </w:pPr>
      <w:r w:rsidRPr="00CA33C8">
        <w:t>Förslaget</w:t>
      </w:r>
    </w:p>
    <w:p w:rsidR="002178C8" w:rsidRPr="00CA33C8" w:rsidRDefault="002178C8">
      <w:pPr>
        <w:pStyle w:val="Rubrik2"/>
      </w:pPr>
      <w:r w:rsidRPr="00CA33C8">
        <w:t>Innehåll</w:t>
      </w:r>
    </w:p>
    <w:p w:rsidR="002178C8" w:rsidRPr="00CA33C8" w:rsidRDefault="002178C8">
      <w:pPr>
        <w:spacing w:before="100" w:after="100"/>
      </w:pPr>
      <w:r w:rsidRPr="00CA33C8">
        <w:t>Media 2007 är en sammanslagning av Media Plus och Media Yrkesutbildning och skall löpa under perioden 1 januari 2007 till och med 31 december 2013. Utvärderingarna av de tidigare programmen har visat att dessa blivit instrument av stor vikt för den europeiska audivisuella sektorn. Det nya integrerade programmet skall förenkla gemenskapens insatser på det audiovisuella området genom att förena de tidigare budgetposterna till en enda.  Samtidigt kommer administrationen av programmet att förenklas i jämförels</w:t>
      </w:r>
      <w:r w:rsidRPr="00CA33C8">
        <w:t xml:space="preserve">e med de tidigare två programmen bl.a. genom inrättandet av ett genomförandeorgan som skall ansvara för förvaltningen. </w:t>
      </w:r>
    </w:p>
    <w:p w:rsidR="002178C8" w:rsidRPr="00CA33C8" w:rsidRDefault="002178C8">
      <w:pPr>
        <w:spacing w:before="100" w:after="100"/>
      </w:pPr>
      <w:r w:rsidRPr="00CA33C8">
        <w:t xml:space="preserve"> </w:t>
      </w:r>
    </w:p>
    <w:p w:rsidR="002178C8" w:rsidRPr="00CA33C8" w:rsidRDefault="002178C8">
      <w:pPr>
        <w:spacing w:before="100" w:after="100"/>
      </w:pPr>
    </w:p>
    <w:p w:rsidR="002178C8" w:rsidRPr="00CA33C8" w:rsidRDefault="002178C8">
      <w:pPr>
        <w:spacing w:before="100" w:after="100"/>
      </w:pPr>
      <w:r w:rsidRPr="00CA33C8">
        <w:t xml:space="preserve">Media 2007 har som allmänna mål att: </w:t>
      </w:r>
    </w:p>
    <w:p w:rsidR="002178C8" w:rsidRPr="00CA33C8" w:rsidRDefault="002178C8">
      <w:pPr>
        <w:numPr>
          <w:ilvl w:val="0"/>
          <w:numId w:val="13"/>
        </w:numPr>
        <w:spacing w:before="100" w:after="100"/>
      </w:pPr>
      <w:r w:rsidRPr="00CA33C8">
        <w:t>bevara och stärka Europas kulturella mångfald och dess kinematografiska och audiovisuella arv, säkerställa att detta arv är tillgängligt för Europas medborgare samt främja en dialog mellan kulturer,</w:t>
      </w:r>
    </w:p>
    <w:p w:rsidR="002178C8" w:rsidRPr="00CA33C8" w:rsidRDefault="002178C8">
      <w:pPr>
        <w:numPr>
          <w:ilvl w:val="0"/>
          <w:numId w:val="13"/>
        </w:numPr>
        <w:spacing w:before="100" w:after="100"/>
      </w:pPr>
      <w:r w:rsidRPr="00CA33C8">
        <w:t>öka spridningen av europeiska audiovisuella verk i och utanför Europeiska unionen,</w:t>
      </w:r>
    </w:p>
    <w:p w:rsidR="002178C8" w:rsidRPr="00CA33C8" w:rsidRDefault="002178C8">
      <w:pPr>
        <w:numPr>
          <w:ilvl w:val="0"/>
          <w:numId w:val="13"/>
        </w:numPr>
        <w:spacing w:before="100" w:after="100"/>
      </w:pPr>
      <w:r w:rsidRPr="00CA33C8">
        <w:rPr>
          <w:color w:val="000000"/>
        </w:rPr>
        <w:t>öka den europeiska audiovisuella sektorns konkurrenskraft på en öppen och konkurrensutsatt marknad.</w:t>
      </w:r>
    </w:p>
    <w:p w:rsidR="002178C8" w:rsidRPr="00CA33C8" w:rsidRDefault="002178C8">
      <w:r w:rsidRPr="00CA33C8">
        <w:t>Budgeten för genomförandet skall vara 1,055 miljarder euro. De årliga anslagen skall beviljas av budgetmyndigheten inom ramen för budgetplanen.</w:t>
      </w:r>
    </w:p>
    <w:p w:rsidR="002178C8" w:rsidRPr="00CA33C8" w:rsidRDefault="002178C8">
      <w:pPr>
        <w:pStyle w:val="Rubrik3"/>
      </w:pPr>
      <w:r w:rsidRPr="00CA33C8">
        <w:t>Särskilda insatser på förproduktionsstadiet</w:t>
      </w:r>
    </w:p>
    <w:p w:rsidR="002178C8" w:rsidRPr="00CA33C8" w:rsidRDefault="002178C8">
      <w:r w:rsidRPr="00CA33C8">
        <w:t>Media 2007 skall stärka de yrkesverksammas färdigheter inom utveckling, produktion, distribution och marknadsföring i syfte att förbättra kvaliteten på och potentialen hos europeiska audiovisuella verk. Åtgärder på följande områden skall särskilt stödjas: tekniker för manusförfattande, ekonomiska och kommersiella aspekter av produktion, distribution och marknadsföring samt beaktande av digital teknik. Programmet ska också förbättra den europeiska dimensionen inom audiovisuell utbildning med hjälp av stöd t</w:t>
      </w:r>
      <w:r w:rsidRPr="00CA33C8">
        <w:t>ill nätverk och rörlighet bland europeiska lärare; lärarutbildningar; stöd till individuella utbildningsprogram samt samordning och främjande av de organ som är verksamma inom programmets prioriterade områden. Särskilda stipendier skall möjliggöra deltagande i utbildningarna för yrkesverksamma från de nya medlemsstaterna. På utvecklingsområdet omfattar programmet stöd till projekt som drivs av oberoende produktionsbolag för den europeiska och internationella marknaden samt utarbetandet av budgetar för europ</w:t>
      </w:r>
      <w:r w:rsidRPr="00CA33C8">
        <w:t>eiska produktioner, inklusive finansiering av samproduktioner.</w:t>
      </w:r>
    </w:p>
    <w:p w:rsidR="002178C8" w:rsidRPr="00CA33C8" w:rsidRDefault="002178C8">
      <w:pPr>
        <w:pStyle w:val="Rubrik3"/>
      </w:pPr>
      <w:r w:rsidRPr="00CA33C8">
        <w:t>Särskilda insatser på efterproduktionsstadiet</w:t>
      </w:r>
    </w:p>
    <w:p w:rsidR="002178C8" w:rsidRPr="00CA33C8" w:rsidRDefault="002178C8">
      <w:r w:rsidRPr="00CA33C8">
        <w:t>Media 2007 skall stärka europeisk distribution på flera sätt. Programmet skall uppmuntra distributörer att investera i samproduktioner, förvärva filmer från andra europeiska länder och marknadsföra dem samt erbjuda incitament för export inom och utom Europa. Det skall även uppmuntra samarbete över gränser mellan programföretag, oberoende producenter och distributörer. Vidare skall programmet uppmuntra digitaliseringen av europiska audivisuella verk samt uppmuntra biografer att använda sig av digital distri</w:t>
      </w:r>
      <w:r w:rsidRPr="00CA33C8">
        <w:t xml:space="preserve">bution. </w:t>
      </w:r>
    </w:p>
    <w:p w:rsidR="002178C8" w:rsidRPr="00CA33C8" w:rsidRDefault="002178C8">
      <w:r w:rsidRPr="00CA33C8">
        <w:t>På marknadsföringsområdet omfattar programmet åtgärder som skall förbättra spridningen av europeiska audiovisuella verk genom att säkerställa tillgången till europeiska och internationella marknader. Genom att bl.a. uppmuntra audivisuella festivaler skall programmet förbättra publikens tillgång till europeiska verk. Med stöd till inrättandet av gemensamma europeiska marknadsföringsplattformar ska europeiskt samarbete med marknadsföringen av film uppmuntras. Vidare skall programmet uppmuntra främjan</w:t>
      </w:r>
      <w:r w:rsidRPr="00CA33C8">
        <w:t>det av Europas kinematografiska och audiovisuella arv. Programmets anpassning till utvecklingen på marknaden, i synnerhet när det gäller informations- och kommunikationsteknik, kan tillgodoses genom stöd till pilotprojekt.</w:t>
      </w:r>
    </w:p>
    <w:p w:rsidR="002178C8" w:rsidRPr="00CA33C8" w:rsidRDefault="002178C8">
      <w:pPr>
        <w:pStyle w:val="Rubrik2"/>
      </w:pPr>
      <w:r w:rsidRPr="00CA33C8">
        <w:t>Gällande svenska regler och förslagets effekt på dessa</w:t>
      </w:r>
    </w:p>
    <w:p w:rsidR="002178C8" w:rsidRPr="00CA33C8" w:rsidRDefault="002178C8">
      <w:r w:rsidRPr="00CA33C8">
        <w:t>Det svenska filmstödet regleras av 2000 års filmavtal. Inga effekter kan noteras i detta läge.</w:t>
      </w:r>
    </w:p>
    <w:p w:rsidR="002178C8" w:rsidRPr="00CA33C8" w:rsidRDefault="002178C8">
      <w:pPr>
        <w:pStyle w:val="Rubrik2"/>
      </w:pPr>
      <w:r w:rsidRPr="00CA33C8">
        <w:t>Budgetära konsekvenser</w:t>
      </w:r>
    </w:p>
    <w:p w:rsidR="002178C8" w:rsidRPr="00CA33C8" w:rsidRDefault="002178C8">
      <w:r w:rsidRPr="00CA33C8">
        <w:t xml:space="preserve">Finansieringen för programmet skall enligt kommissionens förslag vara 1,055 miljarder euro för perioden 2007-2013. Programmet ersätter Media Plus och Media Yrkesutbildning med en budget på 453,6 miljoner euro respektive 59,4 miljoner euro för perioden 2001-2006. Generellt kan man notera att Media 2007 är tänkt att ha en större budget än Media Plus och Media Yrkesutbildning sammanslaget har. Detta beror bl.a. på att programmet skall löpa längre samt att fler länder deltar i programmet. Det är svårt att med </w:t>
      </w:r>
      <w:r w:rsidRPr="00CA33C8">
        <w:t>säkerhet ange de budgetära konsekvenserna eftersom långtidsbudgeten Agenda 2007 inte är fastlagd ännu. Eventuella budgetära konsekvenser av programmet skall finansieras genom omprioriteringar inom befintlig ram.</w:t>
      </w:r>
    </w:p>
    <w:p w:rsidR="002178C8" w:rsidRPr="00CA33C8" w:rsidRDefault="002178C8">
      <w:pPr>
        <w:pStyle w:val="Rubrik1"/>
      </w:pPr>
      <w:r w:rsidRPr="00CA33C8">
        <w:t>Ståndpunkter</w:t>
      </w:r>
    </w:p>
    <w:p w:rsidR="002178C8" w:rsidRPr="00CA33C8" w:rsidRDefault="002178C8">
      <w:pPr>
        <w:pStyle w:val="Rubrik2"/>
      </w:pPr>
      <w:r w:rsidRPr="00CA33C8">
        <w:t>Svensk ståndpunkt</w:t>
      </w:r>
    </w:p>
    <w:p w:rsidR="002178C8" w:rsidRPr="00CA33C8" w:rsidRDefault="002178C8">
      <w:r w:rsidRPr="00CA33C8">
        <w:t xml:space="preserve">Sverige har haft positiva erfarenheter av de tidigare programmen. Det finns ett klart europeiskt mervärde i mediaprogrammet eftersom det kompletterar nationella insatser. På ett generellt plan stödjer Sverige därför förslaget till ett nytt förslag.  </w:t>
      </w:r>
    </w:p>
    <w:p w:rsidR="002178C8" w:rsidRPr="00CA33C8" w:rsidRDefault="002178C8">
      <w:pPr>
        <w:pStyle w:val="Rubrik2"/>
      </w:pPr>
      <w:r w:rsidRPr="00CA33C8">
        <w:t>Medlemsstaternas ståndpunkter</w:t>
      </w:r>
    </w:p>
    <w:p w:rsidR="002178C8" w:rsidRPr="00CA33C8" w:rsidRDefault="002178C8">
      <w:r w:rsidRPr="00CA33C8">
        <w:t>Ej kända för närvarande.</w:t>
      </w:r>
    </w:p>
    <w:p w:rsidR="002178C8" w:rsidRPr="00CA33C8" w:rsidRDefault="002178C8">
      <w:pPr>
        <w:pStyle w:val="Rubrik2"/>
      </w:pPr>
      <w:r w:rsidRPr="00CA33C8">
        <w:t>Institutionernas ståndpunkter</w:t>
      </w:r>
    </w:p>
    <w:p w:rsidR="002178C8" w:rsidRPr="00CA33C8" w:rsidRDefault="002178C8">
      <w:r w:rsidRPr="00CA33C8">
        <w:t>Ej kända för närvarande.</w:t>
      </w:r>
    </w:p>
    <w:p w:rsidR="002178C8" w:rsidRPr="00CA33C8" w:rsidRDefault="002178C8">
      <w:pPr>
        <w:pStyle w:val="Rubrik2"/>
      </w:pPr>
      <w:r w:rsidRPr="00CA33C8">
        <w:t>Remissinstansernas ståndpunkter</w:t>
      </w:r>
    </w:p>
    <w:p w:rsidR="002178C8" w:rsidRPr="00CA33C8" w:rsidRDefault="002178C8">
      <w:r w:rsidRPr="00CA33C8">
        <w:t>Kulturdepartementet har sedan våren 2004 en referensgrupp bestående av representanter från berörda delar av branschen. Departementet bereder för närvarande gruppens ståndpunkter.</w:t>
      </w:r>
    </w:p>
    <w:p w:rsidR="002178C8" w:rsidRPr="00CA33C8" w:rsidRDefault="002178C8">
      <w:pPr>
        <w:pStyle w:val="Rubrik1"/>
      </w:pPr>
      <w:r w:rsidRPr="00CA33C8">
        <w:t>Övrigt</w:t>
      </w:r>
    </w:p>
    <w:p w:rsidR="002178C8" w:rsidRPr="00CA33C8" w:rsidRDefault="002178C8">
      <w:pPr>
        <w:pStyle w:val="Rubrik2"/>
      </w:pPr>
      <w:r w:rsidRPr="00CA33C8">
        <w:t>Fortsatt behandling av ärendet</w:t>
      </w:r>
    </w:p>
    <w:p w:rsidR="002178C8" w:rsidRPr="00CA33C8" w:rsidRDefault="002178C8">
      <w:r w:rsidRPr="00CA33C8">
        <w:t>Förslaget kommer att behandlas i den audiovisuella rådsarbetsgruppen under september/oktober. En första diskussion kommer troligen att äga rum vid rådets möte (utbildning, ungdom, kultur) den 15-16 november.</w:t>
      </w:r>
    </w:p>
    <w:p w:rsidR="002178C8" w:rsidRPr="00CA33C8" w:rsidRDefault="002178C8">
      <w:pPr>
        <w:pStyle w:val="Rubrik2"/>
      </w:pPr>
      <w:r w:rsidRPr="00CA33C8">
        <w:t>Rättslig grund och beslutsförfarande</w:t>
      </w:r>
    </w:p>
    <w:p w:rsidR="002178C8" w:rsidRPr="00CA33C8" w:rsidRDefault="002178C8">
      <w:r w:rsidRPr="00CA33C8">
        <w:t>Art 150, 157. Kvalificerad majoritet i rådet.</w:t>
      </w:r>
    </w:p>
    <w:p w:rsidR="002178C8" w:rsidRPr="00CA33C8" w:rsidRDefault="002178C8">
      <w:pPr>
        <w:pStyle w:val="Rubrik2"/>
      </w:pPr>
      <w:r w:rsidRPr="00CA33C8">
        <w:t>Fackuttryck/termer</w:t>
      </w:r>
    </w:p>
    <w:p w:rsidR="002178C8" w:rsidRPr="00CA33C8" w:rsidRDefault="002178C8"/>
    <w:sectPr w:rsidR="002178C8" w:rsidRPr="00CA33C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8C8" w:rsidRPr="00CA33C8" w:rsidRDefault="002178C8">
      <w:pPr>
        <w:spacing w:before="0" w:line="240" w:lineRule="auto"/>
      </w:pPr>
      <w:r w:rsidRPr="00CA33C8">
        <w:separator/>
      </w:r>
    </w:p>
  </w:endnote>
  <w:endnote w:type="continuationSeparator" w:id="0">
    <w:p w:rsidR="002178C8" w:rsidRPr="00CA33C8" w:rsidRDefault="002178C8">
      <w:pPr>
        <w:spacing w:before="0" w:line="240" w:lineRule="auto"/>
      </w:pPr>
      <w:r w:rsidRPr="00CA33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8C8" w:rsidRPr="00CA33C8" w:rsidRDefault="002178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8C8" w:rsidRPr="00CA33C8" w:rsidRDefault="002178C8">
    <w:pPr>
      <w:pStyle w:val="SidfotH"/>
      <w:framePr w:wrap="around"/>
    </w:pPr>
    <w:r w:rsidRPr="00CA33C8">
      <w:t>4</w:t>
    </w:r>
  </w:p>
  <w:p w:rsidR="002178C8" w:rsidRPr="00CA33C8" w:rsidRDefault="002178C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8C8" w:rsidRPr="00CA33C8" w:rsidRDefault="002178C8">
    <w:pPr>
      <w:pStyle w:val="SidfotH"/>
      <w:framePr w:wrap="around"/>
    </w:pPr>
    <w:r w:rsidRPr="00CA33C8">
      <w:t>1</w:t>
    </w:r>
  </w:p>
  <w:p w:rsidR="002178C8" w:rsidRPr="00CA33C8" w:rsidRDefault="002178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8C8" w:rsidRPr="00CA33C8" w:rsidRDefault="002178C8">
      <w:pPr>
        <w:spacing w:before="0" w:line="240" w:lineRule="auto"/>
      </w:pPr>
      <w:r w:rsidRPr="00CA33C8">
        <w:separator/>
      </w:r>
    </w:p>
  </w:footnote>
  <w:footnote w:type="continuationSeparator" w:id="0">
    <w:p w:rsidR="002178C8" w:rsidRPr="00CA33C8" w:rsidRDefault="002178C8">
      <w:pPr>
        <w:spacing w:before="0" w:line="240" w:lineRule="auto"/>
      </w:pPr>
      <w:r w:rsidRPr="00CA33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8C8" w:rsidRPr="00CA33C8" w:rsidRDefault="002178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8C8" w:rsidRPr="00CA33C8" w:rsidRDefault="002178C8">
    <w:pPr>
      <w:pStyle w:val="Kantrubrik"/>
      <w:framePr w:h="1157" w:hRule="exact" w:wrap="around" w:y="738"/>
    </w:pPr>
    <w:r w:rsidRPr="00CA33C8">
      <w:t>2004/05:FPM14</w:t>
    </w:r>
  </w:p>
  <w:p w:rsidR="002178C8" w:rsidRPr="00CA33C8" w:rsidRDefault="002178C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8C8" w:rsidRPr="00CA33C8" w:rsidRDefault="00CA33C8">
    <w:pPr>
      <w:pStyle w:val="Sidhuvud"/>
    </w:pPr>
    <w:r w:rsidRPr="00CA33C8">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929963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2178C8" w:rsidRDefault="002178C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3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2178C8" w:rsidRDefault="002178C8">
                    <w:pPr>
                      <w:pStyle w:val="Logo"/>
                    </w:pPr>
                    <w:r>
                      <w:object w:dxaOrig="840" w:dyaOrig="1545">
                        <v:shape id="_x0000_i1025" type="#_x0000_t75" style="width:42pt;height:77.15pt" fillcolor="window">
                          <v:imagedata r:id="rId1" o:title=""/>
                        </v:shape>
                        <o:OLEObject Type="Embed" ProgID="Word.Picture.8" ShapeID="_x0000_i1025" DrawAspect="Content" ObjectID="_182741993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D60673"/>
    <w:multiLevelType w:val="hybridMultilevel"/>
    <w:tmpl w:val="9CD4D7A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2241A"/>
    <w:multiLevelType w:val="hybridMultilevel"/>
    <w:tmpl w:val="7256EEA0"/>
    <w:lvl w:ilvl="0" w:tplc="FFFFFFFF">
      <w:start w:val="1"/>
      <w:numFmt w:val="bullet"/>
      <w:lvlText w:val=""/>
      <w:lvlJc w:val="left"/>
      <w:pPr>
        <w:tabs>
          <w:tab w:val="num" w:pos="644"/>
        </w:tabs>
        <w:ind w:left="644" w:hanging="360"/>
      </w:pPr>
      <w:rPr>
        <w:rFonts w:ascii="Symbol" w:hAnsi="Symbol" w:hint="default"/>
        <w:sz w:val="20"/>
      </w:rPr>
    </w:lvl>
    <w:lvl w:ilvl="1" w:tplc="FFFFFFFF" w:tentative="1">
      <w:start w:val="1"/>
      <w:numFmt w:val="bullet"/>
      <w:lvlText w:val="o"/>
      <w:lvlJc w:val="left"/>
      <w:pPr>
        <w:tabs>
          <w:tab w:val="num" w:pos="1364"/>
        </w:tabs>
        <w:ind w:left="1364" w:hanging="360"/>
      </w:pPr>
      <w:rPr>
        <w:rFonts w:ascii="Courier New" w:hAnsi="Courier New" w:hint="default"/>
        <w:sz w:val="20"/>
      </w:rPr>
    </w:lvl>
    <w:lvl w:ilvl="2" w:tplc="FFFFFFFF" w:tentative="1">
      <w:start w:val="1"/>
      <w:numFmt w:val="bullet"/>
      <w:lvlText w:val=""/>
      <w:lvlJc w:val="left"/>
      <w:pPr>
        <w:tabs>
          <w:tab w:val="num" w:pos="2084"/>
        </w:tabs>
        <w:ind w:left="2084" w:hanging="360"/>
      </w:pPr>
      <w:rPr>
        <w:rFonts w:ascii="Wingdings" w:hAnsi="Wingdings" w:hint="default"/>
        <w:sz w:val="20"/>
      </w:rPr>
    </w:lvl>
    <w:lvl w:ilvl="3" w:tplc="FFFFFFFF" w:tentative="1">
      <w:start w:val="1"/>
      <w:numFmt w:val="bullet"/>
      <w:lvlText w:val=""/>
      <w:lvlJc w:val="left"/>
      <w:pPr>
        <w:tabs>
          <w:tab w:val="num" w:pos="2804"/>
        </w:tabs>
        <w:ind w:left="2804" w:hanging="360"/>
      </w:pPr>
      <w:rPr>
        <w:rFonts w:ascii="Wingdings" w:hAnsi="Wingdings" w:hint="default"/>
        <w:sz w:val="20"/>
      </w:rPr>
    </w:lvl>
    <w:lvl w:ilvl="4" w:tplc="FFFFFFFF" w:tentative="1">
      <w:start w:val="1"/>
      <w:numFmt w:val="bullet"/>
      <w:lvlText w:val=""/>
      <w:lvlJc w:val="left"/>
      <w:pPr>
        <w:tabs>
          <w:tab w:val="num" w:pos="3524"/>
        </w:tabs>
        <w:ind w:left="3524" w:hanging="360"/>
      </w:pPr>
      <w:rPr>
        <w:rFonts w:ascii="Wingdings" w:hAnsi="Wingdings" w:hint="default"/>
        <w:sz w:val="20"/>
      </w:rPr>
    </w:lvl>
    <w:lvl w:ilvl="5" w:tplc="FFFFFFFF" w:tentative="1">
      <w:start w:val="1"/>
      <w:numFmt w:val="bullet"/>
      <w:lvlText w:val=""/>
      <w:lvlJc w:val="left"/>
      <w:pPr>
        <w:tabs>
          <w:tab w:val="num" w:pos="4244"/>
        </w:tabs>
        <w:ind w:left="4244" w:hanging="360"/>
      </w:pPr>
      <w:rPr>
        <w:rFonts w:ascii="Wingdings" w:hAnsi="Wingdings" w:hint="default"/>
        <w:sz w:val="20"/>
      </w:rPr>
    </w:lvl>
    <w:lvl w:ilvl="6" w:tplc="FFFFFFFF" w:tentative="1">
      <w:start w:val="1"/>
      <w:numFmt w:val="bullet"/>
      <w:lvlText w:val=""/>
      <w:lvlJc w:val="left"/>
      <w:pPr>
        <w:tabs>
          <w:tab w:val="num" w:pos="4964"/>
        </w:tabs>
        <w:ind w:left="4964" w:hanging="360"/>
      </w:pPr>
      <w:rPr>
        <w:rFonts w:ascii="Wingdings" w:hAnsi="Wingdings" w:hint="default"/>
        <w:sz w:val="20"/>
      </w:rPr>
    </w:lvl>
    <w:lvl w:ilvl="7" w:tplc="FFFFFFFF" w:tentative="1">
      <w:start w:val="1"/>
      <w:numFmt w:val="bullet"/>
      <w:lvlText w:val=""/>
      <w:lvlJc w:val="left"/>
      <w:pPr>
        <w:tabs>
          <w:tab w:val="num" w:pos="5684"/>
        </w:tabs>
        <w:ind w:left="5684" w:hanging="360"/>
      </w:pPr>
      <w:rPr>
        <w:rFonts w:ascii="Wingdings" w:hAnsi="Wingdings" w:hint="default"/>
        <w:sz w:val="20"/>
      </w:rPr>
    </w:lvl>
    <w:lvl w:ilvl="8" w:tplc="FFFFFFFF"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40622FF1"/>
    <w:multiLevelType w:val="hybridMultilevel"/>
    <w:tmpl w:val="3E34C040"/>
    <w:lvl w:ilvl="0" w:tplc="FFFFFFFF">
      <w:numFmt w:val="bullet"/>
      <w:lvlText w:val="–"/>
      <w:lvlJc w:val="left"/>
      <w:pPr>
        <w:tabs>
          <w:tab w:val="num" w:pos="720"/>
        </w:tabs>
        <w:ind w:left="72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1D4D8E"/>
    <w:multiLevelType w:val="hybridMultilevel"/>
    <w:tmpl w:val="2C340D7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59781D18"/>
    <w:multiLevelType w:val="hybridMultilevel"/>
    <w:tmpl w:val="246CAC7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2D49A1"/>
    <w:multiLevelType w:val="hybridMultilevel"/>
    <w:tmpl w:val="FDD2288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6DE54365"/>
    <w:multiLevelType w:val="hybridMultilevel"/>
    <w:tmpl w:val="1A8001C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57202400">
    <w:abstractNumId w:val="11"/>
  </w:num>
  <w:num w:numId="2" w16cid:durableId="144249591">
    <w:abstractNumId w:val="3"/>
  </w:num>
  <w:num w:numId="3" w16cid:durableId="826820749">
    <w:abstractNumId w:val="6"/>
  </w:num>
  <w:num w:numId="4" w16cid:durableId="237372873">
    <w:abstractNumId w:val="9"/>
  </w:num>
  <w:num w:numId="5" w16cid:durableId="424810106">
    <w:abstractNumId w:val="12"/>
  </w:num>
  <w:num w:numId="6" w16cid:durableId="2047679838">
    <w:abstractNumId w:val="0"/>
  </w:num>
  <w:num w:numId="7" w16cid:durableId="1300264787">
    <w:abstractNumId w:val="2"/>
  </w:num>
  <w:num w:numId="8" w16cid:durableId="1882859583">
    <w:abstractNumId w:val="10"/>
  </w:num>
  <w:num w:numId="9" w16cid:durableId="1055395589">
    <w:abstractNumId w:val="7"/>
  </w:num>
  <w:num w:numId="10" w16cid:durableId="1653097950">
    <w:abstractNumId w:val="1"/>
  </w:num>
  <w:num w:numId="11" w16cid:durableId="685790032">
    <w:abstractNumId w:val="5"/>
  </w:num>
  <w:num w:numId="12" w16cid:durableId="1660232426">
    <w:abstractNumId w:val="4"/>
  </w:num>
  <w:num w:numId="13" w16cid:durableId="366565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0-28"/>
    <w:docVar w:name="Ar" w:val="2004/05"/>
    <w:docVar w:name="Dep" w:val="Kulturdepartementet"/>
    <w:docVar w:name="DepWeb" w:val="Kulturdepartementet"/>
    <w:docVar w:name="GDB1" w:val="KOM(2004)470 slutlig. "/>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genomförandet av ett stödprogram för den europeiska audiovisuella sektorn (Media 2007)."/>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470 slutlig."/>
    <w:docVar w:name="Nr" w:val="14"/>
    <w:docVar w:name="Rub" w:val="Kommissionens förslag till nytt mediaprogram (Media 2007)"/>
    <w:docVar w:name="UppDat" w:val="20004-09-24"/>
    <w:docVar w:name="Utsk" w:val="Kulturutskottet"/>
  </w:docVars>
  <w:rsids>
    <w:rsidRoot w:val="00957C0D"/>
    <w:rsid w:val="002178C8"/>
    <w:rsid w:val="00957C0D"/>
    <w:rsid w:val="00CA33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5AB966-530B-48F1-9F89-52C4217B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on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790</Words>
  <Characters>5335</Characters>
  <Application>Microsoft Office Word</Application>
  <DocSecurity>4</DocSecurity>
  <Lines>113</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2004-10-28T09:29:00Z</cp:lastPrinted>
  <dcterms:created xsi:type="dcterms:W3CDTF">2025-12-16T18:40:00Z</dcterms:created>
  <dcterms:modified xsi:type="dcterms:W3CDTF">2025-12-16T18:40:00Z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vt:lpwstr>
  </property>
  <property fmtid="{D5CDD505-2E9C-101B-9397-08002B2CF9AE}" pid="4" name="GDB1">
    <vt:lpwstr>KOM(2004)470 slutlig.</vt:lpwstr>
  </property>
  <property fmtid="{D5CDD505-2E9C-101B-9397-08002B2CF9AE}" pid="5" name="GDT1">
    <vt:lpwstr> </vt:lpwstr>
  </property>
  <property fmtid="{D5CDD505-2E9C-101B-9397-08002B2CF9AE}" pid="6" name="Dep">
    <vt:lpwstr>Kulturdepartementet</vt:lpwstr>
  </property>
  <property fmtid="{D5CDD505-2E9C-101B-9397-08002B2CF9AE}" pid="7" name="Rub">
    <vt:lpwstr>Kommissionens förslag till nytt mediaprogram (Media 2007)</vt:lpwstr>
  </property>
  <property fmtid="{D5CDD505-2E9C-101B-9397-08002B2CF9AE}" pid="8" name="UppDat">
    <vt:lpwstr>20004-09-24</vt:lpwstr>
  </property>
  <property fmtid="{D5CDD505-2E9C-101B-9397-08002B2CF9AE}" pid="9" name="AnkDat">
    <vt:lpwstr>2004-10-28</vt:lpwstr>
  </property>
  <property fmtid="{D5CDD505-2E9C-101B-9397-08002B2CF9AE}" pid="10" name="Utsk">
    <vt:lpwstr>Kulturutskottet</vt:lpwstr>
  </property>
  <property fmtid="{D5CDD505-2E9C-101B-9397-08002B2CF9AE}" pid="11" name="Ar">
    <vt:lpwstr>2004/05</vt:lpwstr>
  </property>
  <property fmtid="{D5CDD505-2E9C-101B-9397-08002B2CF9AE}" pid="12" name="DepID">
    <vt:lpwstr>9;0;0;291</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Kulturdepartementet">
    <vt:lpwstr>JA</vt:lpwstr>
  </property>
  <property fmtid="{D5CDD505-2E9C-101B-9397-08002B2CF9AE}" pid="28" name="NUID">
    <vt:lpwstr> </vt:lpwstr>
  </property>
</Properties>
</file>