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69"/>
        <w:gridCol w:w="851"/>
      </w:tblGrid>
      <w:tr w:rsidR="00000000" w:rsidRPr="00B2051C">
        <w:tblPrEx>
          <w:tblCellMar>
            <w:top w:w="0" w:type="dxa"/>
            <w:left w:w="0" w:type="dxa"/>
            <w:bottom w:w="0" w:type="dxa"/>
            <w:right w:w="0" w:type="dxa"/>
          </w:tblCellMar>
        </w:tblPrEx>
        <w:trPr>
          <w:gridBefore w:val="1"/>
          <w:gridAfter w:val="1"/>
          <w:wBefore w:w="851" w:type="dxa"/>
          <w:wAfter w:w="851" w:type="dxa"/>
          <w:cantSplit/>
          <w:trHeight w:val="240"/>
        </w:trPr>
        <w:tc>
          <w:tcPr>
            <w:tcW w:w="9640" w:type="dxa"/>
            <w:gridSpan w:val="3"/>
          </w:tcPr>
          <w:p w:rsidR="000A522F" w:rsidRPr="00B2051C" w:rsidRDefault="00B2051C">
            <w:pPr>
              <w:pStyle w:val="EntLogo"/>
            </w:pPr>
            <w:r w:rsidRPr="00B2051C">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00000" w:rsidRPr="00B2051C">
        <w:tblPrEx>
          <w:tblCellMar>
            <w:top w:w="0" w:type="dxa"/>
            <w:left w:w="0" w:type="dxa"/>
            <w:bottom w:w="0" w:type="dxa"/>
            <w:right w:w="0" w:type="dxa"/>
          </w:tblCellMar>
        </w:tblPrEx>
        <w:trPr>
          <w:cantSplit/>
          <w:trHeight w:val="1120"/>
        </w:trPr>
        <w:tc>
          <w:tcPr>
            <w:tcW w:w="4821" w:type="dxa"/>
            <w:gridSpan w:val="2"/>
          </w:tcPr>
          <w:p w:rsidR="000A522F" w:rsidRPr="00B2051C" w:rsidRDefault="000A522F">
            <w:pPr>
              <w:pStyle w:val="EntInstit"/>
            </w:pPr>
            <w:r w:rsidRPr="00B2051C">
              <w:t>EUROPEISKA</w:t>
            </w:r>
          </w:p>
          <w:p w:rsidR="000A522F" w:rsidRPr="00B2051C" w:rsidRDefault="000A522F">
            <w:pPr>
              <w:pStyle w:val="EntInstit"/>
            </w:pPr>
            <w:r w:rsidRPr="00B2051C">
              <w:t>UNIONENS RÅD</w:t>
            </w:r>
          </w:p>
          <w:p w:rsidR="000A522F" w:rsidRPr="00B2051C" w:rsidRDefault="000A522F">
            <w:pPr>
              <w:pStyle w:val="EntInstit"/>
            </w:pPr>
          </w:p>
          <w:p w:rsidR="000A522F" w:rsidRPr="00B2051C" w:rsidRDefault="000A522F">
            <w:pPr>
              <w:pStyle w:val="EntInstit"/>
            </w:pPr>
          </w:p>
        </w:tc>
        <w:tc>
          <w:tcPr>
            <w:tcW w:w="1701" w:type="dxa"/>
          </w:tcPr>
          <w:p w:rsidR="000A522F" w:rsidRPr="00B2051C" w:rsidRDefault="000A522F">
            <w:pPr>
              <w:jc w:val="right"/>
              <w:rPr>
                <w:b/>
              </w:rPr>
            </w:pPr>
          </w:p>
        </w:tc>
        <w:tc>
          <w:tcPr>
            <w:tcW w:w="4820" w:type="dxa"/>
            <w:gridSpan w:val="2"/>
          </w:tcPr>
          <w:p w:rsidR="000A522F" w:rsidRPr="00B2051C" w:rsidRDefault="000A522F">
            <w:pPr>
              <w:pStyle w:val="EntRefer"/>
            </w:pPr>
            <w:bookmarkStart w:id="0" w:name="Lieu"/>
            <w:bookmarkEnd w:id="0"/>
            <w:r w:rsidRPr="00B2051C">
              <w:t xml:space="preserve">Bryssel den </w:t>
            </w:r>
            <w:bookmarkStart w:id="1" w:name="Date"/>
            <w:bookmarkEnd w:id="1"/>
            <w:r w:rsidRPr="00B2051C">
              <w:t xml:space="preserve">4 januari 2006 </w:t>
            </w:r>
            <w:bookmarkStart w:id="2" w:name="DateEntree"/>
            <w:bookmarkEnd w:id="2"/>
            <w:r w:rsidRPr="00B2051C">
              <w:t>(3.3)</w:t>
            </w:r>
          </w:p>
          <w:p w:rsidR="000A522F" w:rsidRPr="00B2051C" w:rsidRDefault="000A522F">
            <w:pPr>
              <w:pStyle w:val="EntRefer"/>
            </w:pPr>
            <w:bookmarkStart w:id="3" w:name="LangueOrig"/>
            <w:bookmarkEnd w:id="3"/>
            <w:r w:rsidRPr="00B2051C">
              <w:t>(OR. en)</w:t>
            </w:r>
          </w:p>
        </w:tc>
      </w:tr>
      <w:tr w:rsidR="00000000" w:rsidRPr="00B2051C">
        <w:tblPrEx>
          <w:tblCellMar>
            <w:top w:w="0" w:type="dxa"/>
            <w:left w:w="0" w:type="dxa"/>
            <w:bottom w:w="0" w:type="dxa"/>
            <w:right w:w="0" w:type="dxa"/>
          </w:tblCellMar>
        </w:tblPrEx>
        <w:trPr>
          <w:gridBefore w:val="1"/>
          <w:gridAfter w:val="1"/>
          <w:wBefore w:w="851" w:type="dxa"/>
          <w:wAfter w:w="851" w:type="dxa"/>
          <w:cantSplit/>
          <w:trHeight w:val="1480"/>
        </w:trPr>
        <w:tc>
          <w:tcPr>
            <w:tcW w:w="3970" w:type="dxa"/>
            <w:vAlign w:val="center"/>
          </w:tcPr>
          <w:p w:rsidR="000A522F" w:rsidRPr="00B2051C" w:rsidRDefault="000A522F">
            <w:pPr>
              <w:pStyle w:val="EntRefer"/>
              <w:jc w:val="center"/>
            </w:pPr>
            <w:bookmarkStart w:id="4" w:name="DossierInterInst"/>
            <w:bookmarkEnd w:id="4"/>
          </w:p>
        </w:tc>
        <w:tc>
          <w:tcPr>
            <w:tcW w:w="1701" w:type="dxa"/>
            <w:vAlign w:val="center"/>
          </w:tcPr>
          <w:p w:rsidR="000A522F" w:rsidRPr="00B2051C" w:rsidRDefault="000A522F">
            <w:pPr>
              <w:rPr>
                <w:b/>
              </w:rPr>
            </w:pPr>
          </w:p>
        </w:tc>
        <w:tc>
          <w:tcPr>
            <w:tcW w:w="3969" w:type="dxa"/>
          </w:tcPr>
          <w:p w:rsidR="000A522F" w:rsidRPr="00B2051C" w:rsidRDefault="000A522F">
            <w:pPr>
              <w:pStyle w:val="EntRefer"/>
            </w:pPr>
            <w:bookmarkStart w:id="5" w:name="Cote"/>
            <w:bookmarkEnd w:id="5"/>
            <w:r w:rsidRPr="00B2051C">
              <w:t>5052/06</w:t>
            </w:r>
          </w:p>
          <w:p w:rsidR="000A522F" w:rsidRPr="00B2051C" w:rsidRDefault="000A522F">
            <w:pPr>
              <w:pStyle w:val="EntRefer"/>
            </w:pPr>
            <w:bookmarkStart w:id="6" w:name="CoteRev"/>
            <w:bookmarkEnd w:id="6"/>
          </w:p>
          <w:p w:rsidR="000A522F" w:rsidRPr="00B2051C" w:rsidRDefault="000A522F">
            <w:pPr>
              <w:pStyle w:val="EntRefer"/>
            </w:pPr>
          </w:p>
          <w:p w:rsidR="000A522F" w:rsidRPr="00B2051C" w:rsidRDefault="000A522F">
            <w:pPr>
              <w:pStyle w:val="EntRefer"/>
            </w:pPr>
            <w:bookmarkStart w:id="7" w:name="CoteSec"/>
            <w:bookmarkEnd w:id="7"/>
          </w:p>
          <w:p w:rsidR="000A522F" w:rsidRPr="00B2051C" w:rsidRDefault="000A522F">
            <w:pPr>
              <w:pStyle w:val="EntRefer"/>
            </w:pPr>
          </w:p>
        </w:tc>
      </w:tr>
      <w:tr w:rsidR="00000000" w:rsidRPr="00B2051C">
        <w:tblPrEx>
          <w:tblCellMar>
            <w:top w:w="0" w:type="dxa"/>
            <w:left w:w="0" w:type="dxa"/>
            <w:bottom w:w="0" w:type="dxa"/>
            <w:right w:w="0" w:type="dxa"/>
          </w:tblCellMar>
        </w:tblPrEx>
        <w:trPr>
          <w:gridBefore w:val="3"/>
          <w:gridAfter w:val="1"/>
          <w:wBefore w:w="6522" w:type="dxa"/>
          <w:wAfter w:w="851" w:type="dxa"/>
          <w:cantSplit/>
          <w:trHeight w:val="800"/>
        </w:trPr>
        <w:tc>
          <w:tcPr>
            <w:tcW w:w="3969" w:type="dxa"/>
          </w:tcPr>
          <w:p w:rsidR="000A522F" w:rsidRPr="00B2051C" w:rsidRDefault="000A522F">
            <w:pPr>
              <w:pStyle w:val="EntRefer"/>
              <w:tabs>
                <w:tab w:val="right" w:pos="1701"/>
              </w:tabs>
            </w:pPr>
            <w:r w:rsidRPr="00B2051C">
              <w:t>MIGR 1</w:t>
            </w:r>
          </w:p>
          <w:p w:rsidR="000A522F" w:rsidRPr="00B2051C" w:rsidRDefault="000A522F">
            <w:pPr>
              <w:pStyle w:val="EntRefer"/>
              <w:tabs>
                <w:tab w:val="right" w:pos="1701"/>
              </w:tabs>
            </w:pPr>
            <w:r w:rsidRPr="00B2051C">
              <w:t>SOC 1</w:t>
            </w:r>
          </w:p>
          <w:p w:rsidR="000A522F" w:rsidRPr="00B2051C" w:rsidRDefault="000A522F">
            <w:pPr>
              <w:pStyle w:val="EntRefer"/>
              <w:tabs>
                <w:tab w:val="right" w:pos="1701"/>
              </w:tabs>
            </w:pPr>
            <w:r w:rsidRPr="00B2051C">
              <w:t>ECOFIN 1</w:t>
            </w:r>
          </w:p>
        </w:tc>
      </w:tr>
    </w:tbl>
    <w:p w:rsidR="000A522F" w:rsidRPr="00B2051C" w:rsidRDefault="000A522F">
      <w:pPr>
        <w:pStyle w:val="EntRefer"/>
      </w:pPr>
    </w:p>
    <w:p w:rsidR="000A522F" w:rsidRPr="00B2051C" w:rsidRDefault="000A522F">
      <w:pPr>
        <w:pStyle w:val="EntRefer"/>
        <w:outlineLvl w:val="0"/>
      </w:pPr>
      <w:bookmarkStart w:id="8" w:name="txt_Ntr"/>
      <w:r w:rsidRPr="00B2051C">
        <w:t>FÖLJENOT</w:t>
      </w:r>
    </w:p>
    <w:tbl>
      <w:tblPr>
        <w:tblW w:w="0" w:type="auto"/>
        <w:tblLayout w:type="fixed"/>
        <w:tblCellMar>
          <w:left w:w="0" w:type="dxa"/>
          <w:right w:w="0" w:type="dxa"/>
        </w:tblCellMar>
        <w:tblLook w:val="0000" w:firstRow="0" w:lastRow="0" w:firstColumn="0" w:lastColumn="0" w:noHBand="0" w:noVBand="0"/>
      </w:tblPr>
      <w:tblGrid>
        <w:gridCol w:w="1985"/>
        <w:gridCol w:w="7654"/>
      </w:tblGrid>
      <w:tr w:rsidR="00000000" w:rsidRPr="00B2051C">
        <w:tblPrEx>
          <w:tblCellMar>
            <w:top w:w="0" w:type="dxa"/>
            <w:left w:w="0" w:type="dxa"/>
            <w:bottom w:w="0" w:type="dxa"/>
            <w:right w:w="0" w:type="dxa"/>
          </w:tblCellMar>
        </w:tblPrEx>
        <w:tc>
          <w:tcPr>
            <w:tcW w:w="1985" w:type="dxa"/>
            <w:tcBorders>
              <w:top w:val="single" w:sz="4" w:space="0" w:color="auto"/>
            </w:tcBorders>
          </w:tcPr>
          <w:p w:rsidR="000A522F" w:rsidRPr="00B2051C" w:rsidRDefault="000A522F">
            <w:pPr>
              <w:pStyle w:val="EntEmet"/>
            </w:pPr>
            <w:r w:rsidRPr="00B2051C">
              <w:t>från:</w:t>
            </w:r>
          </w:p>
        </w:tc>
        <w:tc>
          <w:tcPr>
            <w:tcW w:w="7654" w:type="dxa"/>
            <w:tcBorders>
              <w:top w:val="single" w:sz="4" w:space="0" w:color="auto"/>
            </w:tcBorders>
          </w:tcPr>
          <w:p w:rsidR="000A522F" w:rsidRPr="00B2051C" w:rsidRDefault="000A522F">
            <w:pPr>
              <w:pStyle w:val="EntEmet"/>
            </w:pPr>
            <w:bookmarkStart w:id="9" w:name="From"/>
            <w:bookmarkEnd w:id="9"/>
            <w:r w:rsidRPr="00B2051C">
              <w:t>Jordi AYET PUIGARNAU, direktör, för Europeiska kommissionens generalsekreterare</w:t>
            </w:r>
          </w:p>
        </w:tc>
      </w:tr>
      <w:tr w:rsidR="00000000" w:rsidRPr="00B2051C">
        <w:tblPrEx>
          <w:tblCellMar>
            <w:top w:w="0" w:type="dxa"/>
            <w:left w:w="0" w:type="dxa"/>
            <w:bottom w:w="0" w:type="dxa"/>
            <w:right w:w="0" w:type="dxa"/>
          </w:tblCellMar>
        </w:tblPrEx>
        <w:tc>
          <w:tcPr>
            <w:tcW w:w="1985" w:type="dxa"/>
          </w:tcPr>
          <w:p w:rsidR="000A522F" w:rsidRPr="00B2051C" w:rsidRDefault="000A522F">
            <w:pPr>
              <w:pStyle w:val="EntEmet"/>
            </w:pPr>
            <w:r w:rsidRPr="00B2051C">
              <w:t>mottagen den:</w:t>
            </w:r>
          </w:p>
        </w:tc>
        <w:tc>
          <w:tcPr>
            <w:tcW w:w="7654" w:type="dxa"/>
          </w:tcPr>
          <w:p w:rsidR="000A522F" w:rsidRPr="00B2051C" w:rsidRDefault="000A522F">
            <w:pPr>
              <w:pStyle w:val="EntEmet"/>
            </w:pPr>
            <w:r w:rsidRPr="00B2051C">
              <w:t>23 december 2005</w:t>
            </w:r>
          </w:p>
        </w:tc>
      </w:tr>
      <w:tr w:rsidR="00000000" w:rsidRPr="00B2051C">
        <w:tblPrEx>
          <w:tblCellMar>
            <w:top w:w="0" w:type="dxa"/>
            <w:left w:w="0" w:type="dxa"/>
            <w:bottom w:w="0" w:type="dxa"/>
            <w:right w:w="0" w:type="dxa"/>
          </w:tblCellMar>
        </w:tblPrEx>
        <w:tc>
          <w:tcPr>
            <w:tcW w:w="1985" w:type="dxa"/>
            <w:tcBorders>
              <w:bottom w:val="single" w:sz="4" w:space="0" w:color="auto"/>
            </w:tcBorders>
          </w:tcPr>
          <w:p w:rsidR="000A522F" w:rsidRPr="00B2051C" w:rsidRDefault="000A522F">
            <w:pPr>
              <w:pStyle w:val="EntEmet"/>
            </w:pPr>
            <w:r w:rsidRPr="00B2051C">
              <w:t>till:</w:t>
            </w:r>
          </w:p>
        </w:tc>
        <w:tc>
          <w:tcPr>
            <w:tcW w:w="7654" w:type="dxa"/>
            <w:tcBorders>
              <w:bottom w:val="single" w:sz="4" w:space="0" w:color="auto"/>
            </w:tcBorders>
          </w:tcPr>
          <w:p w:rsidR="000A522F" w:rsidRPr="00B2051C" w:rsidRDefault="000A522F">
            <w:pPr>
              <w:pStyle w:val="EntEmet"/>
            </w:pPr>
            <w:r w:rsidRPr="00B2051C">
              <w:t>Javier SOLANA, generalsekreterare/hög representant</w:t>
            </w:r>
          </w:p>
        </w:tc>
      </w:tr>
      <w:tr w:rsidR="00000000" w:rsidRPr="00B2051C">
        <w:tblPrEx>
          <w:tblCellMar>
            <w:top w:w="0" w:type="dxa"/>
            <w:left w:w="0" w:type="dxa"/>
            <w:bottom w:w="0" w:type="dxa"/>
            <w:right w:w="0" w:type="dxa"/>
          </w:tblCellMar>
        </w:tblPrEx>
        <w:tc>
          <w:tcPr>
            <w:tcW w:w="1985" w:type="dxa"/>
            <w:tcBorders>
              <w:top w:val="single" w:sz="4" w:space="0" w:color="auto"/>
              <w:bottom w:val="single" w:sz="4" w:space="0" w:color="auto"/>
            </w:tcBorders>
          </w:tcPr>
          <w:p w:rsidR="000A522F" w:rsidRPr="00B2051C" w:rsidRDefault="000A522F">
            <w:pPr>
              <w:pStyle w:val="EntEmet"/>
            </w:pPr>
            <w:r w:rsidRPr="00B2051C">
              <w:t>Ärende:</w:t>
            </w:r>
          </w:p>
        </w:tc>
        <w:tc>
          <w:tcPr>
            <w:tcW w:w="7654" w:type="dxa"/>
            <w:tcBorders>
              <w:top w:val="single" w:sz="4" w:space="0" w:color="auto"/>
              <w:bottom w:val="single" w:sz="4" w:space="0" w:color="auto"/>
            </w:tcBorders>
          </w:tcPr>
          <w:p w:rsidR="000A522F" w:rsidRPr="00B2051C" w:rsidRDefault="000A522F">
            <w:pPr>
              <w:pStyle w:val="EntEmet"/>
            </w:pPr>
            <w:bookmarkStart w:id="10" w:name="Subject_Ntr"/>
            <w:bookmarkEnd w:id="10"/>
            <w:r w:rsidRPr="00B2051C">
              <w:t>Strategisk plan för laglig migration</w:t>
            </w:r>
          </w:p>
        </w:tc>
      </w:tr>
    </w:tbl>
    <w:p w:rsidR="000A522F" w:rsidRPr="00B2051C" w:rsidRDefault="000A522F">
      <w:pPr>
        <w:pStyle w:val="NormalConseil"/>
      </w:pPr>
    </w:p>
    <w:p w:rsidR="000A522F" w:rsidRPr="00B2051C" w:rsidRDefault="000A522F">
      <w:pPr>
        <w:pStyle w:val="NormalConseil"/>
      </w:pPr>
    </w:p>
    <w:p w:rsidR="000A522F" w:rsidRPr="00B2051C" w:rsidRDefault="000A522F">
      <w:pPr>
        <w:pStyle w:val="NormalConseil"/>
        <w:outlineLvl w:val="0"/>
      </w:pPr>
      <w:r w:rsidRPr="00B2051C">
        <w:t xml:space="preserve">För delegationerna bifogas kommissionens dokument – </w:t>
      </w:r>
      <w:bookmarkStart w:id="11" w:name="CoteDocCom"/>
      <w:bookmarkEnd w:id="11"/>
      <w:r w:rsidRPr="00B2051C">
        <w:t>KOM(2005) 669 slutlig.</w:t>
      </w:r>
    </w:p>
    <w:p w:rsidR="000A522F" w:rsidRPr="00B2051C" w:rsidRDefault="000A522F">
      <w:pPr>
        <w:pStyle w:val="NormalConseil"/>
        <w:outlineLvl w:val="0"/>
      </w:pPr>
    </w:p>
    <w:p w:rsidR="000A522F" w:rsidRPr="00B2051C" w:rsidRDefault="000A522F">
      <w:pPr>
        <w:pStyle w:val="NormalConseil"/>
      </w:pPr>
    </w:p>
    <w:p w:rsidR="000A522F" w:rsidRPr="00B2051C" w:rsidRDefault="000A522F">
      <w:pPr>
        <w:pStyle w:val="NormalConseil"/>
      </w:pPr>
    </w:p>
    <w:p w:rsidR="000A522F" w:rsidRPr="00B2051C" w:rsidRDefault="000A522F">
      <w:pPr>
        <w:pStyle w:val="NormalConseil"/>
      </w:pPr>
    </w:p>
    <w:p w:rsidR="000A522F" w:rsidRPr="00B2051C" w:rsidRDefault="000A522F">
      <w:pPr>
        <w:pStyle w:val="NormalConseil"/>
        <w:jc w:val="center"/>
      </w:pPr>
      <w:r w:rsidRPr="00B2051C">
        <w:t>________________________</w:t>
      </w:r>
    </w:p>
    <w:p w:rsidR="000A522F" w:rsidRPr="00B2051C" w:rsidRDefault="000A522F">
      <w:pPr>
        <w:pStyle w:val="NormalConseil"/>
      </w:pPr>
    </w:p>
    <w:p w:rsidR="000A522F" w:rsidRPr="00B2051C" w:rsidRDefault="000A522F">
      <w:pPr>
        <w:pStyle w:val="NormalConseil"/>
      </w:pPr>
    </w:p>
    <w:p w:rsidR="000A522F" w:rsidRPr="00B2051C" w:rsidRDefault="000A522F">
      <w:pPr>
        <w:pStyle w:val="NormalConseil"/>
        <w:outlineLvl w:val="0"/>
      </w:pPr>
      <w:r w:rsidRPr="00B2051C">
        <w:rPr>
          <w:u w:val="single"/>
        </w:rPr>
        <w:t>Bilaga</w:t>
      </w:r>
      <w:r w:rsidRPr="00B2051C">
        <w:t xml:space="preserve">: </w:t>
      </w:r>
      <w:bookmarkStart w:id="12" w:name="pj_Ntr"/>
      <w:bookmarkEnd w:id="12"/>
      <w:r w:rsidRPr="00B2051C">
        <w:t>KOM(2005) 669 slutlig</w:t>
      </w:r>
    </w:p>
    <w:p w:rsidR="000A522F" w:rsidRPr="00B2051C" w:rsidRDefault="000A522F">
      <w:pPr>
        <w:pStyle w:val="NormalConseil"/>
        <w:outlineLvl w:val="0"/>
      </w:pPr>
    </w:p>
    <w:p w:rsidR="000A522F" w:rsidRPr="00B2051C" w:rsidRDefault="000A522F">
      <w:pPr>
        <w:pStyle w:val="NormalConseil"/>
      </w:pPr>
    </w:p>
    <w:bookmarkEnd w:id="8"/>
    <w:p w:rsidR="000A522F" w:rsidRPr="00B2051C" w:rsidRDefault="000A522F">
      <w:pPr>
        <w:pStyle w:val="NormalConseil"/>
        <w:sectPr w:rsidR="00000000" w:rsidRPr="00B2051C">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7" w:footer="567" w:gutter="0"/>
          <w:cols w:space="720"/>
        </w:sectPr>
      </w:pPr>
    </w:p>
    <w:tbl>
      <w:tblPr>
        <w:tblW w:w="9469" w:type="dxa"/>
        <w:tblLayout w:type="fixed"/>
        <w:tblCellMar>
          <w:left w:w="0" w:type="dxa"/>
          <w:right w:w="0" w:type="dxa"/>
        </w:tblCellMar>
        <w:tblLook w:val="0000" w:firstRow="0" w:lastRow="0" w:firstColumn="0" w:lastColumn="0" w:noHBand="0" w:noVBand="0"/>
      </w:tblPr>
      <w:tblGrid>
        <w:gridCol w:w="1814"/>
        <w:gridCol w:w="7655"/>
      </w:tblGrid>
      <w:tr w:rsidR="00000000" w:rsidRPr="00B2051C">
        <w:tblPrEx>
          <w:tblCellMar>
            <w:top w:w="0" w:type="dxa"/>
            <w:left w:w="0" w:type="dxa"/>
            <w:bottom w:w="0" w:type="dxa"/>
            <w:right w:w="0" w:type="dxa"/>
          </w:tblCellMar>
        </w:tblPrEx>
        <w:trPr>
          <w:trHeight w:hRule="exact" w:val="1440"/>
        </w:trPr>
        <w:tc>
          <w:tcPr>
            <w:tcW w:w="1814" w:type="dxa"/>
          </w:tcPr>
          <w:p w:rsidR="000A522F" w:rsidRPr="00B2051C" w:rsidRDefault="00B2051C">
            <w:pPr>
              <w:pStyle w:val="Nomdelinstitution"/>
            </w:pPr>
            <w:r w:rsidRPr="00B2051C">
              <w:rPr>
                <w:noProof/>
              </w:rPr>
              <w:lastRenderedPageBreak/>
              <w:drawing>
                <wp:inline distT="0" distB="0" distL="0" distR="0">
                  <wp:extent cx="1007110" cy="6692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7110" cy="669290"/>
                          </a:xfrm>
                          <a:prstGeom prst="rect">
                            <a:avLst/>
                          </a:prstGeom>
                          <a:noFill/>
                          <a:ln>
                            <a:noFill/>
                          </a:ln>
                        </pic:spPr>
                      </pic:pic>
                    </a:graphicData>
                  </a:graphic>
                </wp:inline>
              </w:drawing>
            </w:r>
          </w:p>
        </w:tc>
        <w:tc>
          <w:tcPr>
            <w:tcW w:w="7655" w:type="dxa"/>
          </w:tcPr>
          <w:p w:rsidR="000A522F" w:rsidRPr="00B2051C" w:rsidRDefault="000A522F">
            <w:pPr>
              <w:pStyle w:val="Nomdelinstitution"/>
            </w:pPr>
            <w:r w:rsidRPr="00B2051C">
              <w:t>EUROPEISKA GEMENSKAPERNAS KOMMISSION</w:t>
            </w:r>
          </w:p>
        </w:tc>
      </w:tr>
    </w:tbl>
    <w:p w:rsidR="000A522F" w:rsidRPr="00B2051C" w:rsidRDefault="000A522F">
      <w:pPr>
        <w:pStyle w:val="Emission"/>
      </w:pPr>
      <w:r w:rsidRPr="00B2051C">
        <w:t>Bryssel den 21.12.2005</w:t>
      </w:r>
    </w:p>
    <w:p w:rsidR="000A522F" w:rsidRPr="00B2051C" w:rsidRDefault="000A522F">
      <w:pPr>
        <w:pStyle w:val="Rfrenceinstitutionelle"/>
      </w:pPr>
      <w:r w:rsidRPr="00B2051C">
        <w:t>KOM(2005) 669 slutlig</w:t>
      </w:r>
    </w:p>
    <w:p w:rsidR="000A522F" w:rsidRPr="00B2051C" w:rsidRDefault="000A522F">
      <w:pPr>
        <w:pStyle w:val="Confidentialit"/>
      </w:pPr>
      <w:r w:rsidRPr="00B2051C">
        <w:fldChar w:fldCharType="begin" w:fldLock="1"/>
      </w:r>
      <w:r w:rsidRPr="00B2051C">
        <w:instrText xml:space="preserve"> DOCPROPERTY "Classification" </w:instrText>
      </w:r>
      <w:r w:rsidRPr="00B2051C">
        <w:fldChar w:fldCharType="separate"/>
      </w:r>
      <w:r w:rsidRPr="00B2051C">
        <w:t xml:space="preserve"> </w:t>
      </w:r>
      <w:r w:rsidRPr="00B2051C">
        <w:fldChar w:fldCharType="end"/>
      </w:r>
    </w:p>
    <w:p w:rsidR="000A522F" w:rsidRPr="00B2051C" w:rsidRDefault="000A522F">
      <w:pPr>
        <w:pStyle w:val="Typedudocument"/>
      </w:pPr>
      <w:bookmarkStart w:id="17" w:name="_Toc128903142"/>
      <w:r w:rsidRPr="00B2051C">
        <w:t>MEDDELANDE FRÅN KOMMISSIONEN</w:t>
      </w:r>
      <w:bookmarkEnd w:id="17"/>
    </w:p>
    <w:p w:rsidR="000A522F" w:rsidRPr="00B2051C" w:rsidRDefault="000A522F">
      <w:pPr>
        <w:pStyle w:val="Titreobjet"/>
      </w:pPr>
      <w:bookmarkStart w:id="18" w:name="_Toc126495504"/>
      <w:bookmarkStart w:id="19" w:name="_Toc128903143"/>
      <w:r w:rsidRPr="00B2051C">
        <w:t>om en strategisk plan för laglig migration</w:t>
      </w:r>
      <w:bookmarkEnd w:id="18"/>
      <w:r w:rsidRPr="00B2051C">
        <w:br/>
      </w:r>
      <w:r w:rsidRPr="00B2051C">
        <w:br/>
        <w:t>{SEK(2005) 1680}</w:t>
      </w:r>
      <w:bookmarkEnd w:id="19"/>
    </w:p>
    <w:p w:rsidR="000A522F" w:rsidRPr="00B2051C" w:rsidRDefault="000A522F">
      <w:pPr>
        <w:sectPr w:rsidR="00000000" w:rsidRPr="00B2051C">
          <w:headerReference w:type="default" r:id="rId15"/>
          <w:footerReference w:type="default" r:id="rId16"/>
          <w:footerReference w:type="first" r:id="rId17"/>
          <w:pgSz w:w="11907" w:h="16839"/>
          <w:pgMar w:top="1134" w:right="1417" w:bottom="1134" w:left="1417" w:header="720" w:footer="720" w:gutter="0"/>
          <w:pgNumType w:start="1"/>
          <w:cols w:space="720"/>
          <w:titlePg/>
          <w:docGrid w:linePitch="326"/>
        </w:sectPr>
      </w:pPr>
    </w:p>
    <w:p w:rsidR="000A522F" w:rsidRPr="00B2051C" w:rsidRDefault="000A522F">
      <w:pPr>
        <w:pStyle w:val="TOCHeading"/>
      </w:pPr>
      <w:bookmarkStart w:id="20" w:name="_Toc126495505"/>
      <w:r w:rsidRPr="00B2051C">
        <w:t>INNEHÅLLSFÖRTECKNING</w:t>
      </w:r>
    </w:p>
    <w:p w:rsidR="000A522F" w:rsidRPr="00B2051C" w:rsidRDefault="000A522F">
      <w:pPr>
        <w:pStyle w:val="Innehll1"/>
        <w:rPr>
          <w:szCs w:val="24"/>
        </w:rPr>
      </w:pPr>
      <w:r w:rsidRPr="00B2051C">
        <w:t>1.</w:t>
      </w:r>
      <w:r w:rsidRPr="00B2051C">
        <w:rPr>
          <w:szCs w:val="24"/>
        </w:rPr>
        <w:tab/>
      </w:r>
      <w:r w:rsidRPr="00B2051C">
        <w:t>Inledning</w:t>
      </w:r>
      <w:r w:rsidRPr="00B2051C">
        <w:tab/>
        <w:t>2</w:t>
      </w:r>
    </w:p>
    <w:p w:rsidR="000A522F" w:rsidRPr="00B2051C" w:rsidRDefault="000A522F">
      <w:pPr>
        <w:pStyle w:val="Innehll2"/>
        <w:rPr>
          <w:szCs w:val="24"/>
        </w:rPr>
      </w:pPr>
      <w:r w:rsidRPr="00B2051C">
        <w:t>1.1.</w:t>
      </w:r>
      <w:r w:rsidRPr="00B2051C">
        <w:rPr>
          <w:szCs w:val="24"/>
        </w:rPr>
        <w:tab/>
      </w:r>
      <w:r w:rsidRPr="00B2051C">
        <w:t>Den politiska bakgrunden</w:t>
      </w:r>
      <w:r w:rsidRPr="00B2051C">
        <w:tab/>
        <w:t>3</w:t>
      </w:r>
    </w:p>
    <w:p w:rsidR="000A522F" w:rsidRPr="00B2051C" w:rsidRDefault="000A522F">
      <w:pPr>
        <w:pStyle w:val="Innehll2"/>
        <w:rPr>
          <w:szCs w:val="24"/>
        </w:rPr>
      </w:pPr>
      <w:r w:rsidRPr="00B2051C">
        <w:t>1.2.</w:t>
      </w:r>
      <w:r w:rsidRPr="00B2051C">
        <w:rPr>
          <w:szCs w:val="24"/>
        </w:rPr>
        <w:tab/>
      </w:r>
      <w:r w:rsidRPr="00B2051C">
        <w:t>Lissabonagendan och befolkningsutvecklingen</w:t>
      </w:r>
      <w:r w:rsidRPr="00B2051C">
        <w:tab/>
        <w:t>4</w:t>
      </w:r>
    </w:p>
    <w:p w:rsidR="000A522F" w:rsidRPr="00B2051C" w:rsidRDefault="000A522F">
      <w:pPr>
        <w:pStyle w:val="Innehll1"/>
        <w:rPr>
          <w:szCs w:val="24"/>
        </w:rPr>
      </w:pPr>
      <w:r w:rsidRPr="00B2051C">
        <w:t>2.</w:t>
      </w:r>
      <w:r w:rsidRPr="00B2051C">
        <w:rPr>
          <w:szCs w:val="24"/>
        </w:rPr>
        <w:tab/>
      </w:r>
      <w:r w:rsidRPr="00B2051C">
        <w:t>Lagstiftningsåtgärder om arbetskraftsinvandring</w:t>
      </w:r>
      <w:r w:rsidRPr="00B2051C">
        <w:tab/>
        <w:t>5</w:t>
      </w:r>
    </w:p>
    <w:p w:rsidR="000A522F" w:rsidRPr="00B2051C" w:rsidRDefault="000A522F">
      <w:pPr>
        <w:pStyle w:val="Innehll2"/>
        <w:rPr>
          <w:szCs w:val="24"/>
        </w:rPr>
      </w:pPr>
      <w:r w:rsidRPr="00B2051C">
        <w:t>2.1.</w:t>
      </w:r>
      <w:r w:rsidRPr="00B2051C">
        <w:rPr>
          <w:szCs w:val="24"/>
        </w:rPr>
        <w:tab/>
      </w:r>
      <w:r w:rsidRPr="00B2051C">
        <w:t>Ett allmänt ramdirektiv</w:t>
      </w:r>
      <w:r w:rsidRPr="00B2051C">
        <w:tab/>
        <w:t>6</w:t>
      </w:r>
    </w:p>
    <w:p w:rsidR="000A522F" w:rsidRPr="00B2051C" w:rsidRDefault="000A522F">
      <w:pPr>
        <w:pStyle w:val="Innehll2"/>
        <w:rPr>
          <w:szCs w:val="24"/>
        </w:rPr>
      </w:pPr>
      <w:r w:rsidRPr="00B2051C">
        <w:t>2.2.</w:t>
      </w:r>
      <w:r w:rsidRPr="00B2051C">
        <w:rPr>
          <w:szCs w:val="24"/>
        </w:rPr>
        <w:tab/>
      </w:r>
      <w:r w:rsidRPr="00B2051C">
        <w:t>Fyra särskilda direktiv</w:t>
      </w:r>
      <w:r w:rsidRPr="00B2051C">
        <w:tab/>
        <w:t>6</w:t>
      </w:r>
    </w:p>
    <w:p w:rsidR="000A522F" w:rsidRPr="00B2051C" w:rsidRDefault="000A522F">
      <w:pPr>
        <w:pStyle w:val="Innehll3"/>
        <w:rPr>
          <w:szCs w:val="24"/>
        </w:rPr>
      </w:pPr>
      <w:r w:rsidRPr="00B2051C">
        <w:t>2.2.1.</w:t>
      </w:r>
      <w:r w:rsidRPr="00B2051C">
        <w:rPr>
          <w:szCs w:val="24"/>
        </w:rPr>
        <w:tab/>
      </w:r>
      <w:r w:rsidRPr="00B2051C">
        <w:t>Ett förslag till direktiv om villkor för inresa och vistelse för högutbildade arbetstagare</w:t>
      </w:r>
      <w:r w:rsidRPr="00B2051C">
        <w:tab/>
        <w:t>7</w:t>
      </w:r>
    </w:p>
    <w:p w:rsidR="000A522F" w:rsidRPr="00B2051C" w:rsidRDefault="000A522F">
      <w:pPr>
        <w:pStyle w:val="Innehll3"/>
        <w:rPr>
          <w:szCs w:val="24"/>
        </w:rPr>
      </w:pPr>
      <w:r w:rsidRPr="00B2051C">
        <w:t>2.2.2.</w:t>
      </w:r>
      <w:r w:rsidRPr="00B2051C">
        <w:rPr>
          <w:szCs w:val="24"/>
        </w:rPr>
        <w:tab/>
      </w:r>
      <w:r w:rsidRPr="00B2051C">
        <w:t>Ett förslag till direktiv om villkor för inresa och vistelse för säsongsarbetare</w:t>
      </w:r>
      <w:r w:rsidRPr="00B2051C">
        <w:tab/>
        <w:t>7</w:t>
      </w:r>
    </w:p>
    <w:p w:rsidR="000A522F" w:rsidRPr="00B2051C" w:rsidRDefault="000A522F">
      <w:pPr>
        <w:pStyle w:val="Innehll3"/>
        <w:rPr>
          <w:szCs w:val="24"/>
        </w:rPr>
      </w:pPr>
      <w:r w:rsidRPr="00B2051C">
        <w:t>2.2.3.</w:t>
      </w:r>
      <w:r w:rsidRPr="00B2051C">
        <w:rPr>
          <w:szCs w:val="24"/>
        </w:rPr>
        <w:tab/>
      </w:r>
      <w:r w:rsidRPr="00B2051C">
        <w:t>Ett förslag till direktiv om förfaranden för inresa, tillfällig vistelse och bosättning för företagsinternt utstationerad personal</w:t>
      </w:r>
      <w:r w:rsidRPr="00B2051C">
        <w:tab/>
        <w:t>8</w:t>
      </w:r>
    </w:p>
    <w:p w:rsidR="000A522F" w:rsidRPr="00B2051C" w:rsidRDefault="000A522F">
      <w:pPr>
        <w:pStyle w:val="Innehll3"/>
        <w:rPr>
          <w:szCs w:val="24"/>
        </w:rPr>
      </w:pPr>
      <w:r w:rsidRPr="00B2051C">
        <w:t>2.2.4.</w:t>
      </w:r>
      <w:r w:rsidRPr="00B2051C">
        <w:rPr>
          <w:szCs w:val="24"/>
        </w:rPr>
        <w:tab/>
      </w:r>
      <w:r w:rsidRPr="00B2051C">
        <w:t>Ett förslag till direktiv om villkor för inresa och bosättning för avlönade praktikanter</w:t>
      </w:r>
      <w:r w:rsidRPr="00B2051C">
        <w:tab/>
        <w:t>8</w:t>
      </w:r>
    </w:p>
    <w:p w:rsidR="000A522F" w:rsidRPr="00B2051C" w:rsidRDefault="000A522F">
      <w:pPr>
        <w:pStyle w:val="Innehll2"/>
        <w:rPr>
          <w:szCs w:val="24"/>
        </w:rPr>
      </w:pPr>
      <w:r w:rsidRPr="00B2051C">
        <w:t>2.3.</w:t>
      </w:r>
      <w:r w:rsidRPr="00B2051C">
        <w:rPr>
          <w:szCs w:val="24"/>
        </w:rPr>
        <w:tab/>
      </w:r>
      <w:r w:rsidRPr="00B2051C">
        <w:t>Andra lagstiftningsåtgärder</w:t>
      </w:r>
      <w:r w:rsidRPr="00B2051C">
        <w:tab/>
        <w:t>8</w:t>
      </w:r>
    </w:p>
    <w:p w:rsidR="000A522F" w:rsidRPr="00B2051C" w:rsidRDefault="000A522F">
      <w:pPr>
        <w:pStyle w:val="Innehll1"/>
        <w:rPr>
          <w:szCs w:val="24"/>
        </w:rPr>
      </w:pPr>
      <w:r w:rsidRPr="00B2051C">
        <w:t>3.</w:t>
      </w:r>
      <w:r w:rsidRPr="00B2051C">
        <w:rPr>
          <w:szCs w:val="24"/>
        </w:rPr>
        <w:tab/>
      </w:r>
      <w:r w:rsidRPr="00B2051C">
        <w:t>Kunskapsbyggande och information</w:t>
      </w:r>
      <w:r w:rsidRPr="00B2051C">
        <w:tab/>
        <w:t>8</w:t>
      </w:r>
    </w:p>
    <w:p w:rsidR="000A522F" w:rsidRPr="00B2051C" w:rsidRDefault="000A522F">
      <w:pPr>
        <w:pStyle w:val="Innehll2"/>
        <w:rPr>
          <w:szCs w:val="24"/>
        </w:rPr>
      </w:pPr>
      <w:r w:rsidRPr="00B2051C">
        <w:t>3.1.</w:t>
      </w:r>
      <w:r w:rsidRPr="00B2051C">
        <w:rPr>
          <w:szCs w:val="24"/>
        </w:rPr>
        <w:tab/>
      </w:r>
      <w:r w:rsidRPr="00B2051C">
        <w:t>Information och politisk diskussion</w:t>
      </w:r>
      <w:r w:rsidRPr="00B2051C">
        <w:tab/>
        <w:t>9</w:t>
      </w:r>
    </w:p>
    <w:p w:rsidR="000A522F" w:rsidRPr="00B2051C" w:rsidRDefault="000A522F">
      <w:pPr>
        <w:pStyle w:val="Innehll2"/>
        <w:rPr>
          <w:szCs w:val="24"/>
        </w:rPr>
      </w:pPr>
      <w:r w:rsidRPr="00B2051C">
        <w:t>3.2.</w:t>
      </w:r>
      <w:r w:rsidRPr="00B2051C">
        <w:rPr>
          <w:szCs w:val="24"/>
        </w:rPr>
        <w:tab/>
      </w:r>
      <w:r w:rsidRPr="00B2051C">
        <w:t>Europeiska portalen för rörlighet i arbetslivet (Eures)</w:t>
      </w:r>
      <w:r w:rsidRPr="00B2051C">
        <w:tab/>
        <w:t>9</w:t>
      </w:r>
    </w:p>
    <w:p w:rsidR="000A522F" w:rsidRPr="00B2051C" w:rsidRDefault="000A522F">
      <w:pPr>
        <w:pStyle w:val="Innehll2"/>
        <w:rPr>
          <w:szCs w:val="24"/>
        </w:rPr>
      </w:pPr>
      <w:r w:rsidRPr="00B2051C">
        <w:t>3.3.</w:t>
      </w:r>
      <w:r w:rsidRPr="00B2051C">
        <w:rPr>
          <w:szCs w:val="24"/>
        </w:rPr>
        <w:tab/>
      </w:r>
      <w:r w:rsidRPr="00B2051C">
        <w:t>Europeiska migrationsnätverket</w:t>
      </w:r>
      <w:r w:rsidRPr="00B2051C">
        <w:tab/>
        <w:t>9</w:t>
      </w:r>
    </w:p>
    <w:p w:rsidR="000A522F" w:rsidRPr="00B2051C" w:rsidRDefault="000A522F">
      <w:pPr>
        <w:pStyle w:val="Innehll1"/>
        <w:rPr>
          <w:szCs w:val="24"/>
        </w:rPr>
      </w:pPr>
      <w:r w:rsidRPr="00B2051C">
        <w:t>4.</w:t>
      </w:r>
      <w:r w:rsidRPr="00B2051C">
        <w:rPr>
          <w:szCs w:val="24"/>
        </w:rPr>
        <w:tab/>
      </w:r>
      <w:r w:rsidRPr="00B2051C">
        <w:t>Integration</w:t>
      </w:r>
      <w:r w:rsidRPr="00B2051C">
        <w:tab/>
        <w:t>10</w:t>
      </w:r>
    </w:p>
    <w:p w:rsidR="000A522F" w:rsidRPr="00B2051C" w:rsidRDefault="000A522F">
      <w:pPr>
        <w:pStyle w:val="Innehll1"/>
        <w:rPr>
          <w:szCs w:val="24"/>
        </w:rPr>
      </w:pPr>
      <w:r w:rsidRPr="00B2051C">
        <w:t>5.</w:t>
      </w:r>
      <w:r w:rsidRPr="00B2051C">
        <w:rPr>
          <w:szCs w:val="24"/>
        </w:rPr>
        <w:tab/>
      </w:r>
      <w:r w:rsidRPr="00B2051C">
        <w:t>Samarbete med ursprungsländer</w:t>
      </w:r>
      <w:r w:rsidRPr="00B2051C">
        <w:tab/>
        <w:t>10</w:t>
      </w:r>
    </w:p>
    <w:p w:rsidR="000A522F" w:rsidRPr="00B2051C" w:rsidRDefault="000A522F">
      <w:pPr>
        <w:pStyle w:val="Innehll2"/>
        <w:rPr>
          <w:szCs w:val="24"/>
        </w:rPr>
      </w:pPr>
      <w:r w:rsidRPr="00B2051C">
        <w:t>5.1.</w:t>
      </w:r>
      <w:r w:rsidRPr="00B2051C">
        <w:rPr>
          <w:szCs w:val="24"/>
        </w:rPr>
        <w:tab/>
      </w:r>
      <w:r w:rsidRPr="00B2051C">
        <w:t>Instrument för att främja cirkulär migration och återvändande</w:t>
      </w:r>
      <w:r w:rsidRPr="00B2051C">
        <w:tab/>
        <w:t>11</w:t>
      </w:r>
    </w:p>
    <w:p w:rsidR="000A522F" w:rsidRPr="00B2051C" w:rsidRDefault="000A522F">
      <w:pPr>
        <w:pStyle w:val="Innehll2"/>
        <w:rPr>
          <w:szCs w:val="24"/>
        </w:rPr>
      </w:pPr>
      <w:r w:rsidRPr="00B2051C">
        <w:t>5.2.</w:t>
      </w:r>
      <w:r w:rsidRPr="00B2051C">
        <w:rPr>
          <w:szCs w:val="24"/>
        </w:rPr>
        <w:tab/>
      </w:r>
      <w:r w:rsidRPr="00B2051C">
        <w:t>Fortbildning i ursprungsländerna</w:t>
      </w:r>
      <w:r w:rsidRPr="00B2051C">
        <w:tab/>
        <w:t>11</w:t>
      </w:r>
    </w:p>
    <w:p w:rsidR="000A522F" w:rsidRPr="00B2051C" w:rsidRDefault="000A522F">
      <w:pPr>
        <w:pStyle w:val="Innehll1"/>
        <w:rPr>
          <w:szCs w:val="24"/>
        </w:rPr>
      </w:pPr>
      <w:r w:rsidRPr="00B2051C">
        <w:t>6.</w:t>
      </w:r>
      <w:r w:rsidRPr="00B2051C">
        <w:rPr>
          <w:szCs w:val="24"/>
        </w:rPr>
        <w:tab/>
      </w:r>
      <w:r w:rsidRPr="00B2051C">
        <w:t>Slutsatser</w:t>
      </w:r>
      <w:r w:rsidRPr="00B2051C">
        <w:tab/>
        <w:t>12</w:t>
      </w:r>
    </w:p>
    <w:p w:rsidR="000A522F" w:rsidRPr="00B2051C" w:rsidRDefault="000A522F">
      <w:pPr>
        <w:pStyle w:val="Innehll1"/>
        <w:sectPr w:rsidR="00000000" w:rsidRPr="00B2051C">
          <w:footerReference w:type="default" r:id="rId18"/>
          <w:footerReference w:type="first" r:id="rId19"/>
          <w:pgSz w:w="11907" w:h="16839"/>
          <w:pgMar w:top="1134" w:right="1417" w:bottom="1134" w:left="1417" w:header="720" w:footer="720" w:gutter="0"/>
          <w:cols w:space="720"/>
          <w:docGrid w:linePitch="326"/>
        </w:sectPr>
      </w:pPr>
      <w:r w:rsidRPr="00B2051C">
        <w:tab/>
        <w:t>Bilagor</w:t>
      </w:r>
      <w:r w:rsidRPr="00B2051C">
        <w:tab/>
        <w:t>13</w:t>
      </w:r>
    </w:p>
    <w:p w:rsidR="000A522F" w:rsidRPr="00B2051C" w:rsidRDefault="000A522F">
      <w:pPr>
        <w:pStyle w:val="ManualHeading1"/>
      </w:pPr>
      <w:bookmarkStart w:id="21" w:name="_Toc128903144"/>
      <w:r w:rsidRPr="00B2051C">
        <w:t>1.</w:t>
      </w:r>
      <w:r w:rsidRPr="00B2051C">
        <w:tab/>
        <w:t>Inledning</w:t>
      </w:r>
      <w:bookmarkEnd w:id="20"/>
      <w:bookmarkEnd w:id="21"/>
    </w:p>
    <w:p w:rsidR="000A522F" w:rsidRPr="00B2051C" w:rsidRDefault="000A522F">
      <w:r w:rsidRPr="00B2051C">
        <w:t>I Haagprogrammet, som godkändes vid Europeiska rådets möte den 4–5 november 2004, underströks vikten av en öppen diskussion om ekonomisk migration på EU-nivå. Denna diskussion skulle – tillsammans med bästa praxis i medlemsstaterna och dess betydelse för genomförandet av Lissabonstrategin – ligga till grund för ”</w:t>
      </w:r>
      <w:r w:rsidRPr="00B2051C">
        <w:rPr>
          <w:i/>
        </w:rPr>
        <w:t>en strategisk plan för laglig migration som inbegriper förfaranden för inresetillstånd som snabbt kan svara på fluktuerande efterfrågan på migrerande arbetskraft</w:t>
      </w:r>
      <w:r w:rsidRPr="00B2051C">
        <w:rPr>
          <w:i/>
          <w:vertAlign w:val="superscript"/>
        </w:rPr>
        <w:footnoteReference w:id="1"/>
      </w:r>
      <w:r w:rsidRPr="00B2051C">
        <w:t>”, som skulle läggas fram i slutet av 2005. Detta meddelande är kommissionens svar på Europeiska rådets uppmaning.</w:t>
      </w:r>
    </w:p>
    <w:p w:rsidR="000A522F" w:rsidRPr="00B2051C" w:rsidRDefault="000A522F">
      <w:r w:rsidRPr="00B2051C">
        <w:t xml:space="preserve">Den 11 januari 2005 antog kommissionen en </w:t>
      </w:r>
      <w:r w:rsidRPr="00B2051C">
        <w:rPr>
          <w:i/>
        </w:rPr>
        <w:t>grönbok om en gemensam syn på ekonomisk migration i EU</w:t>
      </w:r>
      <w:r w:rsidRPr="00B2051C">
        <w:rPr>
          <w:rStyle w:val="Fotnotsreferens"/>
        </w:rPr>
        <w:footnoteReference w:id="2"/>
      </w:r>
      <w:r w:rsidRPr="00B2051C">
        <w:t>, i syfte att genomföra sitt politiska mandat och inleda en djupgående diskussion om lämpliga gemenskapsregler om rätt till inresa och vistelse för ekonomiska migranter och om vilket mervärde sådana gemensamma åtgärder skulle kunna ge. Gensvaret på det offentliga samrådet visade att det finns ett stort politiskt intresse för denna fråga</w:t>
      </w:r>
      <w:r w:rsidRPr="00B2051C">
        <w:rPr>
          <w:rStyle w:val="Fotnotsreferens"/>
        </w:rPr>
        <w:footnoteReference w:id="3"/>
      </w:r>
      <w:r w:rsidRPr="00B2051C">
        <w:t>. Europaparlamentet, Europeiska ekonomiska och sociala kommittén och Regionkommittén har antagit sina respektive yttranden</w:t>
      </w:r>
      <w:r w:rsidRPr="00B2051C">
        <w:rPr>
          <w:rStyle w:val="Fotnotsreferens"/>
        </w:rPr>
        <w:footnoteReference w:id="4"/>
      </w:r>
      <w:r w:rsidRPr="00B2051C">
        <w:t>. Den 14 juni 2005 hölls ett offentligt samråd.</w:t>
      </w:r>
    </w:p>
    <w:p w:rsidR="000A522F" w:rsidRPr="00B2051C" w:rsidRDefault="000A522F">
      <w:r w:rsidRPr="00B2051C">
        <w:t>Analysen av de svar som inkommit på frågorna i grönboken visade att det finns ett allmänt stöd för en gemensam EU-politik om ekonomisk migration, om än med stora skillnader när det gäller synen på vilka strategier som bör följas och de förväntade resultaten. De aktuella frågorna och de inlämnade förslagen har varit en god grund för utarbetandet av detta dokument.</w:t>
      </w:r>
    </w:p>
    <w:p w:rsidR="000A522F" w:rsidRPr="00B2051C" w:rsidRDefault="000A522F">
      <w:r w:rsidRPr="00B2051C">
        <w:t>Denna strategiska plan, som bygger på en befintlig ram, innehåller en färdplan för den återstående perioden av Haagprogrammet (2006-2009) och en förteckning över de åtgärder och lagstiftningsinitiativ som kommissionen planerar för att skapa förutsättningar för en sammanhållen utveckling av EU:s strategi för laglig migration</w:t>
      </w:r>
      <w:r w:rsidRPr="00B2051C">
        <w:rPr>
          <w:rStyle w:val="Fotnotsreferens"/>
        </w:rPr>
        <w:footnoteReference w:id="5"/>
      </w:r>
      <w:r w:rsidRPr="00B2051C">
        <w:t>. Planen skall också ses mot bakgrund av kommissionens Lissabonprogram, som antogs i juli 2005.</w:t>
      </w:r>
    </w:p>
    <w:p w:rsidR="000A522F" w:rsidRPr="00B2051C" w:rsidRDefault="000A522F">
      <w:pPr>
        <w:pStyle w:val="ManualHeading2"/>
      </w:pPr>
      <w:bookmarkStart w:id="22" w:name="_Toc126495506"/>
      <w:bookmarkStart w:id="23" w:name="_Toc128903145"/>
      <w:r w:rsidRPr="00B2051C">
        <w:t>1.1.</w:t>
      </w:r>
      <w:r w:rsidRPr="00B2051C">
        <w:tab/>
        <w:t>Den politiska bakgrunden</w:t>
      </w:r>
      <w:bookmarkEnd w:id="22"/>
      <w:bookmarkEnd w:id="23"/>
    </w:p>
    <w:p w:rsidR="000A522F" w:rsidRPr="00B2051C" w:rsidRDefault="000A522F">
      <w:r w:rsidRPr="00B2051C">
        <w:t>Under de senaste decennierna har migrationsströmmarna i världen ökat kraftigt</w:t>
      </w:r>
      <w:r w:rsidRPr="00B2051C">
        <w:rPr>
          <w:rStyle w:val="Fotnotsreferens"/>
        </w:rPr>
        <w:footnoteReference w:id="6"/>
      </w:r>
      <w:r w:rsidRPr="00B2051C">
        <w:t xml:space="preserve">. Ekonomiska och demografiska skillnader mellan industriländer och utvecklingsländer, i kombination med handelsrelaterade och politiska problem i ursprungsländerna, har sammantaget bidragit till att stadigt öka arbetskraftens rörlighet. </w:t>
      </w:r>
    </w:p>
    <w:p w:rsidR="000A522F" w:rsidRPr="00B2051C" w:rsidRDefault="000A522F">
      <w:r w:rsidRPr="00B2051C">
        <w:t xml:space="preserve">Med hänsyn till den ekonomiska och sociala situationen i EU, det internationella sammanhanget och den sannolika ökningen av invandringen i framtiden, behövs det en överenskommelse om gemensamma EU-regler som omfattar de många frågor som hänger samman med invandring för att </w:t>
      </w:r>
      <w:r w:rsidRPr="00B2051C">
        <w:t xml:space="preserve">garantera en effektiv hantering av migrationsströmmar, både till Europa och inom Europa. Detta synsätt bekräftas i ett meddelande från oktober 2005: </w:t>
      </w:r>
      <w:r w:rsidRPr="00B2051C">
        <w:rPr>
          <w:i/>
        </w:rPr>
        <w:t>Europeiska värderingar i en globaliserad värld</w:t>
      </w:r>
      <w:r w:rsidRPr="00B2051C">
        <w:rPr>
          <w:rStyle w:val="Fotnotsreferens"/>
        </w:rPr>
        <w:footnoteReference w:id="7"/>
      </w:r>
      <w:r w:rsidRPr="00B2051C">
        <w:t>.</w:t>
      </w:r>
    </w:p>
    <w:p w:rsidR="000A522F" w:rsidRPr="00B2051C" w:rsidRDefault="000A522F">
      <w:pPr>
        <w:rPr>
          <w:b/>
        </w:rPr>
      </w:pPr>
      <w:r w:rsidRPr="00B2051C">
        <w:t>Även om det är medlemsstaterna som fattar beslut om hur många ekonomiska migranter som skall ges tillstånd att resa in i EU för att söka arbete, står det klart att beviljandet av rätt till inresa och vistelse för tredjelandsmedborgare i en medlemsstat även kan påverka andra medlemsstater och arbetsmarknaderna i dessa. Vidare är det viktigt att i de pågående överläggningarna om vilken politik som skall föras i framtiden även ta hänsyn till principen om företräde för inhemska arbetssökande (gemenskapsföretr</w:t>
      </w:r>
      <w:r w:rsidRPr="00B2051C">
        <w:t>äde) och att vederbörligen beakta diskussionerna om de övergångsbestämmelser som för närvarande inverkar på den fria rörligheten för medborgare i de nya medlemsstaterna, och de politiska och ekonomiska verkningarna av dessa bestämmelser.</w:t>
      </w:r>
    </w:p>
    <w:p w:rsidR="000A522F" w:rsidRPr="00B2051C" w:rsidRDefault="000A522F">
      <w:r w:rsidRPr="00B2051C">
        <w:t>En effektiv migrationspolitik kan inte begränsas till instrument som rör invandrares möjligheter att resa in och vistas i unionen. Det krävs även andra, lika viktiga lagstiftningsåtgärder och andra åtgärder, då invandringen är en så komplex fråga att det krävs samlade åtgär</w:t>
      </w:r>
      <w:r w:rsidRPr="00B2051C">
        <w:t>der över hela spektrumet. Frågan om rätt till inresa och vistelse för ekonomiska migranter kan inte ses som åtskild från integrationsåtgärder. Lika lite kan den hållas isär från kampen mot olaglig invandring och olaglig anställning, inklusive människohandel. Därför måste EU öka sina insatser för att begränsa utbredningen av den svarta ekonomin, som lockar till sig olaglig arbetskraft och leder till att människor utnyttjas. Med hänsyn till denna frågas stora betydelse kommer ett särskilt meddelande om framti</w:t>
      </w:r>
      <w:r w:rsidRPr="00B2051C">
        <w:t>da prioriteringar i arbetet mot olaglig invandring att utfärdas senast i april 2006.</w:t>
      </w:r>
    </w:p>
    <w:p w:rsidR="000A522F" w:rsidRPr="00B2051C" w:rsidRDefault="000A522F">
      <w:r w:rsidRPr="00B2051C">
        <w:t xml:space="preserve">I detta meddelande föreslås därför en rad initiativ för vidareutveckling inom alla dessa områden, inklusive samarbete med ursprungsländer. Vid arbetet med att utveckla de olika initiativen kommer vederbörlig hänsyn att tas till jämställdhetsfrågor, i syfte att skydda de mest sårbara grupperna. </w:t>
      </w:r>
    </w:p>
    <w:p w:rsidR="000A522F" w:rsidRPr="00B2051C" w:rsidRDefault="000A522F">
      <w:pPr>
        <w:pStyle w:val="ManualHeading2"/>
      </w:pPr>
      <w:bookmarkStart w:id="24" w:name="_Toc126495507"/>
      <w:bookmarkStart w:id="25" w:name="_Toc128903146"/>
      <w:r w:rsidRPr="00B2051C">
        <w:t>1.2.</w:t>
      </w:r>
      <w:r w:rsidRPr="00B2051C">
        <w:tab/>
        <w:t>Lissabonagendan och befolkningsutvecklingen</w:t>
      </w:r>
      <w:bookmarkEnd w:id="24"/>
      <w:bookmarkEnd w:id="25"/>
    </w:p>
    <w:p w:rsidR="000A522F" w:rsidRPr="00B2051C" w:rsidRDefault="000A522F">
      <w:r w:rsidRPr="00B2051C">
        <w:t>När det gäller ekonomisk invandring kan den rådande situationen och utsikterna på EU:s arbetsmarknader allmänt beskrivas i termer av ett ”behovsscenario”. Vissa medlemsstater upplever redan ett betydande arbetskrafts- och kunskapsunderskott inom viktiga ekonomiska sektorer. Dessa behov kan inte uppfyllas inom ramen för de nationella arbetsmarknaderna. Problemet rör hela skalan av kvalifikationer – alltifrån okvalificerad arbetskraft till högutbildade akademiker.</w:t>
      </w:r>
    </w:p>
    <w:p w:rsidR="000A522F" w:rsidRPr="00B2051C" w:rsidRDefault="000A522F">
      <w:r w:rsidRPr="00B2051C">
        <w:t>Eurostats beräkningar</w:t>
      </w:r>
      <w:r w:rsidRPr="00B2051C">
        <w:rPr>
          <w:rStyle w:val="Fotnotsreferens"/>
        </w:rPr>
        <w:footnoteReference w:id="8"/>
      </w:r>
      <w:r w:rsidRPr="00B2051C">
        <w:t xml:space="preserve"> visar att befolkningsutvecklingen i EU fram till 2025 kommer att vara en effekt av nettomigration, eftersom det totala antalet avlidna kommer att överstiga det totala antalet födda från och med 2010. Efter 2025 kommer effekten av nettomigration inte längre att uppväga den naturliga minskningen. Eurostat konstaterar att detta kommer att få allvarliga konsekvenser på antalet anställda inom EU:s 25 medlemsstater, eftersom andelen personer i arbetsför ålder av den totala befolkningen förväntas minska kraftigt,</w:t>
      </w:r>
      <w:r w:rsidRPr="00B2051C">
        <w:t xml:space="preserve"> från 67,2 % 2004 till 56,7 % 2050, vilket motsvarar en minskning på 52 miljoner. Minskningen av den totala befolkningen förväntas inträffa 2025 och av den arbetsföra delen av befolkningen 2011. Vissa medlemsstater (Tyskland, Ungern, Italien, Lettland) upplever redan en minskning av den arbetsföra delen av befolkningen, medan andra medlemsstater kommer att drabbas av denna minskning senare (i exempelvis Irlands fall omkring 2035). Dessa demografiska trender kommer inte att påverka alla medlemsstater i samma</w:t>
      </w:r>
      <w:r w:rsidRPr="00B2051C">
        <w:t xml:space="preserve"> utsträckning, men utvecklingen bör motverkas genom samordnade och effektiva åtgärder.</w:t>
      </w:r>
    </w:p>
    <w:p w:rsidR="000A522F" w:rsidRPr="00B2051C" w:rsidRDefault="000A522F">
      <w:r w:rsidRPr="00B2051C">
        <w:t>Invandring är i sig inte en långsiktig lösning på minskande födelsetal och en åldrande befolkning, men det är ett av de instrument som står till buds inom ramen för en bredare mix av politiska åtgärder. Med hänsyn till den låga sysselsättningsgraden och höga arbetslöshetssiffrorna i många EU-länder</w:t>
      </w:r>
      <w:r w:rsidRPr="00B2051C">
        <w:rPr>
          <w:rStyle w:val="Fotnotsreferens"/>
        </w:rPr>
        <w:footnoteReference w:id="9"/>
      </w:r>
      <w:r w:rsidRPr="00B2051C">
        <w:t>, är det viktigt att prioritera åtgärder som har till mål att locka fler EU-medborgare och lagligt bosatta migranter till arbetsmarknaden, i syfte att uppfylla målen i den nya Lissabonstrategin för tillväxt och sysselsättning, särskilt sysselsättningsriktlinjerna</w:t>
      </w:r>
      <w:r w:rsidRPr="00B2051C">
        <w:rPr>
          <w:rStyle w:val="Fotnotsreferens"/>
        </w:rPr>
        <w:footnoteReference w:id="10"/>
      </w:r>
      <w:r w:rsidRPr="00B2051C">
        <w:t>. På kort till medellång sikt kan arbetskraftsinvandring – som en del av Lissabonstrategins samlade paket av åtgärder för att öka den ekonomiska konkurrenskraften i EU – bidra till att bemästra följderna av denna demografiska utveckling. Detta kommer att vara av avgörande betydelse för att täcka de nuvarande och framtida behoven på arbetsmarknaden och därmed för att säkerställa ekonomisk hållbarhet och tillväxt.</w:t>
      </w:r>
    </w:p>
    <w:p w:rsidR="000A522F" w:rsidRPr="00B2051C" w:rsidRDefault="000A522F">
      <w:pPr>
        <w:pStyle w:val="ManualHeading1"/>
      </w:pPr>
      <w:bookmarkStart w:id="26" w:name="_Toc126495508"/>
      <w:bookmarkStart w:id="27" w:name="_Toc128903147"/>
      <w:r w:rsidRPr="00B2051C">
        <w:t>2.</w:t>
      </w:r>
      <w:r w:rsidRPr="00B2051C">
        <w:tab/>
        <w:t>Lagstiftningsåtgärder om arbetskraftsinvandring</w:t>
      </w:r>
      <w:bookmarkEnd w:id="26"/>
      <w:bookmarkEnd w:id="27"/>
    </w:p>
    <w:p w:rsidR="000A522F" w:rsidRPr="00B2051C" w:rsidRDefault="000A522F">
      <w:r w:rsidRPr="00B2051C">
        <w:t xml:space="preserve">Det offentliga samråd som genomfördes bekräftade behovet av att utveckla EU-övergripande bestämmelser inom detta område. Dessutom gav det kommissionen en grund för att kunna lägga fram väl avvägda och realistiska förslag. </w:t>
      </w:r>
    </w:p>
    <w:p w:rsidR="000A522F" w:rsidRPr="00B2051C" w:rsidRDefault="000A522F">
      <w:r w:rsidRPr="00B2051C">
        <w:t>Det offentliga samrådet riktade intresset mot eventuella fördelar med en övergripande ram för att reglera villkoren för rätt till inresa och vistelse för alla tredjelandsmedborgare som försöker komma in på arbetsmarknaden i EU:s medlemsstater. Medlemsstaterna själva visade dock inte tillräckligt intresse för en sådan lösning. Vidare finns det ett behov av att skapa större flexibilitet för att kunna möta de nationella arbetsmarknadernas olika behov. Därför anses det mer lämpligt att uppnå öppenhet, en effek</w:t>
      </w:r>
      <w:r w:rsidRPr="00B2051C">
        <w:t>tiv EU-lagstiftning och icke-diskriminering genom ett antal målinriktade, kompletterande åtgärder – ett allmänt ramdirektiv och fyra särskilda rättsakter. Detta paket syftar således till att utveckla obyråkratiska och flexibla metoder för att tillhandahålla dels en rättvis och rättighetsbaserad behandling för alla arbetskraftsinvandrare, dels villkor som kan locka särskilda kategorier av invandrare som behövs i EU.</w:t>
      </w:r>
    </w:p>
    <w:p w:rsidR="000A522F" w:rsidRPr="00B2051C" w:rsidRDefault="000A522F">
      <w:r w:rsidRPr="00B2051C">
        <w:t>Till skillnad från 2001 års förslag till direktiv rörande ekonomisk invandring – som hade til</w:t>
      </w:r>
      <w:r w:rsidRPr="00B2051C">
        <w:t>l syfte att reglera villkoren för inresa och bosättning för alla tredjelandsmedborgare som utövar verksamhet som anställda eller egenföretagare – tar rättsakterna i det här aktuella paketet endast upp villkor och förfaranden för inresa och vistelse för några få utvalda kategorier av ekonomiska invandrare. Det syftar dessutom till att fastställa vilka rättigheter en anställd tredjelandsmedborgare skall komma i åtnjutande av när han eller hon har beviljats rätt till inresa och vistelse på en medlemsstats terr</w:t>
      </w:r>
      <w:r w:rsidRPr="00B2051C">
        <w:t>itorium.</w:t>
      </w:r>
    </w:p>
    <w:p w:rsidR="000A522F" w:rsidRPr="00B2051C" w:rsidRDefault="000A522F">
      <w:r w:rsidRPr="00B2051C">
        <w:t xml:space="preserve">Dessa förslag kommer att föregås av diskussioner och samråd med relevanta experter. De ekonomiska verkningarna på sysselsättning och tillväxt kommer också att tas med i beräkningen. </w:t>
      </w:r>
    </w:p>
    <w:p w:rsidR="000A522F" w:rsidRPr="00B2051C" w:rsidRDefault="000A522F">
      <w:r w:rsidRPr="00B2051C">
        <w:t>Paketet är inte uttömmande. Om det visar sig lämpligt kommer kompletterande förslag att läggas fram inom områden där det krävs ytterligare utredning (till exempel för att ta upp de situationer där personliga kontakter mellan ekonomiska migranter och framtida arbetsgivare är en förutsättning för anställning, eller för att reglera situationen för egenföretagare m.m.).</w:t>
      </w:r>
    </w:p>
    <w:p w:rsidR="000A522F" w:rsidRPr="00B2051C" w:rsidRDefault="000A522F">
      <w:pPr>
        <w:pStyle w:val="ManualHeading2"/>
      </w:pPr>
      <w:bookmarkStart w:id="28" w:name="_Toc126495509"/>
      <w:bookmarkStart w:id="29" w:name="_Toc128903148"/>
      <w:r w:rsidRPr="00B2051C">
        <w:t>2.1.</w:t>
      </w:r>
      <w:r w:rsidRPr="00B2051C">
        <w:tab/>
        <w:t>Ett allmänt ramdirektiv</w:t>
      </w:r>
      <w:bookmarkEnd w:id="28"/>
      <w:bookmarkEnd w:id="29"/>
    </w:p>
    <w:p w:rsidR="000A522F" w:rsidRPr="00B2051C" w:rsidRDefault="000A522F">
      <w:r w:rsidRPr="00B2051C">
        <w:t>Med undantag för möjligheten att lämna in en enda ansökan om ett gemensamt arbets- och uppehållstillstånd, kommer denna rättsakt inte att ta upp inresevillkor och -förfaranden för ekonomiska invandrare. De frågorna kommer att regleras i de särskilda rättakterna. Denna rättsakt kommer inte heller att påverka tillämpningen av principen om gemenskapsföreträde</w:t>
      </w:r>
      <w:r w:rsidRPr="00B2051C">
        <w:rPr>
          <w:rStyle w:val="Fotnotsreferens"/>
        </w:rPr>
        <w:footnoteReference w:id="11"/>
      </w:r>
      <w:r w:rsidRPr="00B2051C">
        <w:t xml:space="preserve"> (se ovan).</w:t>
      </w:r>
    </w:p>
    <w:p w:rsidR="000A522F" w:rsidRPr="00B2051C" w:rsidRDefault="000A522F">
      <w:r w:rsidRPr="00B2051C">
        <w:t>Huvudsyftet med denna övergripande rättsakt är att garantera en gemensam ram av rättigheter för alla lagligt anställda tredjelandsmedborgare som redan givits rätt till inresa och vistelse i en medlemsstat, men ännu inte fått ställning som varaktigt bosatta. Detta skulle inte bara vara rättvist gentemot de personer som med sitt arbete och sina skattebetalningar bidrar till våra ekonomier, utan även bidra till att skapa lika villkor inom EU. I detta sammanhang bör man även ta upp frågan om erkänna</w:t>
      </w:r>
      <w:r w:rsidRPr="00B2051C">
        <w:t>nde av yrkesutbildningsbevis och andra kvalifikationer, för att undvika situationer där invandrare tvingas arbeta långt under sin kompetensnivå, en förlust i termer av inkomst och kompetensutnyttjande som gör sig gällande för såväl invandraren i fråga som för bosättningslandet och ursprungslandet.</w:t>
      </w:r>
    </w:p>
    <w:p w:rsidR="000A522F" w:rsidRPr="00B2051C" w:rsidRDefault="000A522F">
      <w:r w:rsidRPr="00B2051C">
        <w:t>En möjlighet är att föreslå en enda ansökan för såväl arbets- som uppehållstillstånd – som innehas av arbetstagaren och som innehåller de mest avancerade biometriska kännetecknen. En sådan lösning skulle visserlig</w:t>
      </w:r>
      <w:r w:rsidRPr="00B2051C">
        <w:t>en inte påverka de nationella interna förfarandena i någon större utsträckning, men den skulle förenkla för invandrarna och arbetsgivarna. För att begränsa missbruk och bekämpa svartarbete kunde man påkalla arbetsgivarens ekonomiska ansvar, som i direktivet om forskare. Giltigheten av en sådan handling skulle vara helt och hållet kopplad till om det finns ett lagligt anställningsavtal. Undantag från denna huvudregel skulle kunna föreskrivas under särskilda förhållanden på de nationella arbetsmarknaderna, oc</w:t>
      </w:r>
      <w:r w:rsidRPr="00B2051C">
        <w:t>h i så fall tas upp i de särskilda direktiven.</w:t>
      </w:r>
    </w:p>
    <w:p w:rsidR="000A522F" w:rsidRPr="00B2051C" w:rsidRDefault="000A522F">
      <w:pPr>
        <w:pStyle w:val="ManualHeading2"/>
      </w:pPr>
      <w:bookmarkStart w:id="30" w:name="_Toc126495510"/>
      <w:bookmarkStart w:id="31" w:name="_Toc128903149"/>
      <w:r w:rsidRPr="00B2051C">
        <w:t>2.2.</w:t>
      </w:r>
      <w:r w:rsidRPr="00B2051C">
        <w:tab/>
        <w:t>Fyra särskilda direktiv</w:t>
      </w:r>
      <w:bookmarkEnd w:id="30"/>
      <w:bookmarkEnd w:id="31"/>
    </w:p>
    <w:p w:rsidR="000A522F" w:rsidRPr="00B2051C" w:rsidRDefault="000A522F">
      <w:r w:rsidRPr="00B2051C">
        <w:t>Det har undersökts huruvida det bör finnas särskilda regler för specifika ekonomiska sektorer eller för breda kategorier av invandrare. I nuvarande situation och med hänsyn till skillnaderna mellan medlemsstaterna när det gäller demografiska prognoser och sociala förhållanden samt strukturer, utvecklingstendenser och behov på arbetsmarknaden, gjordes bedömningen att det inte skulle vara samhällsekonomiskt effektivt att rikta in sig på någon specifik sektor, då detta skulle kunna led</w:t>
      </w:r>
      <w:r w:rsidRPr="00B2051C">
        <w:t xml:space="preserve">a till en oönskad brist på flexibilitet på de nationella arbetsmarknaderna. Å andra sidan visade det offentliga samrådet tydligt att det finns kategorier av arbetstagare med gemensamma behov och intressen. Avsikten är också att finna en balans mellan intressena hos vissa medlemsstater, som har förutsättningar att locka till sig högt kvalificerad arbetskraft, och intressena hos de medlemsstater som i första hand behöver säsongsarbetskraft. De särskilda rättsakterna kommer att fungera som ett komplement till </w:t>
      </w:r>
      <w:r w:rsidRPr="00B2051C">
        <w:t>ramdirektivet och endast omfatta personer med betald anställning.</w:t>
      </w:r>
    </w:p>
    <w:p w:rsidR="000A522F" w:rsidRPr="00B2051C" w:rsidRDefault="000A522F">
      <w:r w:rsidRPr="00B2051C">
        <w:t>Som huvudregel bör rätten till inresa och vistelse vara kopplad till att det finns ett anställningsavtal och att den vakans som uppstått inte kan fyllas av någon som tillhör den befintliga arbetskraften på den inhemska arbetsmarknaden (</w:t>
      </w:r>
      <w:r w:rsidRPr="00B2051C">
        <w:rPr>
          <w:i/>
        </w:rPr>
        <w:t>economic needs test</w:t>
      </w:r>
      <w:r w:rsidRPr="00B2051C">
        <w:t>). Undantag kan komma att behövas med hänsyn till uttalade strukturella/tillfälliga behov inom vissa sektorer/yrkeskategorier/regioner. Internationella åtaganden som ingåtts av EG eller av EG och dess medlemsstater, särskilt inom ramen för den gemensamma handelspolitiken, måste respekteras. Vidare bör man överväga etiska regler för rekrytering inom sektorer som är särskilt känsliga för kunskapsflykt. Den globala krisen när det gäller möjligheterna att rekrytera personal inom hälso- och sj</w:t>
      </w:r>
      <w:r w:rsidRPr="00B2051C">
        <w:t>ukvårdssektorn, med en allvarlig brist på hälso- och sjukvårdspersonal särskilt i vissa delar av Afrika, som förvärras av kunskapsflykten, kräver en övergripande och sammanhängande strategi för etisk rekrytering av sådan personal</w:t>
      </w:r>
      <w:r w:rsidRPr="00B2051C">
        <w:rPr>
          <w:rStyle w:val="Fotnotsreferens"/>
        </w:rPr>
        <w:footnoteReference w:id="12"/>
      </w:r>
      <w:r w:rsidRPr="00B2051C">
        <w:t>.</w:t>
      </w:r>
    </w:p>
    <w:p w:rsidR="000A522F" w:rsidRPr="00B2051C" w:rsidRDefault="000A522F">
      <w:pPr>
        <w:pStyle w:val="ManualHeading3"/>
      </w:pPr>
      <w:bookmarkStart w:id="32" w:name="_Toc126495511"/>
      <w:bookmarkStart w:id="33" w:name="_Toc128903150"/>
      <w:r w:rsidRPr="00B2051C">
        <w:t>2.2.1.</w:t>
      </w:r>
      <w:r w:rsidRPr="00B2051C">
        <w:tab/>
        <w:t>Ett förslag till direktiv om villkor för inresa och vistelse för högutbildade arbetstagare</w:t>
      </w:r>
      <w:r w:rsidRPr="00B2051C">
        <w:rPr>
          <w:rStyle w:val="Fotnotsreferens"/>
        </w:rPr>
        <w:footnoteReference w:id="13"/>
      </w:r>
      <w:bookmarkEnd w:id="32"/>
      <w:bookmarkEnd w:id="33"/>
    </w:p>
    <w:p w:rsidR="000A522F" w:rsidRPr="00B2051C" w:rsidRDefault="000A522F">
      <w:r w:rsidRPr="00B2051C">
        <w:t>Det stora flertalet av medlemsstaterna behöver dessa arbetstagare, då det finns ett underskott på högutbildad arbetskraft på de inhemska arbetsmarknaderna. Färska undersökningar visar till exempel att 54 % av första generationens invandrare från Medelhavsländerna (Med) och Mellanöstern och Nordafrika (Mena) med en universitetsexamen bor i Canada och USA, medan 87 % av dem med högst gymnasieutbildning eller motsvarande är bosatta i Europa</w:t>
      </w:r>
      <w:r w:rsidRPr="00B2051C">
        <w:rPr>
          <w:rStyle w:val="Fotnotsreferens"/>
        </w:rPr>
        <w:footnoteReference w:id="14"/>
      </w:r>
      <w:r w:rsidRPr="00B2051C">
        <w:t xml:space="preserve">. Ett sätt att motverka detta problem kunde vara att utforma ett särskilt förfarande för att snabbt kunna nå och bevilja rätt till inresa för högutbildade invandrare samt attraktiva villkor för att uppmuntra dem att välja Europa. Därför kommer vi att göra ytterligare utvärderingar av om det vore lämpligt att inkludera rörlighet inom EU eller att gå in för ett mer långtgående förslag. Ett sådant mer ambitiöst förslag skulle kunna omfatta ett EU-arbetstillstånd (”grönt kort”) som utfärdas av medlemsstaterna, </w:t>
      </w:r>
      <w:r w:rsidRPr="00B2051C">
        <w:t>men är giltigt i hela EU, och grunda sig på förutsättningen att bestämmelser som reglerar tillträdet till de nationella arbetsmarknaderna respekteras fullt ut.</w:t>
      </w:r>
    </w:p>
    <w:p w:rsidR="000A522F" w:rsidRPr="00B2051C" w:rsidRDefault="000A522F">
      <w:r w:rsidRPr="00B2051C">
        <w:t>Behovet av att anställa migrerande arbetskraft fluktuerar</w:t>
      </w:r>
      <w:r w:rsidRPr="00B2051C">
        <w:rPr>
          <w:rStyle w:val="Fotnotsreferens"/>
        </w:rPr>
        <w:footnoteReference w:id="15"/>
      </w:r>
      <w:r w:rsidRPr="00B2051C">
        <w:t>,</w:t>
      </w:r>
      <w:r w:rsidRPr="00B2051C">
        <w:rPr>
          <w:i/>
        </w:rPr>
        <w:t xml:space="preserve"> </w:t>
      </w:r>
      <w:r w:rsidRPr="00B2051C">
        <w:t>och kan bara tillgodoses genom mer flexibla och mindre komplicerade förfaranden. Förslaget skulle därför kunna innehålla en särskild bestämmelse (</w:t>
      </w:r>
      <w:r w:rsidRPr="00B2051C">
        <w:rPr>
          <w:i/>
        </w:rPr>
        <w:t>opening clause</w:t>
      </w:r>
      <w:r w:rsidRPr="00B2051C">
        <w:t xml:space="preserve">) som kan tillämpas när det finns behov av andra kategorier av arbetstagare än högutbildade (till exempel yrkesarbetare) eller råder en allmän brist på arbetskraft i vissa regioner. Enda skyldigheten skulle vara att rapportera via det ömsesidiga informationssystemet om invandring och asyl. </w:t>
      </w:r>
    </w:p>
    <w:p w:rsidR="000A522F" w:rsidRPr="00B2051C" w:rsidRDefault="000A522F">
      <w:pPr>
        <w:pStyle w:val="ManualHeading3"/>
      </w:pPr>
      <w:bookmarkStart w:id="34" w:name="_Toc126495512"/>
      <w:bookmarkStart w:id="35" w:name="_Toc128903151"/>
      <w:r w:rsidRPr="00B2051C">
        <w:t>2.2.2.</w:t>
      </w:r>
      <w:r w:rsidRPr="00B2051C">
        <w:tab/>
        <w:t>Ett förslag till direktiv om villkor för inresa och vistelse för säsongsarbetare</w:t>
      </w:r>
      <w:bookmarkEnd w:id="34"/>
      <w:bookmarkEnd w:id="35"/>
    </w:p>
    <w:p w:rsidR="000A522F" w:rsidRPr="00B2051C" w:rsidRDefault="000A522F">
      <w:r w:rsidRPr="00B2051C">
        <w:t>Det finns ett regelbundet behov av säsongsarbetare inom vissa sektorer, särskilt inom jordbruket, byggnadsbranschen och turismnäringen. Inom dessa näringar finns många invandrare som arbetar olagligt och under osäkra förhållanden. Inom ramen för det föreslagna systemet skulle man kunna utfärda uppehålls-/arbetstillstånd som gör det möjligt för den berörde tredjelandsmedborgaren att arbeta i ett visst antal månader per år under</w:t>
      </w:r>
      <w:r w:rsidRPr="00B2051C">
        <w:t xml:space="preserve"> 4–5 års tid. Inrese- och utresestämplar kommer att bidra till att förebygga missbruk. </w:t>
      </w:r>
    </w:p>
    <w:p w:rsidR="000A522F" w:rsidRPr="00B2051C" w:rsidRDefault="000A522F">
      <w:r w:rsidRPr="00B2051C">
        <w:t>Syftet är att tillhandahålla nödvändig arbetskraft i medlemsstaterna och samtidigt garantera de berörda invandrarna en trygg rättslig ställning och utsikter till regelbundet arbete. Därigenom skulle man skydda en särskilt svag grupp av arbetstagare och även bidra till utvecklingen i ursprungsländerna</w:t>
      </w:r>
      <w:r w:rsidRPr="00B2051C">
        <w:rPr>
          <w:rStyle w:val="Fotnotsreferens"/>
        </w:rPr>
        <w:footnoteReference w:id="16"/>
      </w:r>
      <w:r w:rsidRPr="00B2051C">
        <w:t xml:space="preserve">. Även om arbetslösheten skulle vara hög, är det sällan som denna grupp av invandrade arbetstagare konkurrerar med den inhemska arbetskraften i EU, eftersom få EU-medborgare och bosatta inom EU är villiga att syssla med säsongsarbete. </w:t>
      </w:r>
    </w:p>
    <w:p w:rsidR="000A522F" w:rsidRPr="00B2051C" w:rsidRDefault="000A522F">
      <w:pPr>
        <w:pStyle w:val="ManualHeading3"/>
      </w:pPr>
      <w:bookmarkStart w:id="36" w:name="_Toc126495513"/>
      <w:bookmarkStart w:id="37" w:name="_Toc128903152"/>
      <w:r w:rsidRPr="00B2051C">
        <w:t>2.2.3.</w:t>
      </w:r>
      <w:r w:rsidRPr="00B2051C">
        <w:tab/>
        <w:t>Ett förslag till direktiv om förfaranden för inresa, tillfällig vistelse och bosättning för företagsinternt utstationerad personal</w:t>
      </w:r>
      <w:bookmarkEnd w:id="36"/>
      <w:bookmarkEnd w:id="37"/>
    </w:p>
    <w:p w:rsidR="000A522F" w:rsidRPr="00B2051C" w:rsidRDefault="000A522F">
      <w:r w:rsidRPr="00B2051C">
        <w:t>Förslaget syftar till att införa gemensamma förfaranden för inresa, tillfällig vistelse och bosättning i EU för företagsinternt utstationerad personal. Dessa förfaranden kommer inte att påverka internationella åtaganden som EG eller EG och dess medlemsstater har ingått. För att ge internationella företag möjlighet att omplacera nyckelpersonal och specialister inom Europa, bör m</w:t>
      </w:r>
      <w:r w:rsidRPr="00B2051C">
        <w:t>an även ta ställning till frågan om rörlighet inom EU för företagsinternt utstationerad personal, då det skulle tillföra EU-initiativet ett klart mervärde.</w:t>
      </w:r>
    </w:p>
    <w:p w:rsidR="000A522F" w:rsidRPr="00B2051C" w:rsidRDefault="000A522F">
      <w:pPr>
        <w:pStyle w:val="ManualHeading3"/>
      </w:pPr>
      <w:bookmarkStart w:id="38" w:name="_Toc126495514"/>
      <w:bookmarkStart w:id="39" w:name="_Toc128903153"/>
      <w:r w:rsidRPr="00B2051C">
        <w:t>2.2.4.</w:t>
      </w:r>
      <w:r w:rsidRPr="00B2051C">
        <w:tab/>
        <w:t>Ett förslag till direktiv om villkor för inresa och bosättning för avlönade praktikanter</w:t>
      </w:r>
      <w:bookmarkEnd w:id="38"/>
      <w:bookmarkEnd w:id="39"/>
    </w:p>
    <w:p w:rsidR="000A522F" w:rsidRPr="00B2051C" w:rsidRDefault="000A522F">
      <w:r w:rsidRPr="00B2051C">
        <w:t>För denna särskilda kategori av personer under yrkesutbildning finns inga gemensamma regler (som det gör för oavlönade praktikanter</w:t>
      </w:r>
      <w:r w:rsidRPr="00B2051C">
        <w:rPr>
          <w:rStyle w:val="Fotnotsreferens"/>
        </w:rPr>
        <w:footnoteReference w:id="17"/>
      </w:r>
      <w:r w:rsidRPr="00B2051C">
        <w:t>). Det är därför angeläget att fylla denna lucka i lagstiftningen. Att göra det möjligt för tredjelandsmedborgare att skaffa erfarenhet och kunskaper genom en praktikperiod i Europa kan vara ett sätt att uppmuntra kunskapsspridning, till fördel för såväl ursprungslandet som det mottagande landet. Det kommer dock att behövas garantier mot missbruk, till exempel att praktikanter i realiteten används som underbetald tillfällig arbetskraft.</w:t>
      </w:r>
    </w:p>
    <w:p w:rsidR="000A522F" w:rsidRPr="00B2051C" w:rsidRDefault="000A522F">
      <w:pPr>
        <w:pStyle w:val="ManualHeading2"/>
      </w:pPr>
      <w:bookmarkStart w:id="40" w:name="_Toc126495515"/>
      <w:bookmarkStart w:id="41" w:name="_Toc128903154"/>
      <w:r w:rsidRPr="00B2051C">
        <w:t>2.3.</w:t>
      </w:r>
      <w:r w:rsidRPr="00B2051C">
        <w:tab/>
        <w:t>Andra lagstiftningsåtgärder</w:t>
      </w:r>
      <w:bookmarkEnd w:id="40"/>
      <w:bookmarkEnd w:id="41"/>
      <w:r w:rsidRPr="00B2051C">
        <w:t xml:space="preserve"> </w:t>
      </w:r>
    </w:p>
    <w:p w:rsidR="000A522F" w:rsidRPr="00B2051C" w:rsidRDefault="000A522F">
      <w:r w:rsidRPr="00B2051C">
        <w:t>Alla direktiv om laglig invandring och asyl innehåller bestämmelser om tillträde till arbetsmarknaden för berörda tredjelandsmedborgare</w:t>
      </w:r>
      <w:r w:rsidRPr="00B2051C">
        <w:rPr>
          <w:rStyle w:val="Fotnotsreferens"/>
        </w:rPr>
        <w:footnoteReference w:id="18"/>
      </w:r>
      <w:r w:rsidRPr="00B2051C">
        <w:t>. Efter en utvärdering bör förslag till ändringar läggas fram i syfte att få till stånd ytterligare harmonisering, även före den halvtidsöversyn som angivits i de olika rättsakterna.</w:t>
      </w:r>
    </w:p>
    <w:p w:rsidR="000A522F" w:rsidRPr="00B2051C" w:rsidRDefault="000A522F">
      <w:pPr>
        <w:pStyle w:val="ManualHeading1"/>
      </w:pPr>
      <w:bookmarkStart w:id="42" w:name="_Toc126495516"/>
      <w:bookmarkStart w:id="43" w:name="_Toc128903155"/>
      <w:r w:rsidRPr="00B2051C">
        <w:t>3.</w:t>
      </w:r>
      <w:r w:rsidRPr="00B2051C">
        <w:tab/>
        <w:t>Kunskapsbyggande och information</w:t>
      </w:r>
      <w:bookmarkEnd w:id="42"/>
      <w:bookmarkEnd w:id="43"/>
    </w:p>
    <w:p w:rsidR="000A522F" w:rsidRPr="00B2051C" w:rsidRDefault="000A522F">
      <w:r w:rsidRPr="00B2051C">
        <w:t>Intresserade parter som yttrat sig underströk det mervärde som skulle tillföras genom EU-insatser för att garantera bättre tillgång till och utbyte och spridning av information om olika aspekter av migration. De erkände också vikten av att främja politisk debatt och kunskapsbyggande. Därför kommer en rad instrument att utarbetas under de kommande åren, i syfte att uppnå en betydande förbättring av tillgången till och utbytet och samordningen av information som samlats in. F</w:t>
      </w:r>
      <w:r w:rsidRPr="00B2051C">
        <w:t xml:space="preserve">örteckningen över åtgärder är inte uttömmande och kompletterande insatser kan komma i fråga. </w:t>
      </w:r>
    </w:p>
    <w:p w:rsidR="000A522F" w:rsidRPr="00B2051C" w:rsidRDefault="000A522F">
      <w:pPr>
        <w:pStyle w:val="ManualHeading2"/>
      </w:pPr>
      <w:bookmarkStart w:id="44" w:name="_Toc126495517"/>
      <w:bookmarkStart w:id="45" w:name="_Toc128903156"/>
      <w:r w:rsidRPr="00B2051C">
        <w:t>3.1.</w:t>
      </w:r>
      <w:r w:rsidRPr="00B2051C">
        <w:tab/>
        <w:t>Information och politisk diskussion</w:t>
      </w:r>
      <w:bookmarkEnd w:id="44"/>
      <w:bookmarkEnd w:id="45"/>
    </w:p>
    <w:p w:rsidR="000A522F" w:rsidRPr="00B2051C" w:rsidRDefault="000A522F">
      <w:r w:rsidRPr="00B2051C">
        <w:t>En EU-portal med material rörande invandring – EU-politik och EU-regelverk, nyheter och information samt länkar till relevanta nationella webbplatser, Euresnätverket, den framtida EU-webbplatsen rörande integration, relevanta forskningsresultat på EU-nivå och internationell nivå m.m. – kommer att stå färdig i slutet av 2007. Särskilda informationskampanjer om EU:s invandringspolitik kommer att genomföras, i kombination med ytterligare undersökningar, särskilt om tillstån</w:t>
      </w:r>
      <w:r w:rsidRPr="00B2051C">
        <w:t>d att söka arbete och avancerade system.</w:t>
      </w:r>
    </w:p>
    <w:p w:rsidR="000A522F" w:rsidRPr="00B2051C" w:rsidRDefault="000A522F">
      <w:r w:rsidRPr="00B2051C">
        <w:t xml:space="preserve">Diskussionen och utbytet av erfarenheter mellan de intresserade kommer att stödjas med riktade insatser. Det europeiska året för arbetstagarnas rörlighet 2006 och det europeiska året för lika möjligheter för alla 2007 kommer att ge tillfälle att identifiera, diskutera och ta itu med viktiga frågor rörande invandrare från länder utanför unionen. </w:t>
      </w:r>
    </w:p>
    <w:p w:rsidR="000A522F" w:rsidRPr="00B2051C" w:rsidRDefault="000A522F">
      <w:r w:rsidRPr="00B2051C">
        <w:t>Kommissionen har till uppgift att övervaka tillämpningen av befintliga rättsakter, och kommer att arbeta för att främja initiativ på nationell nivå och på EU-nivå som syftar till att öka medvetenheten om de aktuella frågorna och sprida information och tillhandahålla fortbildning på området.</w:t>
      </w:r>
    </w:p>
    <w:p w:rsidR="000A522F" w:rsidRPr="00B2051C" w:rsidRDefault="000A522F">
      <w:pPr>
        <w:pStyle w:val="ManualHeading2"/>
      </w:pPr>
      <w:bookmarkStart w:id="46" w:name="_Toc126495518"/>
      <w:bookmarkStart w:id="47" w:name="_Toc128903157"/>
      <w:r w:rsidRPr="00B2051C">
        <w:t>3.2.</w:t>
      </w:r>
      <w:r w:rsidRPr="00B2051C">
        <w:tab/>
        <w:t>Europeiska portalen för rörlighet i arbetslivet (Eures)</w:t>
      </w:r>
      <w:bookmarkEnd w:id="46"/>
      <w:bookmarkEnd w:id="47"/>
    </w:p>
    <w:p w:rsidR="000A522F" w:rsidRPr="00B2051C" w:rsidRDefault="000A522F">
      <w:r w:rsidRPr="00B2051C">
        <w:t>Samrådet visade att de tjänster som tillhandahålls via europeiska portalen för rörlighet i arbetslivet och Euresnätverket</w:t>
      </w:r>
      <w:r w:rsidRPr="00B2051C">
        <w:rPr>
          <w:rStyle w:val="Fotnotsreferens"/>
        </w:rPr>
        <w:footnoteReference w:id="19"/>
      </w:r>
      <w:r w:rsidRPr="00B2051C">
        <w:t xml:space="preserve"> för att främja EU-medborgares rörlighet, även kunde användas för att stödja hanteringen av ekonomisk invandring från tredje land. I detta sammanhang kommer den planerade översynen av Euresriktlinjerna att ge en relevant ram för att anpassa och utvidga de tjänster som tillhandahålls via portalen. Detta skulle vara ett sätt att lösa vissa av de informationsbehov som behandlas ovan (till exempel tillhandahållande av regelbunden information om arbetstillfällen i Europa, tendenser på EU:s arbetsmarknad m.m.), o</w:t>
      </w:r>
      <w:r w:rsidRPr="00B2051C">
        <w:t>ch ge goda förutsättningar för synergier med den planerade EU-portalen om invandring och Internetportalen om rörlighet för forskare</w:t>
      </w:r>
      <w:r w:rsidRPr="00B2051C">
        <w:rPr>
          <w:rStyle w:val="Fotnotsreferens"/>
        </w:rPr>
        <w:footnoteReference w:id="20"/>
      </w:r>
      <w:r w:rsidRPr="00B2051C">
        <w:t>. De nya riktlinjerna för 2007–2010 kommer att skapa förutsättningar att genomföra de nödvändiga förändringarna på medellång sikt.</w:t>
      </w:r>
    </w:p>
    <w:p w:rsidR="000A522F" w:rsidRPr="00B2051C" w:rsidRDefault="000A522F">
      <w:pPr>
        <w:pStyle w:val="ManualHeading2"/>
      </w:pPr>
      <w:bookmarkStart w:id="48" w:name="_Toc126495519"/>
      <w:bookmarkStart w:id="49" w:name="_Toc128903158"/>
      <w:r w:rsidRPr="00B2051C">
        <w:t>3.3.</w:t>
      </w:r>
      <w:r w:rsidRPr="00B2051C">
        <w:tab/>
        <w:t>Europeiska migrationsnätverket</w:t>
      </w:r>
      <w:bookmarkEnd w:id="48"/>
      <w:bookmarkEnd w:id="49"/>
    </w:p>
    <w:p w:rsidR="000A522F" w:rsidRPr="00B2051C" w:rsidRDefault="000A522F">
      <w:pPr>
        <w:rPr>
          <w:highlight w:val="yellow"/>
        </w:rPr>
      </w:pPr>
      <w:r w:rsidRPr="00B2051C">
        <w:t>Syftet med det europeiska migrationsnätverket var att förse EG, dess medlemsstater och på längre sikt även allmänheten med objektiv, tillförlitlig och jämförbar information om migration och asyl</w:t>
      </w:r>
      <w:r w:rsidRPr="00B2051C">
        <w:rPr>
          <w:rStyle w:val="Fotnotsreferens"/>
        </w:rPr>
        <w:footnoteReference w:id="21"/>
      </w:r>
      <w:r w:rsidRPr="00B2051C">
        <w:t>. Analysen av resultaten av det offentliga samrådet om grönboken om det europeiska migrationsnätverkets framtid</w:t>
      </w:r>
      <w:r w:rsidRPr="00B2051C">
        <w:rPr>
          <w:rStyle w:val="Fotnotsreferens"/>
        </w:rPr>
        <w:footnoteReference w:id="22"/>
      </w:r>
      <w:r w:rsidRPr="00B2051C">
        <w:t xml:space="preserve"> kommer att bidra till att identifiera prioriteringar för framtiden, utveckla lämpliga strukturer och säkerställa tillfredsställande resultat, i syfte att förbättra den tillgängliga informationen. I detta sammanhang kommer det att övervägas hur befintliga och framtida EG-nätverk och informationskällor bättre kan anpassas till behoven.</w:t>
      </w:r>
    </w:p>
    <w:p w:rsidR="000A522F" w:rsidRPr="00B2051C" w:rsidRDefault="000A522F">
      <w:pPr>
        <w:pStyle w:val="ManualHeading1"/>
      </w:pPr>
      <w:bookmarkStart w:id="50" w:name="_Toc126495520"/>
      <w:bookmarkStart w:id="51" w:name="_Toc128903159"/>
      <w:r w:rsidRPr="00B2051C">
        <w:t>4.</w:t>
      </w:r>
      <w:r w:rsidRPr="00B2051C">
        <w:tab/>
        <w:t>Integration</w:t>
      </w:r>
      <w:bookmarkEnd w:id="50"/>
      <w:bookmarkEnd w:id="51"/>
    </w:p>
    <w:p w:rsidR="000A522F" w:rsidRPr="00B2051C" w:rsidRDefault="000A522F">
      <w:r w:rsidRPr="00B2051C">
        <w:t xml:space="preserve">I 2003 års meddelande om </w:t>
      </w:r>
      <w:r w:rsidRPr="00B2051C">
        <w:rPr>
          <w:i/>
        </w:rPr>
        <w:t>Invandring, integration och sysselsättning</w:t>
      </w:r>
      <w:r w:rsidRPr="00B2051C">
        <w:t xml:space="preserve"> betonades att tillträde till arbetsmarknaden är avgörande för integrationen av tredjelandsmedborgare. I 2005 års meddelande om en </w:t>
      </w:r>
      <w:r w:rsidRPr="00B2051C">
        <w:rPr>
          <w:i/>
        </w:rPr>
        <w:t>gemensam agenda för integration</w:t>
      </w:r>
      <w:r w:rsidRPr="00B2051C">
        <w:t xml:space="preserve">, som kommissionen kommer att följa upp aktivt, angavs en ram för integration av tredjelandsmedborgare inom EU. Riktlinjerna i detta meddelande har fått stöd av rådet i dess slutsatser om en gemensam agenda för integration, som antogs i december 2005. </w:t>
      </w:r>
    </w:p>
    <w:p w:rsidR="000A522F" w:rsidRPr="00B2051C" w:rsidRDefault="000A522F">
      <w:r w:rsidRPr="00B2051C">
        <w:t xml:space="preserve">Eftersom integrationsfrågan skär genom en rad områden, </w:t>
      </w:r>
      <w:r w:rsidRPr="00B2051C">
        <w:t>till exempel sysselsättning, samhällsplanering och utbildning, kommer kommissionen att se till att det görs gemensamma ansträngningar för att på ett samlat sätt spegla integrationsprioriteringarna över en rad politikområden. Bland de rekommenderade åtgärderna inom olika områden</w:t>
      </w:r>
      <w:r w:rsidRPr="00B2051C">
        <w:rPr>
          <w:rStyle w:val="Fotnotsreferens"/>
        </w:rPr>
        <w:footnoteReference w:id="23"/>
      </w:r>
      <w:r w:rsidRPr="00B2051C">
        <w:t xml:space="preserve"> finns en förstärkning av resurserna till introduktionsprogram och verksamheter för lagliga invandrare och personer under deras försörjningsansvar. Åtgärderna bör omfatta informationspaket för nyanlända ekonomiska invandrare samt kurser i språk och samhällskunskap, i syfte att se till att invandrare förstår, respekterar och kan dra fördel av de gemensamma europeiska och nationella värderingarna. Utbildning, fortbildning och kulturella initiativ kommer att vara bidragande faktorer till integrationsprocessen </w:t>
      </w:r>
      <w:r w:rsidRPr="00B2051C">
        <w:t>även i fortsättningen.</w:t>
      </w:r>
    </w:p>
    <w:p w:rsidR="000A522F" w:rsidRPr="00B2051C" w:rsidRDefault="000A522F">
      <w:r w:rsidRPr="00B2051C">
        <w:t xml:space="preserve">EU stödjer medlemsstaternas integrationspolitik via finansiella instrument, till exempel de så kallade förberedande åtgärderna för integration av tredjelandsmedborgare (INTI). I budgetplanen 2007–2013 föreslog kommissionen ett nytt, riktat solidaritetsinstrument, nämligen Europeiska fonden för integration av tredjelandsmedborgare. Fondens mål – som kompletterar Europeiska socialfondens mål – rör de särskilda frågeställningar som identifierats när det gäller tredjelandsmedborgare, och </w:t>
      </w:r>
      <w:r w:rsidRPr="00B2051C">
        <w:t>baserar sig på de gemensamma grundprinciper för invandring som fastslogs av rådet (rättsliga och inrikes frågor) i november 2004.</w:t>
      </w:r>
    </w:p>
    <w:p w:rsidR="000A522F" w:rsidRPr="00B2051C" w:rsidRDefault="000A522F">
      <w:r w:rsidRPr="00B2051C">
        <w:t>En särskild prioritering i utkastet till förordning om Europeiska fonden för integration av tredjelandsmedborgare för 2007–2013 är att öka sysselsättningen bland invandrarna och främja deras integration i samhället. Därför vill kommissionen lägga särskild vikt vid att denna prioritering blir föremål för effektiva åtgärder och ägnas tillräckliga resurser. Förhandlingarna om de str</w:t>
      </w:r>
      <w:r w:rsidRPr="00B2051C">
        <w:t>ategiska nationella ramarna – och motsvarande operativa program – är det institutionella verktyg som kommer att garantera att EU-medlen används effektivt för detta ändamål under kommande år. Även Europeiska regionala utvecklingsfonden stödjer vissa integrationsåtgärder.</w:t>
      </w:r>
    </w:p>
    <w:p w:rsidR="000A522F" w:rsidRPr="00B2051C" w:rsidRDefault="000A522F">
      <w:pPr>
        <w:pStyle w:val="ManualHeading1"/>
      </w:pPr>
      <w:bookmarkStart w:id="52" w:name="_Toc126495521"/>
      <w:bookmarkStart w:id="53" w:name="_Toc128903160"/>
      <w:r w:rsidRPr="00B2051C">
        <w:t>5.</w:t>
      </w:r>
      <w:r w:rsidRPr="00B2051C">
        <w:tab/>
        <w:t>Samarbete med ursprungsländer</w:t>
      </w:r>
      <w:bookmarkEnd w:id="52"/>
      <w:bookmarkEnd w:id="53"/>
    </w:p>
    <w:p w:rsidR="000A522F" w:rsidRPr="00B2051C" w:rsidRDefault="000A522F">
      <w:r w:rsidRPr="00B2051C">
        <w:t xml:space="preserve">Samrådet visade tydligt att det fanns ett behov av att förbättra samarbetet med tredjeländer om migration och att utveckla initiativ som ger fördelar för såväl ursprungs- och destinationsländerna som för arbetskraftsinvandrarna själva. En möjlig lösning skulle vara att övervaka migrationen av högutbildade från utvecklingsländer till EU, och därigenom identifiera sektorer och ursprungsländer som lider av en betydande kunskapsflykt. Diskussioner inom EU och med dessa länder bör </w:t>
      </w:r>
      <w:r w:rsidRPr="00B2051C">
        <w:t>inledas för att söka möjliga lösningar, Vidare avser kommissionen, som är medveten om vikten av att tillhandahålla mer samlad information i ursprungsländerna om möjligheterna till och villkoren för laglig invandring i EU, att vidta nödvändiga steg för att bygga ut de informationskällor som för närvarande finns tillgängliga.</w:t>
      </w:r>
    </w:p>
    <w:p w:rsidR="000A522F" w:rsidRPr="00B2051C" w:rsidRDefault="000A522F">
      <w:r w:rsidRPr="00B2051C">
        <w:t>Andra initiativ skulle kunna läggas fram inom de områden som tas upp nedan, och EU kan eventuellt tillhandahålla lämpligt ekonomiskt stöd.</w:t>
      </w:r>
    </w:p>
    <w:p w:rsidR="000A522F" w:rsidRPr="00B2051C" w:rsidRDefault="000A522F">
      <w:pPr>
        <w:pStyle w:val="ManualHeading2"/>
      </w:pPr>
      <w:bookmarkStart w:id="54" w:name="_Toc126495522"/>
      <w:bookmarkStart w:id="55" w:name="_Toc128903161"/>
      <w:r w:rsidRPr="00B2051C">
        <w:t>5.1.</w:t>
      </w:r>
      <w:r w:rsidRPr="00B2051C">
        <w:tab/>
        <w:t>Instrument för att främja cirkulär migration och återvändande</w:t>
      </w:r>
      <w:bookmarkEnd w:id="54"/>
      <w:bookmarkEnd w:id="55"/>
    </w:p>
    <w:p w:rsidR="000A522F" w:rsidRPr="00B2051C" w:rsidRDefault="000A522F">
      <w:r w:rsidRPr="00B2051C">
        <w:t xml:space="preserve">I meddelandet om </w:t>
      </w:r>
      <w:r w:rsidRPr="00B2051C">
        <w:rPr>
          <w:i/>
        </w:rPr>
        <w:t>migration och utveckling</w:t>
      </w:r>
      <w:r w:rsidRPr="00B2051C">
        <w:t xml:space="preserve"> underströks vikten av att underlätta återvändande och cirkulär migration. En uppföljning av meddelandet – också genom specifika åtgärder – kan bidra betydligt till utvecklingen av EU:s politik när det gäller ekonomisk migration. Direktivet om varaktigt bosatta tredjelandsmedborgares rättsliga ställning erbjuder redan intressanta möjligheter, till exempel möjligheten för medlemsstater att låta återvändande migranter behålla sin ställning längre än den ettårsperiod som anges i artikel</w:t>
      </w:r>
      <w:r w:rsidRPr="00B2051C">
        <w:t xml:space="preserve"> 9. Genomförbarhetsstudier planeras om möjliga nya åtgärder. Det kan till exempel röra sig om viseringar för längre vistelse som ger rätt till flera in- och utresor för migranter som planerar att återvända, eller möjlighet för tidigare migranter att få prioritet och erhålla ett nytt uppehållstillstånd för ny tillfällig anställning i det tidigare värdlandet, enligt ett förenklat förfarande. I detta sammanhang kunde man inrätta en EU-databas över tredjelandsmedborgare som har lämnat EU efter det att deras til</w:t>
      </w:r>
      <w:r w:rsidRPr="00B2051C">
        <w:t>lfälliga uppehålls-/arbetstillstånd har löpt ut. En genomförbarhetsstudie om en sådan databas kunde exempelvis ingå i den konsekvensbedömning som bör utföras när det gäller systemet för registrering av in- och utresor</w:t>
      </w:r>
      <w:r w:rsidRPr="00B2051C">
        <w:rPr>
          <w:rStyle w:val="Fotnotsreferens"/>
        </w:rPr>
        <w:footnoteReference w:id="24"/>
      </w:r>
      <w:r w:rsidRPr="00B2051C">
        <w:t>.</w:t>
      </w:r>
    </w:p>
    <w:p w:rsidR="000A522F" w:rsidRPr="00B2051C" w:rsidRDefault="000A522F">
      <w:r w:rsidRPr="00B2051C">
        <w:t>Vidare bör EU aktivt försöka utforma tillfälliga migrationsordningar som kan bidra till att maximera fördelarna för alla berörda parter, till exempel genom att uppfylla behovet av arbetskraft i medlemsstaterna och samtidigt, om de berörda migranterna så småningom återvänder, bidra till utvecklingen i ursprungsländerna och erbjuda kunskaper och andra fördelar till de deltagande migranterna.</w:t>
      </w:r>
    </w:p>
    <w:p w:rsidR="000A522F" w:rsidRPr="00B2051C" w:rsidRDefault="000A522F">
      <w:r w:rsidRPr="00B2051C">
        <w:t>Arrangemang för begränsad tillfällig och cirkulär migration kommer att inkluderas i vissa av de särskilda instrumenten (punkt 2.2).</w:t>
      </w:r>
    </w:p>
    <w:p w:rsidR="000A522F" w:rsidRPr="00B2051C" w:rsidRDefault="000A522F">
      <w:pPr>
        <w:pStyle w:val="ManualHeading2"/>
      </w:pPr>
      <w:bookmarkStart w:id="56" w:name="_Toc126495523"/>
      <w:bookmarkStart w:id="57" w:name="_Toc128903162"/>
      <w:r w:rsidRPr="00B2051C">
        <w:t>5.2.</w:t>
      </w:r>
      <w:r w:rsidRPr="00B2051C">
        <w:tab/>
        <w:t>Fortbildning i ursprungsländerna</w:t>
      </w:r>
      <w:bookmarkEnd w:id="56"/>
      <w:bookmarkEnd w:id="57"/>
    </w:p>
    <w:p w:rsidR="000A522F" w:rsidRPr="00B2051C" w:rsidRDefault="000A522F">
      <w:r w:rsidRPr="00B2051C">
        <w:t>Oberoende av vilka integrationsåtgärder som vidtas före avresan, kan fortbildning och språkkurser i ursprungslandet hjälpa invandrare att utveckla sina kvalifikationer, anpassa sig till arbetskraftsbehovet i EU och därigenom öka sina möjligheter att hitta ett lagligt arbete. De politiska, tekniska och ekonomiska möjligheterna att genom EG-finansiering stödja inrättandet av lämpliga fortbildningsstrukturer som lyder under lokala myndigheters eller icke statliga organisatione</w:t>
      </w:r>
      <w:r w:rsidRPr="00B2051C">
        <w:t xml:space="preserve">rs ansvar kommer att undersökas noga. </w:t>
      </w:r>
    </w:p>
    <w:p w:rsidR="000A522F" w:rsidRPr="00B2051C" w:rsidRDefault="000A522F">
      <w:r w:rsidRPr="00B2051C">
        <w:t>Oavsett av vilka åtgärder som vidtas bör en arbetstagares rätt till inresa och vistelse inte vara beroende av att vederbörande genomgått sådana kurser, även om man kan tänka sig vissa lättnader för kursdeltagare.</w:t>
      </w:r>
    </w:p>
    <w:p w:rsidR="000A522F" w:rsidRPr="00B2051C" w:rsidRDefault="000A522F">
      <w:pPr>
        <w:pStyle w:val="ManualHeading1"/>
      </w:pPr>
      <w:bookmarkStart w:id="58" w:name="_Toc126495524"/>
      <w:bookmarkStart w:id="59" w:name="_Toc128903163"/>
      <w:r w:rsidRPr="00B2051C">
        <w:t>6.</w:t>
      </w:r>
      <w:r w:rsidRPr="00B2051C">
        <w:tab/>
        <w:t>Slutsatser</w:t>
      </w:r>
      <w:bookmarkEnd w:id="58"/>
      <w:bookmarkEnd w:id="59"/>
    </w:p>
    <w:p w:rsidR="000A522F" w:rsidRPr="00B2051C" w:rsidRDefault="000A522F">
      <w:r w:rsidRPr="00B2051C">
        <w:t>Med denna strategiska plan har kommissionen utfört den uppgift den fick sig tilldelad genom Haagprogrammet, och kommenterat de idéer och förslag som framfördes under det offentliga samrådet. Under de kommande fyra åren kommer detaljerade åtgärder att föreslås. Samtidigt kommer analyser att genomföras (se bilaga I). Ytterligare diskussioner och samråd med experter från medlemsstaterna, arbetsmarknadens parter och andra intresserade kommer att äga rum under processens gång.</w:t>
      </w:r>
    </w:p>
    <w:p w:rsidR="000A522F" w:rsidRPr="00B2051C" w:rsidRDefault="000A522F">
      <w:pPr>
        <w:sectPr w:rsidR="00000000" w:rsidRPr="00B2051C">
          <w:pgSz w:w="11907" w:h="16839"/>
          <w:pgMar w:top="1134" w:right="1417" w:bottom="1134" w:left="1417" w:header="720" w:footer="720" w:gutter="0"/>
          <w:cols w:space="720"/>
          <w:docGrid w:linePitch="326"/>
        </w:sectPr>
      </w:pPr>
    </w:p>
    <w:p w:rsidR="000A522F" w:rsidRPr="00B2051C" w:rsidRDefault="000A522F">
      <w:pPr>
        <w:pStyle w:val="ManualHeading1"/>
        <w:jc w:val="center"/>
      </w:pPr>
      <w:bookmarkStart w:id="60" w:name="_Toc126495525"/>
      <w:bookmarkStart w:id="61" w:name="_Toc128903164"/>
      <w:r w:rsidRPr="00B2051C">
        <w:t>Bilagor</w:t>
      </w:r>
      <w:bookmarkEnd w:id="60"/>
      <w:bookmarkEnd w:id="61"/>
    </w:p>
    <w:p w:rsidR="000A522F" w:rsidRPr="00B2051C" w:rsidRDefault="000A522F">
      <w:pPr>
        <w:pStyle w:val="ManualNumPar1"/>
        <w:rPr>
          <w:b/>
        </w:rPr>
      </w:pPr>
      <w:r w:rsidRPr="00B2051C">
        <w:rPr>
          <w:b/>
        </w:rPr>
        <w:t>I.</w:t>
      </w:r>
      <w:r w:rsidRPr="00B2051C">
        <w:rPr>
          <w:b/>
        </w:rPr>
        <w:tab/>
        <w:t>Roadmap for the proposed measures</w:t>
      </w:r>
    </w:p>
    <w:p w:rsidR="000A522F" w:rsidRPr="00B2051C" w:rsidRDefault="000A522F">
      <w:r w:rsidRPr="00B2051C">
        <w:t>This roadmap should be considered as indicative and not exhaustive, as other actions may be scheduled in the coming years. It gives an overview of the Commission’s intentions, but its implementation will depend, amongst other things, on the necessary preliminary work – including impact assessments and consultations – to be carried out before putting forward the concrete proposals, as explained in the main text of the policy plan on legal migration.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
        <w:gridCol w:w="923"/>
        <w:gridCol w:w="7142"/>
      </w:tblGrid>
      <w:tr w:rsidR="00000000" w:rsidRPr="00B2051C">
        <w:tc>
          <w:tcPr>
            <w:tcW w:w="1008" w:type="dxa"/>
          </w:tcPr>
          <w:p w:rsidR="000A522F" w:rsidRPr="00B2051C" w:rsidRDefault="000A522F">
            <w:pPr>
              <w:spacing w:before="240"/>
              <w:jc w:val="center"/>
              <w:rPr>
                <w:b/>
              </w:rPr>
            </w:pPr>
            <w:r w:rsidRPr="00B2051C">
              <w:rPr>
                <w:b/>
              </w:rPr>
              <w:t>Year</w:t>
            </w:r>
          </w:p>
        </w:tc>
        <w:tc>
          <w:tcPr>
            <w:tcW w:w="923" w:type="dxa"/>
          </w:tcPr>
          <w:p w:rsidR="000A522F" w:rsidRPr="00B2051C" w:rsidRDefault="000A522F">
            <w:pPr>
              <w:jc w:val="center"/>
              <w:rPr>
                <w:b/>
              </w:rPr>
            </w:pPr>
            <w:r w:rsidRPr="00B2051C">
              <w:rPr>
                <w:b/>
              </w:rPr>
              <w:t>Policy Plan section</w:t>
            </w:r>
          </w:p>
        </w:tc>
        <w:tc>
          <w:tcPr>
            <w:tcW w:w="7357" w:type="dxa"/>
          </w:tcPr>
          <w:p w:rsidR="000A522F" w:rsidRPr="00B2051C" w:rsidRDefault="000A522F">
            <w:pPr>
              <w:spacing w:before="240"/>
              <w:jc w:val="center"/>
              <w:rPr>
                <w:b/>
              </w:rPr>
            </w:pPr>
            <w:r w:rsidRPr="00B2051C">
              <w:rPr>
                <w:b/>
              </w:rPr>
              <w:t>Actions envisaged</w:t>
            </w:r>
          </w:p>
        </w:tc>
      </w:tr>
      <w:tr w:rsidR="00000000" w:rsidRPr="00B2051C">
        <w:trPr>
          <w:cantSplit/>
        </w:trPr>
        <w:tc>
          <w:tcPr>
            <w:tcW w:w="1008" w:type="dxa"/>
            <w:vMerge w:val="restart"/>
          </w:tcPr>
          <w:p w:rsidR="000A522F" w:rsidRPr="00B2051C" w:rsidRDefault="000A522F">
            <w:pPr>
              <w:spacing w:beforeLines="60" w:before="144" w:afterLines="60" w:after="144"/>
              <w:jc w:val="center"/>
            </w:pPr>
            <w:r w:rsidRPr="00B2051C">
              <w:t>2006</w:t>
            </w:r>
          </w:p>
        </w:tc>
        <w:tc>
          <w:tcPr>
            <w:tcW w:w="923" w:type="dxa"/>
          </w:tcPr>
          <w:p w:rsidR="000A522F" w:rsidRPr="00B2051C" w:rsidRDefault="000A522F">
            <w:pPr>
              <w:spacing w:beforeLines="60" w:before="144" w:afterLines="60" w:after="144"/>
              <w:jc w:val="center"/>
            </w:pPr>
            <w:r w:rsidRPr="00B2051C">
              <w:t>2.</w:t>
            </w:r>
          </w:p>
        </w:tc>
        <w:tc>
          <w:tcPr>
            <w:tcW w:w="7357" w:type="dxa"/>
          </w:tcPr>
          <w:p w:rsidR="000A522F" w:rsidRPr="00B2051C" w:rsidRDefault="000A522F">
            <w:pPr>
              <w:spacing w:beforeLines="60" w:before="144" w:afterLines="60" w:after="144"/>
            </w:pPr>
            <w:r w:rsidRPr="00B2051C">
              <w:t>Discussion with and consultation of the relevant experts (from Member States, the other EU institutions and international organisations , social partners, civil society, etc) in preparation of the possible legislative instruments for the entry and residence of third-country nationals (will continue throughout the 2006-2009 period).</w:t>
            </w:r>
          </w:p>
        </w:tc>
      </w:tr>
      <w:tr w:rsidR="00000000" w:rsidRPr="00B2051C">
        <w:trPr>
          <w:cantSplit/>
        </w:trPr>
        <w:tc>
          <w:tcPr>
            <w:tcW w:w="1008" w:type="dxa"/>
            <w:vMerge/>
          </w:tcPr>
          <w:p w:rsidR="000A522F" w:rsidRPr="00B2051C" w:rsidRDefault="000A522F">
            <w:pPr>
              <w:spacing w:beforeLines="60" w:before="144" w:afterLines="60" w:after="144"/>
              <w:jc w:val="center"/>
            </w:pPr>
          </w:p>
        </w:tc>
        <w:tc>
          <w:tcPr>
            <w:tcW w:w="923" w:type="dxa"/>
          </w:tcPr>
          <w:p w:rsidR="000A522F" w:rsidRPr="00B2051C" w:rsidRDefault="000A522F">
            <w:pPr>
              <w:spacing w:beforeLines="60" w:before="144" w:afterLines="60" w:after="144"/>
              <w:jc w:val="center"/>
            </w:pPr>
            <w:r w:rsidRPr="00B2051C">
              <w:t>3.1.</w:t>
            </w:r>
          </w:p>
        </w:tc>
        <w:tc>
          <w:tcPr>
            <w:tcW w:w="7357" w:type="dxa"/>
          </w:tcPr>
          <w:p w:rsidR="000A522F" w:rsidRPr="00B2051C" w:rsidRDefault="000A522F">
            <w:pPr>
              <w:spacing w:beforeLines="60" w:before="144" w:afterLines="60" w:after="144"/>
            </w:pPr>
            <w:r w:rsidRPr="00B2051C">
              <w:t>- Research studies and dissemination of available results (will continue throughout the 2006-2009 period), in particular studies on job-seekers permits and on highly skilled schemes, including the creation of a possible EU green card system (for 2006);</w:t>
            </w:r>
          </w:p>
          <w:p w:rsidR="000A522F" w:rsidRPr="00B2051C" w:rsidRDefault="000A522F">
            <w:pPr>
              <w:spacing w:beforeLines="60" w:before="144" w:afterLines="60" w:after="144"/>
            </w:pPr>
            <w:r w:rsidRPr="00B2051C">
              <w:t>- Activities under the umbrella of the European Year of Workers Mobility</w:t>
            </w:r>
          </w:p>
          <w:p w:rsidR="000A522F" w:rsidRPr="00B2051C" w:rsidRDefault="000A522F">
            <w:pPr>
              <w:spacing w:beforeLines="60" w:before="144" w:afterLines="60" w:after="144"/>
            </w:pPr>
            <w:r w:rsidRPr="00B2051C">
              <w:t>- Feasibility analysis and possibly pilot phase of the EU migration portal.</w:t>
            </w:r>
          </w:p>
        </w:tc>
      </w:tr>
      <w:tr w:rsidR="00000000" w:rsidRPr="00B2051C">
        <w:trPr>
          <w:cantSplit/>
        </w:trPr>
        <w:tc>
          <w:tcPr>
            <w:tcW w:w="1008" w:type="dxa"/>
            <w:vMerge/>
          </w:tcPr>
          <w:p w:rsidR="000A522F" w:rsidRPr="00B2051C" w:rsidRDefault="000A522F">
            <w:pPr>
              <w:spacing w:beforeLines="60" w:before="144" w:afterLines="60" w:after="144"/>
              <w:jc w:val="center"/>
            </w:pPr>
          </w:p>
        </w:tc>
        <w:tc>
          <w:tcPr>
            <w:tcW w:w="923" w:type="dxa"/>
          </w:tcPr>
          <w:p w:rsidR="000A522F" w:rsidRPr="00B2051C" w:rsidRDefault="000A522F">
            <w:pPr>
              <w:spacing w:beforeLines="60" w:before="144" w:afterLines="60" w:after="144"/>
              <w:jc w:val="center"/>
            </w:pPr>
            <w:r w:rsidRPr="00B2051C">
              <w:t>3.2.</w:t>
            </w:r>
          </w:p>
        </w:tc>
        <w:tc>
          <w:tcPr>
            <w:tcW w:w="7357" w:type="dxa"/>
          </w:tcPr>
          <w:p w:rsidR="000A522F" w:rsidRPr="00B2051C" w:rsidRDefault="000A522F">
            <w:pPr>
              <w:spacing w:beforeLines="60" w:before="144" w:afterLines="60" w:after="144"/>
            </w:pPr>
            <w:r w:rsidRPr="00B2051C">
              <w:t>Development of the new EURES Guidelines</w:t>
            </w:r>
          </w:p>
        </w:tc>
      </w:tr>
      <w:tr w:rsidR="00000000" w:rsidRPr="00B2051C">
        <w:trPr>
          <w:cantSplit/>
        </w:trPr>
        <w:tc>
          <w:tcPr>
            <w:tcW w:w="1008" w:type="dxa"/>
            <w:vMerge/>
          </w:tcPr>
          <w:p w:rsidR="000A522F" w:rsidRPr="00B2051C" w:rsidRDefault="000A522F">
            <w:pPr>
              <w:spacing w:beforeLines="60" w:before="144" w:afterLines="60" w:after="144"/>
              <w:jc w:val="center"/>
            </w:pPr>
          </w:p>
        </w:tc>
        <w:tc>
          <w:tcPr>
            <w:tcW w:w="923" w:type="dxa"/>
          </w:tcPr>
          <w:p w:rsidR="000A522F" w:rsidRPr="00B2051C" w:rsidRDefault="000A522F">
            <w:pPr>
              <w:spacing w:beforeLines="60" w:before="144" w:afterLines="60" w:after="144"/>
              <w:jc w:val="center"/>
            </w:pPr>
            <w:r w:rsidRPr="00B2051C">
              <w:t>3.3.</w:t>
            </w:r>
          </w:p>
        </w:tc>
        <w:tc>
          <w:tcPr>
            <w:tcW w:w="7357" w:type="dxa"/>
          </w:tcPr>
          <w:p w:rsidR="000A522F" w:rsidRPr="00B2051C" w:rsidRDefault="000A522F">
            <w:pPr>
              <w:spacing w:beforeLines="60" w:before="144" w:afterLines="60" w:after="144"/>
            </w:pPr>
            <w:r w:rsidRPr="00B2051C">
              <w:t>- Analysis of the contributions to the Green Paper on the Future of the European Migration Network (EMN), adopted in 2005, and selected expert meeting (March 2006);</w:t>
            </w:r>
          </w:p>
          <w:p w:rsidR="000A522F" w:rsidRPr="00B2051C" w:rsidRDefault="000A522F">
            <w:pPr>
              <w:spacing w:beforeLines="60" w:before="144" w:afterLines="60" w:after="144"/>
            </w:pPr>
            <w:r w:rsidRPr="00B2051C">
              <w:t>- Depending on the outcome of the public consultation: decision on the future of EMN and, if it is to be maintained, adoption by the Commission of a proposal to provide a legal base for the network (second half of 2006).</w:t>
            </w:r>
          </w:p>
        </w:tc>
      </w:tr>
      <w:tr w:rsidR="00000000" w:rsidRPr="00B2051C">
        <w:trPr>
          <w:cantSplit/>
        </w:trPr>
        <w:tc>
          <w:tcPr>
            <w:tcW w:w="1008" w:type="dxa"/>
            <w:vMerge/>
          </w:tcPr>
          <w:p w:rsidR="000A522F" w:rsidRPr="00B2051C" w:rsidRDefault="000A522F">
            <w:pPr>
              <w:spacing w:beforeLines="60" w:before="144" w:afterLines="60" w:after="144"/>
              <w:jc w:val="center"/>
            </w:pPr>
          </w:p>
        </w:tc>
        <w:tc>
          <w:tcPr>
            <w:tcW w:w="923" w:type="dxa"/>
          </w:tcPr>
          <w:p w:rsidR="000A522F" w:rsidRPr="00B2051C" w:rsidRDefault="000A522F">
            <w:pPr>
              <w:spacing w:beforeLines="60" w:before="144" w:afterLines="60" w:after="144"/>
              <w:jc w:val="center"/>
            </w:pPr>
            <w:r w:rsidRPr="00B2051C">
              <w:t>4.</w:t>
            </w:r>
          </w:p>
        </w:tc>
        <w:tc>
          <w:tcPr>
            <w:tcW w:w="7357" w:type="dxa"/>
          </w:tcPr>
          <w:p w:rsidR="000A522F" w:rsidRPr="00B2051C" w:rsidRDefault="000A522F">
            <w:pPr>
              <w:spacing w:beforeLines="60" w:before="144" w:afterLines="60" w:after="144"/>
            </w:pPr>
            <w:r w:rsidRPr="00B2051C">
              <w:t>- Implementation of measures for integration via the ESF (will continue throughout the 2006-2009 period);</w:t>
            </w:r>
          </w:p>
          <w:p w:rsidR="000A522F" w:rsidRPr="00B2051C" w:rsidRDefault="000A522F">
            <w:pPr>
              <w:spacing w:beforeLines="60" w:before="144" w:afterLines="60" w:after="144"/>
            </w:pPr>
            <w:r w:rsidRPr="00B2051C">
              <w:t>- Annual call for proposals for preparatory actions for integration of third-country nationals INTI. INTI should be followed by the European Fund for the Integration of third-country nationals proposed by the Commission under the financial perspectives 2007-2013;</w:t>
            </w:r>
          </w:p>
          <w:p w:rsidR="000A522F" w:rsidRPr="00B2051C" w:rsidRDefault="000A522F">
            <w:pPr>
              <w:spacing w:beforeLines="60" w:before="144" w:afterLines="60" w:after="144"/>
            </w:pPr>
            <w:r w:rsidRPr="00B2051C">
              <w:t>- Handbook on integration for policy-makers and practitioners – second edition, covering also integration in the labour market;</w:t>
            </w:r>
          </w:p>
          <w:p w:rsidR="000A522F" w:rsidRPr="00B2051C" w:rsidRDefault="000A522F">
            <w:pPr>
              <w:spacing w:beforeLines="60" w:before="144" w:afterLines="60" w:after="144"/>
            </w:pPr>
            <w:r w:rsidRPr="00B2051C">
              <w:t>- Integration website: pilot phase. It will also contain best practice in the area of integration in the labour market.</w:t>
            </w:r>
          </w:p>
        </w:tc>
      </w:tr>
      <w:tr w:rsidR="00000000" w:rsidRPr="00B2051C">
        <w:trPr>
          <w:cantSplit/>
        </w:trPr>
        <w:tc>
          <w:tcPr>
            <w:tcW w:w="1008" w:type="dxa"/>
            <w:vMerge/>
          </w:tcPr>
          <w:p w:rsidR="000A522F" w:rsidRPr="00B2051C" w:rsidRDefault="000A522F">
            <w:pPr>
              <w:spacing w:beforeLines="60" w:before="144" w:afterLines="60" w:after="144"/>
              <w:jc w:val="center"/>
            </w:pPr>
          </w:p>
        </w:tc>
        <w:tc>
          <w:tcPr>
            <w:tcW w:w="923" w:type="dxa"/>
          </w:tcPr>
          <w:p w:rsidR="000A522F" w:rsidRPr="00B2051C" w:rsidRDefault="000A522F">
            <w:pPr>
              <w:spacing w:beforeLines="60" w:before="144" w:afterLines="60" w:after="144"/>
              <w:jc w:val="center"/>
            </w:pPr>
            <w:r w:rsidRPr="00B2051C">
              <w:t>5.</w:t>
            </w:r>
          </w:p>
        </w:tc>
        <w:tc>
          <w:tcPr>
            <w:tcW w:w="7357" w:type="dxa"/>
          </w:tcPr>
          <w:p w:rsidR="000A522F" w:rsidRPr="00B2051C" w:rsidRDefault="000A522F">
            <w:pPr>
              <w:spacing w:beforeLines="60" w:before="144" w:afterLines="60" w:after="144"/>
            </w:pPr>
            <w:r w:rsidRPr="00B2051C">
              <w:t>- With a view to foster and facilitate circular migration, analysis of the transposition and implementation in particular of Art. 9 of Council directive 2003/109/EC (long-term residents) by the Member States (to be continued in 2007);</w:t>
            </w:r>
          </w:p>
          <w:p w:rsidR="000A522F" w:rsidRPr="00B2051C" w:rsidRDefault="000A522F">
            <w:pPr>
              <w:spacing w:beforeLines="60" w:before="144" w:afterLines="60" w:after="144"/>
            </w:pPr>
            <w:r w:rsidRPr="00B2051C">
              <w:t>- Feasibility studies on long-term multi-entry visas and on how to effectively implement circular migration.</w:t>
            </w:r>
          </w:p>
          <w:p w:rsidR="000A522F" w:rsidRPr="00B2051C" w:rsidRDefault="000A522F">
            <w:pPr>
              <w:spacing w:beforeLines="60" w:before="144" w:afterLines="60" w:after="144"/>
            </w:pPr>
            <w:r w:rsidRPr="00B2051C">
              <w:t>- Availability of financial support under EU financial instruments for pilot projects for the creation of training structures in the countries of origin (from 2006).</w:t>
            </w:r>
          </w:p>
        </w:tc>
      </w:tr>
      <w:tr w:rsidR="00000000" w:rsidRPr="00B2051C">
        <w:trPr>
          <w:cantSplit/>
        </w:trPr>
        <w:tc>
          <w:tcPr>
            <w:tcW w:w="1008" w:type="dxa"/>
            <w:vMerge w:val="restart"/>
          </w:tcPr>
          <w:p w:rsidR="000A522F" w:rsidRPr="00B2051C" w:rsidRDefault="000A522F">
            <w:pPr>
              <w:spacing w:beforeLines="60" w:before="144" w:afterLines="60" w:after="144"/>
              <w:jc w:val="center"/>
            </w:pPr>
            <w:r w:rsidRPr="00B2051C">
              <w:t>2007</w:t>
            </w:r>
          </w:p>
        </w:tc>
        <w:tc>
          <w:tcPr>
            <w:tcW w:w="923" w:type="dxa"/>
          </w:tcPr>
          <w:p w:rsidR="000A522F" w:rsidRPr="00B2051C" w:rsidRDefault="000A522F">
            <w:pPr>
              <w:spacing w:beforeLines="60" w:before="144" w:afterLines="60" w:after="144"/>
              <w:jc w:val="center"/>
            </w:pPr>
            <w:r w:rsidRPr="00B2051C">
              <w:t>2.1.</w:t>
            </w:r>
          </w:p>
          <w:p w:rsidR="000A522F" w:rsidRPr="00B2051C" w:rsidRDefault="000A522F">
            <w:pPr>
              <w:spacing w:beforeLines="60" w:before="144" w:afterLines="60" w:after="144"/>
              <w:jc w:val="center"/>
            </w:pPr>
            <w:r w:rsidRPr="00B2051C">
              <w:t>2.2.1.</w:t>
            </w:r>
          </w:p>
        </w:tc>
        <w:tc>
          <w:tcPr>
            <w:tcW w:w="7357" w:type="dxa"/>
          </w:tcPr>
          <w:p w:rsidR="000A522F" w:rsidRPr="00B2051C" w:rsidRDefault="000A522F">
            <w:pPr>
              <w:spacing w:beforeLines="60" w:before="144" w:afterLines="60" w:after="144"/>
            </w:pPr>
            <w:r w:rsidRPr="00B2051C">
              <w:t>- Presentation by the Commission of proposals for the framework directive and for the directive on the conditions of entry and residence of highly skilled workers (negotiations in Council will start in 2007 and, if necessary, continue in 2008).</w:t>
            </w:r>
          </w:p>
        </w:tc>
      </w:tr>
      <w:tr w:rsidR="00000000" w:rsidRPr="00B2051C">
        <w:trPr>
          <w:cantSplit/>
        </w:trPr>
        <w:tc>
          <w:tcPr>
            <w:tcW w:w="1008" w:type="dxa"/>
            <w:vMerge/>
          </w:tcPr>
          <w:p w:rsidR="000A522F" w:rsidRPr="00B2051C" w:rsidRDefault="000A522F">
            <w:pPr>
              <w:spacing w:beforeLines="60" w:before="144" w:afterLines="60" w:after="144"/>
              <w:jc w:val="center"/>
            </w:pPr>
          </w:p>
        </w:tc>
        <w:tc>
          <w:tcPr>
            <w:tcW w:w="923" w:type="dxa"/>
          </w:tcPr>
          <w:p w:rsidR="000A522F" w:rsidRPr="00B2051C" w:rsidRDefault="000A522F">
            <w:pPr>
              <w:spacing w:beforeLines="60" w:before="144" w:afterLines="60" w:after="144"/>
              <w:jc w:val="center"/>
            </w:pPr>
            <w:r w:rsidRPr="00B2051C">
              <w:t>2.3.</w:t>
            </w:r>
          </w:p>
        </w:tc>
        <w:tc>
          <w:tcPr>
            <w:tcW w:w="7357" w:type="dxa"/>
          </w:tcPr>
          <w:p w:rsidR="000A522F" w:rsidRPr="00B2051C" w:rsidRDefault="000A522F">
            <w:pPr>
              <w:spacing w:beforeLines="60" w:before="144" w:afterLines="60" w:after="144"/>
            </w:pPr>
            <w:r w:rsidRPr="00B2051C">
              <w:t>Starting a process of reflection on the revision of existing directives based on the actual implementation by the Member States, including discussion with the relevant stakeholders (will be carried out throughout the period according to the transposition date of the different measures).</w:t>
            </w:r>
          </w:p>
        </w:tc>
      </w:tr>
      <w:tr w:rsidR="00000000" w:rsidRPr="00B2051C">
        <w:trPr>
          <w:cantSplit/>
        </w:trPr>
        <w:tc>
          <w:tcPr>
            <w:tcW w:w="1008" w:type="dxa"/>
            <w:vMerge/>
          </w:tcPr>
          <w:p w:rsidR="000A522F" w:rsidRPr="00B2051C" w:rsidRDefault="000A522F">
            <w:pPr>
              <w:spacing w:beforeLines="60" w:before="144" w:afterLines="60" w:after="144"/>
              <w:jc w:val="center"/>
            </w:pPr>
          </w:p>
        </w:tc>
        <w:tc>
          <w:tcPr>
            <w:tcW w:w="923" w:type="dxa"/>
          </w:tcPr>
          <w:p w:rsidR="000A522F" w:rsidRPr="00B2051C" w:rsidRDefault="000A522F">
            <w:pPr>
              <w:spacing w:beforeLines="60" w:before="144" w:afterLines="60" w:after="144"/>
              <w:jc w:val="center"/>
            </w:pPr>
            <w:r w:rsidRPr="00B2051C">
              <w:t>3.1.</w:t>
            </w:r>
          </w:p>
        </w:tc>
        <w:tc>
          <w:tcPr>
            <w:tcW w:w="7357" w:type="dxa"/>
          </w:tcPr>
          <w:p w:rsidR="000A522F" w:rsidRPr="00B2051C" w:rsidRDefault="000A522F">
            <w:pPr>
              <w:spacing w:beforeLines="60" w:before="144" w:afterLines="60" w:after="144"/>
            </w:pPr>
            <w:r w:rsidRPr="00B2051C">
              <w:t>- Activities under the umbrella of the European Year of Equal Opportunities;</w:t>
            </w:r>
          </w:p>
          <w:p w:rsidR="000A522F" w:rsidRPr="00B2051C" w:rsidRDefault="000A522F">
            <w:pPr>
              <w:spacing w:beforeLines="60" w:before="144" w:afterLines="60" w:after="144"/>
            </w:pPr>
            <w:r w:rsidRPr="00B2051C">
              <w:t>- Launch of information campaigns explaining the EU policies on immigration (continuation in the following years);</w:t>
            </w:r>
          </w:p>
          <w:p w:rsidR="000A522F" w:rsidRPr="00B2051C" w:rsidRDefault="000A522F">
            <w:pPr>
              <w:spacing w:beforeLines="60" w:before="144" w:afterLines="60" w:after="144"/>
            </w:pPr>
            <w:r w:rsidRPr="00B2051C">
              <w:t>Setting-up of an operational EU migration portal (end of 2007).</w:t>
            </w:r>
          </w:p>
        </w:tc>
      </w:tr>
      <w:tr w:rsidR="00000000" w:rsidRPr="00B2051C">
        <w:trPr>
          <w:cantSplit/>
        </w:trPr>
        <w:tc>
          <w:tcPr>
            <w:tcW w:w="1008" w:type="dxa"/>
            <w:vMerge/>
          </w:tcPr>
          <w:p w:rsidR="000A522F" w:rsidRPr="00B2051C" w:rsidRDefault="000A522F">
            <w:pPr>
              <w:spacing w:beforeLines="60" w:before="144" w:afterLines="60" w:after="144"/>
              <w:jc w:val="center"/>
            </w:pPr>
          </w:p>
        </w:tc>
        <w:tc>
          <w:tcPr>
            <w:tcW w:w="923" w:type="dxa"/>
          </w:tcPr>
          <w:p w:rsidR="000A522F" w:rsidRPr="00B2051C" w:rsidRDefault="000A522F">
            <w:pPr>
              <w:spacing w:beforeLines="60" w:before="144" w:afterLines="60" w:after="144"/>
              <w:jc w:val="center"/>
            </w:pPr>
            <w:r w:rsidRPr="00B2051C">
              <w:t>3.2.</w:t>
            </w:r>
          </w:p>
        </w:tc>
        <w:tc>
          <w:tcPr>
            <w:tcW w:w="7357" w:type="dxa"/>
          </w:tcPr>
          <w:p w:rsidR="000A522F" w:rsidRPr="00B2051C" w:rsidRDefault="000A522F">
            <w:pPr>
              <w:spacing w:beforeLines="60" w:before="144" w:afterLines="60" w:after="144"/>
            </w:pPr>
            <w:r w:rsidRPr="00B2051C">
              <w:t>- Adaptation of the EURES portal.</w:t>
            </w:r>
          </w:p>
        </w:tc>
      </w:tr>
      <w:tr w:rsidR="00000000" w:rsidRPr="00B2051C">
        <w:trPr>
          <w:cantSplit/>
        </w:trPr>
        <w:tc>
          <w:tcPr>
            <w:tcW w:w="1008" w:type="dxa"/>
            <w:vMerge/>
          </w:tcPr>
          <w:p w:rsidR="000A522F" w:rsidRPr="00B2051C" w:rsidRDefault="000A522F">
            <w:pPr>
              <w:spacing w:beforeLines="60" w:before="144" w:afterLines="60" w:after="144"/>
              <w:jc w:val="center"/>
            </w:pPr>
          </w:p>
        </w:tc>
        <w:tc>
          <w:tcPr>
            <w:tcW w:w="923" w:type="dxa"/>
          </w:tcPr>
          <w:p w:rsidR="000A522F" w:rsidRPr="00B2051C" w:rsidRDefault="000A522F">
            <w:pPr>
              <w:spacing w:beforeLines="60" w:before="144" w:afterLines="60" w:after="144"/>
              <w:jc w:val="center"/>
            </w:pPr>
            <w:r w:rsidRPr="00B2051C">
              <w:t>3.3.</w:t>
            </w:r>
          </w:p>
        </w:tc>
        <w:tc>
          <w:tcPr>
            <w:tcW w:w="7357" w:type="dxa"/>
          </w:tcPr>
          <w:p w:rsidR="000A522F" w:rsidRPr="00B2051C" w:rsidRDefault="000A522F">
            <w:pPr>
              <w:spacing w:beforeLines="60" w:before="144" w:afterLines="60" w:after="144"/>
            </w:pPr>
            <w:r w:rsidRPr="00B2051C">
              <w:t>- Depending on the outcome of 2006 consultation: start-up of 'new' EMN, i.e. with legal basis and new structure resulting from the Green Paper consultation and legal basis procedure, definition of longer term priorities (for next two years) and further consolidation and active incorporation of representatives from all the Member States.</w:t>
            </w:r>
          </w:p>
        </w:tc>
      </w:tr>
      <w:tr w:rsidR="00000000" w:rsidRPr="00B2051C">
        <w:trPr>
          <w:cantSplit/>
        </w:trPr>
        <w:tc>
          <w:tcPr>
            <w:tcW w:w="1008" w:type="dxa"/>
            <w:vMerge/>
          </w:tcPr>
          <w:p w:rsidR="000A522F" w:rsidRPr="00B2051C" w:rsidRDefault="000A522F">
            <w:pPr>
              <w:spacing w:beforeLines="60" w:before="144" w:afterLines="60" w:after="144"/>
              <w:jc w:val="center"/>
            </w:pPr>
          </w:p>
        </w:tc>
        <w:tc>
          <w:tcPr>
            <w:tcW w:w="923" w:type="dxa"/>
          </w:tcPr>
          <w:p w:rsidR="000A522F" w:rsidRPr="00B2051C" w:rsidRDefault="000A522F">
            <w:pPr>
              <w:spacing w:beforeLines="60" w:before="144" w:afterLines="60" w:after="144"/>
              <w:jc w:val="center"/>
            </w:pPr>
            <w:r w:rsidRPr="00B2051C">
              <w:t>4.</w:t>
            </w:r>
          </w:p>
        </w:tc>
        <w:tc>
          <w:tcPr>
            <w:tcW w:w="7357" w:type="dxa"/>
          </w:tcPr>
          <w:p w:rsidR="000A522F" w:rsidRPr="00B2051C" w:rsidRDefault="000A522F">
            <w:pPr>
              <w:spacing w:beforeLines="60" w:before="144" w:afterLines="60" w:after="144"/>
            </w:pPr>
            <w:r w:rsidRPr="00B2051C">
              <w:t>European Integration Forum to bring together a range of stakeholders at EU level, including social partners and local authorities.</w:t>
            </w:r>
          </w:p>
        </w:tc>
      </w:tr>
      <w:tr w:rsidR="00000000" w:rsidRPr="00B2051C">
        <w:trPr>
          <w:cantSplit/>
        </w:trPr>
        <w:tc>
          <w:tcPr>
            <w:tcW w:w="1008" w:type="dxa"/>
            <w:vMerge/>
          </w:tcPr>
          <w:p w:rsidR="000A522F" w:rsidRPr="00B2051C" w:rsidRDefault="000A522F">
            <w:pPr>
              <w:spacing w:beforeLines="60" w:before="144" w:afterLines="60" w:after="144"/>
              <w:jc w:val="center"/>
            </w:pPr>
          </w:p>
        </w:tc>
        <w:tc>
          <w:tcPr>
            <w:tcW w:w="923" w:type="dxa"/>
          </w:tcPr>
          <w:p w:rsidR="000A522F" w:rsidRPr="00B2051C" w:rsidRDefault="000A522F">
            <w:pPr>
              <w:spacing w:beforeLines="60" w:before="144" w:afterLines="60" w:after="144"/>
              <w:jc w:val="center"/>
            </w:pPr>
            <w:r w:rsidRPr="00B2051C">
              <w:t>5.</w:t>
            </w:r>
          </w:p>
        </w:tc>
        <w:tc>
          <w:tcPr>
            <w:tcW w:w="7357" w:type="dxa"/>
          </w:tcPr>
          <w:p w:rsidR="000A522F" w:rsidRPr="00B2051C" w:rsidRDefault="000A522F">
            <w:pPr>
              <w:spacing w:beforeLines="60" w:before="144" w:afterLines="60" w:after="144"/>
            </w:pPr>
            <w:r w:rsidRPr="00B2051C">
              <w:t>- Feasibility of a system to monitor migration of skilled workers from developing countries to the EU with a view to identifying significant cases of brain drain;</w:t>
            </w:r>
          </w:p>
          <w:p w:rsidR="000A522F" w:rsidRPr="00B2051C" w:rsidRDefault="000A522F">
            <w:pPr>
              <w:spacing w:beforeLines="60" w:before="144" w:afterLines="60" w:after="144"/>
            </w:pPr>
            <w:r w:rsidRPr="00B2051C">
              <w:t>- Feasibility of workable temporary migration schemes, including incentives to foster the voluntary return of migrants;</w:t>
            </w:r>
          </w:p>
          <w:p w:rsidR="000A522F" w:rsidRPr="00B2051C" w:rsidRDefault="000A522F">
            <w:pPr>
              <w:spacing w:beforeLines="60" w:before="144" w:afterLines="60" w:after="144"/>
            </w:pPr>
            <w:r w:rsidRPr="00B2051C">
              <w:t>- Feasibility/opportunity analysis of the database of third-country nationals having left the EU at the end of their temporary residence/work permit (“returnees database”);</w:t>
            </w:r>
          </w:p>
          <w:p w:rsidR="000A522F" w:rsidRPr="00B2051C" w:rsidRDefault="000A522F">
            <w:pPr>
              <w:spacing w:beforeLines="60" w:before="144" w:afterLines="60" w:after="144"/>
            </w:pPr>
            <w:r w:rsidRPr="00B2051C">
              <w:t>- Conference with the Member States, third-countries and other relevant stakeholders on how to concretely encourage and develop brain circulation and return migration.</w:t>
            </w:r>
          </w:p>
        </w:tc>
      </w:tr>
      <w:tr w:rsidR="00000000" w:rsidRPr="00B2051C">
        <w:trPr>
          <w:cantSplit/>
        </w:trPr>
        <w:tc>
          <w:tcPr>
            <w:tcW w:w="1008" w:type="dxa"/>
            <w:vMerge w:val="restart"/>
          </w:tcPr>
          <w:p w:rsidR="000A522F" w:rsidRPr="00B2051C" w:rsidRDefault="000A522F">
            <w:pPr>
              <w:spacing w:beforeLines="60" w:before="144" w:afterLines="60" w:after="144"/>
              <w:jc w:val="center"/>
            </w:pPr>
            <w:r w:rsidRPr="00B2051C">
              <w:t>2008</w:t>
            </w:r>
          </w:p>
        </w:tc>
        <w:tc>
          <w:tcPr>
            <w:tcW w:w="923" w:type="dxa"/>
          </w:tcPr>
          <w:p w:rsidR="000A522F" w:rsidRPr="00B2051C" w:rsidRDefault="000A522F">
            <w:pPr>
              <w:spacing w:beforeLines="60" w:before="144" w:afterLines="60" w:after="144"/>
              <w:jc w:val="center"/>
            </w:pPr>
            <w:r w:rsidRPr="00B2051C">
              <w:t>2.2.2</w:t>
            </w:r>
          </w:p>
        </w:tc>
        <w:tc>
          <w:tcPr>
            <w:tcW w:w="7357" w:type="dxa"/>
          </w:tcPr>
          <w:p w:rsidR="000A522F" w:rsidRPr="00B2051C" w:rsidRDefault="000A522F">
            <w:pPr>
              <w:spacing w:beforeLines="60" w:before="144" w:afterLines="60" w:after="144"/>
            </w:pPr>
            <w:r w:rsidRPr="00B2051C">
              <w:t>- Presentation by the Commission of a proposal for a directive on the conditions of entry and residence of seasonal workers.</w:t>
            </w:r>
          </w:p>
        </w:tc>
      </w:tr>
      <w:tr w:rsidR="00000000" w:rsidRPr="00B2051C">
        <w:trPr>
          <w:cantSplit/>
        </w:trPr>
        <w:tc>
          <w:tcPr>
            <w:tcW w:w="1008" w:type="dxa"/>
            <w:vMerge/>
          </w:tcPr>
          <w:p w:rsidR="000A522F" w:rsidRPr="00B2051C" w:rsidRDefault="000A522F">
            <w:pPr>
              <w:spacing w:beforeLines="60" w:before="144" w:afterLines="60" w:after="144"/>
              <w:jc w:val="center"/>
            </w:pPr>
          </w:p>
        </w:tc>
        <w:tc>
          <w:tcPr>
            <w:tcW w:w="923" w:type="dxa"/>
          </w:tcPr>
          <w:p w:rsidR="000A522F" w:rsidRPr="00B2051C" w:rsidRDefault="000A522F">
            <w:pPr>
              <w:spacing w:beforeLines="60" w:before="144" w:afterLines="60" w:after="144"/>
              <w:jc w:val="center"/>
            </w:pPr>
            <w:r w:rsidRPr="00B2051C">
              <w:t>2.3.</w:t>
            </w:r>
          </w:p>
        </w:tc>
        <w:tc>
          <w:tcPr>
            <w:tcW w:w="7357" w:type="dxa"/>
          </w:tcPr>
          <w:p w:rsidR="000A522F" w:rsidRPr="00B2051C" w:rsidRDefault="000A522F">
            <w:pPr>
              <w:spacing w:beforeLines="60" w:before="144" w:afterLines="60" w:after="144"/>
            </w:pPr>
            <w:r w:rsidRPr="00B2051C">
              <w:t>Proposals for amendments of the existing directives, where necessary and based on the 2007 analysis and consultations (could continue in 2009 and after).</w:t>
            </w:r>
          </w:p>
        </w:tc>
      </w:tr>
      <w:tr w:rsidR="00000000" w:rsidRPr="00B2051C">
        <w:trPr>
          <w:cantSplit/>
        </w:trPr>
        <w:tc>
          <w:tcPr>
            <w:tcW w:w="1008" w:type="dxa"/>
            <w:vMerge/>
          </w:tcPr>
          <w:p w:rsidR="000A522F" w:rsidRPr="00B2051C" w:rsidRDefault="000A522F">
            <w:pPr>
              <w:spacing w:beforeLines="60" w:before="144" w:afterLines="60" w:after="144"/>
              <w:jc w:val="center"/>
            </w:pPr>
          </w:p>
        </w:tc>
        <w:tc>
          <w:tcPr>
            <w:tcW w:w="923" w:type="dxa"/>
          </w:tcPr>
          <w:p w:rsidR="000A522F" w:rsidRPr="00B2051C" w:rsidRDefault="000A522F">
            <w:pPr>
              <w:spacing w:beforeLines="60" w:before="144" w:afterLines="60" w:after="144"/>
              <w:jc w:val="center"/>
            </w:pPr>
            <w:r w:rsidRPr="00B2051C">
              <w:t>3.2.</w:t>
            </w:r>
          </w:p>
        </w:tc>
        <w:tc>
          <w:tcPr>
            <w:tcW w:w="7357" w:type="dxa"/>
          </w:tcPr>
          <w:p w:rsidR="000A522F" w:rsidRPr="00B2051C" w:rsidRDefault="000A522F">
            <w:pPr>
              <w:spacing w:beforeLines="60" w:before="144" w:afterLines="60" w:after="144"/>
            </w:pPr>
            <w:r w:rsidRPr="00B2051C">
              <w:t>Follow-up activities on the EURES portal.</w:t>
            </w:r>
          </w:p>
        </w:tc>
      </w:tr>
      <w:tr w:rsidR="00000000" w:rsidRPr="00B2051C">
        <w:trPr>
          <w:cantSplit/>
        </w:trPr>
        <w:tc>
          <w:tcPr>
            <w:tcW w:w="1008" w:type="dxa"/>
            <w:vMerge/>
          </w:tcPr>
          <w:p w:rsidR="000A522F" w:rsidRPr="00B2051C" w:rsidRDefault="000A522F">
            <w:pPr>
              <w:spacing w:beforeLines="60" w:before="144" w:afterLines="60" w:after="144"/>
              <w:jc w:val="center"/>
            </w:pPr>
          </w:p>
        </w:tc>
        <w:tc>
          <w:tcPr>
            <w:tcW w:w="923" w:type="dxa"/>
          </w:tcPr>
          <w:p w:rsidR="000A522F" w:rsidRPr="00B2051C" w:rsidRDefault="000A522F">
            <w:pPr>
              <w:spacing w:beforeLines="60" w:before="144" w:afterLines="60" w:after="144"/>
              <w:jc w:val="center"/>
            </w:pPr>
            <w:r w:rsidRPr="00B2051C">
              <w:t>4.</w:t>
            </w:r>
          </w:p>
        </w:tc>
        <w:tc>
          <w:tcPr>
            <w:tcW w:w="7357" w:type="dxa"/>
          </w:tcPr>
          <w:p w:rsidR="000A522F" w:rsidRPr="00B2051C" w:rsidRDefault="000A522F">
            <w:pPr>
              <w:spacing w:beforeLines="60" w:before="144" w:afterLines="60" w:after="144"/>
            </w:pPr>
            <w:r w:rsidRPr="00B2051C">
              <w:t>- Impact assessment on the implementation of measures to support integration via the ESF and, if necessary, via other Community instruments;</w:t>
            </w:r>
          </w:p>
        </w:tc>
      </w:tr>
      <w:tr w:rsidR="00000000" w:rsidRPr="00B2051C">
        <w:trPr>
          <w:cantSplit/>
        </w:trPr>
        <w:tc>
          <w:tcPr>
            <w:tcW w:w="1008" w:type="dxa"/>
            <w:vMerge/>
          </w:tcPr>
          <w:p w:rsidR="000A522F" w:rsidRPr="00B2051C" w:rsidRDefault="000A522F">
            <w:pPr>
              <w:spacing w:beforeLines="60" w:before="144" w:afterLines="60" w:after="144"/>
              <w:jc w:val="center"/>
            </w:pPr>
          </w:p>
        </w:tc>
        <w:tc>
          <w:tcPr>
            <w:tcW w:w="923" w:type="dxa"/>
          </w:tcPr>
          <w:p w:rsidR="000A522F" w:rsidRPr="00B2051C" w:rsidRDefault="000A522F">
            <w:pPr>
              <w:spacing w:beforeLines="60" w:before="144" w:afterLines="60" w:after="144"/>
              <w:jc w:val="center"/>
            </w:pPr>
            <w:r w:rsidRPr="00B2051C">
              <w:t>5.</w:t>
            </w:r>
          </w:p>
        </w:tc>
        <w:tc>
          <w:tcPr>
            <w:tcW w:w="7357" w:type="dxa"/>
          </w:tcPr>
          <w:p w:rsidR="000A522F" w:rsidRPr="00B2051C" w:rsidRDefault="000A522F">
            <w:pPr>
              <w:spacing w:beforeLines="60" w:before="144" w:afterLines="60" w:after="144"/>
            </w:pPr>
            <w:r w:rsidRPr="00B2051C">
              <w:t>- Setting up of a system to monitor migration of skilled workers from developing countries to the EU with a view to identifying significant cases of brain drain;</w:t>
            </w:r>
          </w:p>
          <w:p w:rsidR="000A522F" w:rsidRPr="00B2051C" w:rsidRDefault="000A522F">
            <w:pPr>
              <w:spacing w:beforeLines="60" w:before="144" w:afterLines="60" w:after="144"/>
            </w:pPr>
            <w:r w:rsidRPr="00B2051C">
              <w:t>- Based on the 2007 feasibility analysis, possible proposal for setting up the “returnees database”.</w:t>
            </w:r>
          </w:p>
        </w:tc>
      </w:tr>
      <w:tr w:rsidR="00000000" w:rsidRPr="00B2051C">
        <w:trPr>
          <w:cantSplit/>
        </w:trPr>
        <w:tc>
          <w:tcPr>
            <w:tcW w:w="1008" w:type="dxa"/>
            <w:vMerge w:val="restart"/>
          </w:tcPr>
          <w:p w:rsidR="000A522F" w:rsidRPr="00B2051C" w:rsidRDefault="000A522F">
            <w:pPr>
              <w:spacing w:beforeLines="60" w:before="144" w:afterLines="60" w:after="144"/>
              <w:jc w:val="center"/>
            </w:pPr>
            <w:r w:rsidRPr="00B2051C">
              <w:t>2009</w:t>
            </w:r>
          </w:p>
        </w:tc>
        <w:tc>
          <w:tcPr>
            <w:tcW w:w="923" w:type="dxa"/>
          </w:tcPr>
          <w:p w:rsidR="000A522F" w:rsidRPr="00B2051C" w:rsidRDefault="000A522F">
            <w:pPr>
              <w:spacing w:beforeLines="60" w:before="144" w:afterLines="60" w:after="144"/>
              <w:jc w:val="center"/>
            </w:pPr>
            <w:r w:rsidRPr="00B2051C">
              <w:t>2.2.3.</w:t>
            </w:r>
          </w:p>
          <w:p w:rsidR="000A522F" w:rsidRPr="00B2051C" w:rsidRDefault="000A522F">
            <w:pPr>
              <w:spacing w:beforeLines="60" w:before="144" w:afterLines="60" w:after="144"/>
              <w:jc w:val="center"/>
            </w:pPr>
            <w:r w:rsidRPr="00B2051C">
              <w:t>2.2.4</w:t>
            </w:r>
          </w:p>
        </w:tc>
        <w:tc>
          <w:tcPr>
            <w:tcW w:w="7357" w:type="dxa"/>
          </w:tcPr>
          <w:p w:rsidR="000A522F" w:rsidRPr="00B2051C" w:rsidRDefault="000A522F">
            <w:pPr>
              <w:spacing w:beforeLines="60" w:before="144" w:afterLines="60" w:after="144"/>
            </w:pPr>
            <w:r w:rsidRPr="00B2051C">
              <w:t>- Presentation by the Commission of two proposals for a directive on the procedures regulating the entry into, temporary stay and residence of intra-corporate transferees and on the conditions of entry and residence of remunerated trainees;</w:t>
            </w:r>
          </w:p>
        </w:tc>
      </w:tr>
      <w:tr w:rsidR="00000000" w:rsidRPr="00B2051C">
        <w:trPr>
          <w:cantSplit/>
        </w:trPr>
        <w:tc>
          <w:tcPr>
            <w:tcW w:w="1008" w:type="dxa"/>
            <w:vMerge/>
          </w:tcPr>
          <w:p w:rsidR="000A522F" w:rsidRPr="00B2051C" w:rsidRDefault="000A522F">
            <w:pPr>
              <w:spacing w:beforeLines="60" w:before="144" w:afterLines="60" w:after="144"/>
              <w:jc w:val="center"/>
            </w:pPr>
          </w:p>
        </w:tc>
        <w:tc>
          <w:tcPr>
            <w:tcW w:w="923" w:type="dxa"/>
          </w:tcPr>
          <w:p w:rsidR="000A522F" w:rsidRPr="00B2051C" w:rsidRDefault="000A522F">
            <w:pPr>
              <w:spacing w:beforeLines="60" w:before="144" w:afterLines="60" w:after="144"/>
              <w:jc w:val="center"/>
            </w:pPr>
            <w:r w:rsidRPr="00B2051C">
              <w:t>5.</w:t>
            </w:r>
          </w:p>
        </w:tc>
        <w:tc>
          <w:tcPr>
            <w:tcW w:w="7357" w:type="dxa"/>
          </w:tcPr>
          <w:p w:rsidR="000A522F" w:rsidRPr="00B2051C" w:rsidRDefault="000A522F">
            <w:pPr>
              <w:spacing w:beforeLines="60" w:before="144" w:afterLines="60" w:after="144"/>
            </w:pPr>
            <w:r w:rsidRPr="00B2051C">
              <w:t>- Based on preceding studies and feasibility analysis, possible presentation of proposals for concretely support circular and return migration.</w:t>
            </w:r>
          </w:p>
        </w:tc>
      </w:tr>
    </w:tbl>
    <w:p w:rsidR="000A522F" w:rsidRPr="00B2051C" w:rsidRDefault="000A522F">
      <w:pPr>
        <w:pStyle w:val="ManualNumPar1"/>
        <w:rPr>
          <w:b/>
        </w:rPr>
        <w:sectPr w:rsidR="00000000" w:rsidRPr="00B2051C">
          <w:pgSz w:w="11907" w:h="16839"/>
          <w:pgMar w:top="1134" w:right="1417" w:bottom="1134" w:left="1417" w:header="720" w:footer="720" w:gutter="0"/>
          <w:cols w:space="720"/>
          <w:docGrid w:linePitch="326"/>
        </w:sectPr>
      </w:pPr>
    </w:p>
    <w:p w:rsidR="000A522F" w:rsidRPr="00B2051C" w:rsidRDefault="000A522F">
      <w:pPr>
        <w:pStyle w:val="ManualNumPar1"/>
        <w:rPr>
          <w:b/>
        </w:rPr>
      </w:pPr>
      <w:r w:rsidRPr="00B2051C">
        <w:rPr>
          <w:b/>
        </w:rPr>
        <w:t>II.</w:t>
      </w:r>
      <w:r w:rsidRPr="00B2051C">
        <w:rPr>
          <w:b/>
        </w:rPr>
        <w:tab/>
        <w:t xml:space="preserve">Bibliography </w:t>
      </w:r>
    </w:p>
    <w:p w:rsidR="000A522F" w:rsidRPr="00B2051C" w:rsidRDefault="000A522F">
      <w:r w:rsidRPr="00B2051C">
        <w:t xml:space="preserve">The following bibliography contains the full reference of the documents and legislative instruments and proposals quoted in the Policy Plan, together with other documents which are considered of relevance for the issues discussed in the text. It must nevertheless not be considered as exhaustive of the literature/instruments existing in this field. </w:t>
      </w:r>
    </w:p>
    <w:p w:rsidR="000A522F" w:rsidRPr="00B2051C" w:rsidRDefault="000A522F">
      <w:pPr>
        <w:pStyle w:val="ManualNumPar1"/>
      </w:pPr>
      <w:r w:rsidRPr="00B2051C">
        <w:rPr>
          <w:i/>
        </w:rPr>
        <w:t>A.</w:t>
      </w:r>
      <w:r w:rsidRPr="00B2051C">
        <w:rPr>
          <w:i/>
        </w:rPr>
        <w:tab/>
      </w:r>
      <w:r w:rsidRPr="00B2051C">
        <w:rPr>
          <w:i/>
          <w:u w:val="single"/>
        </w:rPr>
        <w:t>Article 63 of the EC Treaty</w:t>
      </w:r>
      <w:r w:rsidRPr="00B2051C">
        <w:t>:</w:t>
      </w:r>
    </w:p>
    <w:p w:rsidR="000A522F" w:rsidRPr="00B2051C" w:rsidRDefault="000A522F">
      <w:r w:rsidRPr="00B2051C">
        <w:t>“The Council […] shall adopt:</w:t>
      </w:r>
    </w:p>
    <w:p w:rsidR="000A522F" w:rsidRPr="00B2051C" w:rsidRDefault="000A522F">
      <w:r w:rsidRPr="00B2051C">
        <w:t>[…]</w:t>
      </w:r>
    </w:p>
    <w:p w:rsidR="000A522F" w:rsidRPr="00B2051C" w:rsidRDefault="000A522F">
      <w:r w:rsidRPr="00B2051C">
        <w:t>3. measures on immigration policy within the following areas:</w:t>
      </w:r>
    </w:p>
    <w:p w:rsidR="000A522F" w:rsidRPr="00B2051C" w:rsidRDefault="000A522F">
      <w:r w:rsidRPr="00B2051C">
        <w:t>(a) conditions of entry and residence, and standards on procedures for the issue by Member States of long-term visas and residence permits, including those for the purpose of family reunion,</w:t>
      </w:r>
    </w:p>
    <w:p w:rsidR="000A522F" w:rsidRPr="00B2051C" w:rsidRDefault="000A522F">
      <w:r w:rsidRPr="00B2051C">
        <w:t>(b) illegal immigration and illegal residence, including repatriation of illegal residents;</w:t>
      </w:r>
    </w:p>
    <w:p w:rsidR="000A522F" w:rsidRPr="00B2051C" w:rsidRDefault="000A522F">
      <w:r w:rsidRPr="00B2051C">
        <w:t>4. measures defining the rights and conditions under which nationals of third countries who are legally resident in a Member State may reside in other Member States.</w:t>
      </w:r>
    </w:p>
    <w:p w:rsidR="000A522F" w:rsidRPr="00B2051C" w:rsidRDefault="000A522F">
      <w:r w:rsidRPr="00B2051C">
        <w:t>Measures adopted by the Council pursuant to points 3 and 4 shall not prevent any Member State from maintaining or introducing in the areas concerned national provisions which are compatible with this Treaty and with international agreements. […]”</w:t>
      </w:r>
    </w:p>
    <w:p w:rsidR="000A522F" w:rsidRPr="00B2051C" w:rsidRDefault="000A522F">
      <w:pPr>
        <w:pStyle w:val="ManualNumPar1"/>
        <w:rPr>
          <w:i/>
        </w:rPr>
      </w:pPr>
      <w:r w:rsidRPr="00B2051C">
        <w:rPr>
          <w:i/>
        </w:rPr>
        <w:t>B.</w:t>
      </w:r>
      <w:r w:rsidRPr="00B2051C">
        <w:rPr>
          <w:i/>
        </w:rPr>
        <w:tab/>
      </w:r>
      <w:r w:rsidRPr="00B2051C">
        <w:rPr>
          <w:i/>
          <w:u w:val="single"/>
        </w:rPr>
        <w:t>Legislative instruments and proposals</w:t>
      </w:r>
      <w:r w:rsidRPr="00B2051C">
        <w:rPr>
          <w:i/>
        </w:rPr>
        <w:t>:</w:t>
      </w:r>
    </w:p>
    <w:p w:rsidR="000A522F" w:rsidRPr="00B2051C" w:rsidRDefault="000A522F">
      <w:pPr>
        <w:pStyle w:val="Numreradlista"/>
      </w:pPr>
      <w:r w:rsidRPr="00B2051C">
        <w:t>Council Directive 2005/71/EC of 12 November 2005 on a specific procedure for admitting third-country nationals for purposes of scientific research;</w:t>
      </w:r>
    </w:p>
    <w:p w:rsidR="000A522F" w:rsidRPr="00B2051C" w:rsidRDefault="000A522F">
      <w:pPr>
        <w:pStyle w:val="Numreradlista"/>
      </w:pPr>
      <w:r w:rsidRPr="00B2051C">
        <w:t>Council Recommendation 2005/762/EC of 12 October 2005 to facilitate the admission of third-country nationals to carry out scientific research in the European Community;</w:t>
      </w:r>
    </w:p>
    <w:p w:rsidR="000A522F" w:rsidRPr="00B2051C" w:rsidRDefault="000A522F">
      <w:pPr>
        <w:pStyle w:val="Numreradlista"/>
      </w:pPr>
      <w:r w:rsidRPr="00B2051C">
        <w:t>Recommendation 2005/761/EC of the European Parliament and of the Council of 28 September 2005 to facilitate the issue by the Member States of uniform short-stay visas for researchers from third countries travelling within the Community for the purpose of carrying out scientific research;</w:t>
      </w:r>
    </w:p>
    <w:p w:rsidR="000A522F" w:rsidRPr="00B2051C" w:rsidRDefault="000A522F">
      <w:pPr>
        <w:pStyle w:val="Numreradlista"/>
      </w:pPr>
      <w:r w:rsidRPr="00B2051C">
        <w:t>Proposal for a Council Decision on the establishment of a mutual information procedure concerning Member States’ measures in the areas of asylum and immigration, COM(2005)480 final;</w:t>
      </w:r>
    </w:p>
    <w:p w:rsidR="000A522F" w:rsidRPr="00B2051C" w:rsidRDefault="000A522F">
      <w:pPr>
        <w:pStyle w:val="Numreradlista"/>
      </w:pPr>
      <w:r w:rsidRPr="00B2051C">
        <w:t>Proposal for a Regulation of the European Parliament and of the Council on Community statistics on migration and international protection, COM(2005)375 final;</w:t>
      </w:r>
    </w:p>
    <w:p w:rsidR="000A522F" w:rsidRPr="00B2051C" w:rsidRDefault="000A522F">
      <w:pPr>
        <w:pStyle w:val="Numreradlista"/>
      </w:pPr>
      <w:r w:rsidRPr="00B2051C">
        <w:t>Council Decision of 12 July 2005 on guidelines for the employment policies of the Member States, OJ L 205 of 06.08.2005 (New Lisbon Agenda).</w:t>
      </w:r>
    </w:p>
    <w:p w:rsidR="000A522F" w:rsidRPr="00B2051C" w:rsidRDefault="000A522F">
      <w:pPr>
        <w:pStyle w:val="Numreradlista"/>
      </w:pPr>
      <w:r w:rsidRPr="00B2051C">
        <w:t>Council Directive 2004/114/EC of 13 December 2004 on the conditions of admission of third-country nationals for the purposes of studies, pupil exchange, unremunerated training or voluntary service (applicable as of 12 January 2007);</w:t>
      </w:r>
    </w:p>
    <w:p w:rsidR="000A522F" w:rsidRPr="00B2051C" w:rsidRDefault="000A522F">
      <w:pPr>
        <w:pStyle w:val="Numreradlista"/>
      </w:pPr>
      <w:r w:rsidRPr="00B2051C">
        <w:t>Council Directive 2003/109/EC of 25 November 2003 concerning the status of third-country nationals who are long-term residents (applicable as of 26 January 2006)</w:t>
      </w:r>
    </w:p>
    <w:p w:rsidR="000A522F" w:rsidRPr="00B2051C" w:rsidRDefault="000A522F">
      <w:pPr>
        <w:pStyle w:val="Numreradlista"/>
      </w:pPr>
      <w:r w:rsidRPr="00B2051C">
        <w:t xml:space="preserve">Council Directive 2003/86/EC of 22 September 2003 on the right to family reunification (applicable as of 3 October 2005); </w:t>
      </w:r>
    </w:p>
    <w:p w:rsidR="000A522F" w:rsidRPr="00B2051C" w:rsidRDefault="000A522F">
      <w:pPr>
        <w:pStyle w:val="Numreradlista"/>
      </w:pPr>
      <w:r w:rsidRPr="00B2051C">
        <w:t>Council Regulation (EC) No 859/2003 of 14 May 2003 extending the provisions of Regulation (EEC) No 1408/71 and Regulation (EEC) No 574/72 to nationals of third countries who are not already covered by those provisions solely on the ground of their nationality;</w:t>
      </w:r>
    </w:p>
    <w:p w:rsidR="000A522F" w:rsidRPr="00B2051C" w:rsidRDefault="000A522F">
      <w:pPr>
        <w:pStyle w:val="Numreradlista"/>
      </w:pPr>
      <w:r w:rsidRPr="00B2051C">
        <w:t>Proposal for a Council Directive on the conditions of entry and residence of third-country nationals for the purpose of paid employment and self-employed economic activities (COM(2001)386);</w:t>
      </w:r>
    </w:p>
    <w:p w:rsidR="000A522F" w:rsidRPr="00B2051C" w:rsidRDefault="000A522F">
      <w:pPr>
        <w:pStyle w:val="Numreradlista"/>
      </w:pPr>
      <w:r w:rsidRPr="00B2051C">
        <w:t xml:space="preserve">Council Directive 2000/43/EC of 29 June 2000 implementing the principle of equal treatment between persons irrespective of racial or ethnic origin; </w:t>
      </w:r>
    </w:p>
    <w:p w:rsidR="000A522F" w:rsidRPr="00B2051C" w:rsidRDefault="000A522F">
      <w:pPr>
        <w:pStyle w:val="Numreradlista"/>
      </w:pPr>
      <w:r w:rsidRPr="00B2051C">
        <w:t xml:space="preserve">Council Directive 2000/78/EC of 27 November 2000 establishing a general framework for equal treatment in employment and occupation; </w:t>
      </w:r>
    </w:p>
    <w:p w:rsidR="000A522F" w:rsidRPr="00B2051C" w:rsidRDefault="000A522F">
      <w:pPr>
        <w:pStyle w:val="Numreradlista"/>
      </w:pPr>
      <w:r w:rsidRPr="00B2051C">
        <w:t>Council Resolution of 20 June 1994 on limitations on the admission of third-country nationals to the territory of the Member States for employment;</w:t>
      </w:r>
    </w:p>
    <w:p w:rsidR="000A522F" w:rsidRPr="00B2051C" w:rsidRDefault="000A522F">
      <w:pPr>
        <w:pStyle w:val="Numreradlista"/>
      </w:pPr>
      <w:r w:rsidRPr="00B2051C">
        <w:t>Council Resolution of 30 November 1994 relating to the limitations admission of third-country nationals to the territory of the Member States for the purpose of pursuing activities as self-employed persons;</w:t>
      </w:r>
    </w:p>
    <w:p w:rsidR="000A522F" w:rsidRPr="00B2051C" w:rsidRDefault="000A522F">
      <w:pPr>
        <w:pStyle w:val="Numreradlista"/>
      </w:pPr>
      <w:r w:rsidRPr="00B2051C">
        <w:t>Council Regulation (EEC) n°1612/1968 on freedom of movement for workers (in particular, article 19(2) for the “Community preference”).</w:t>
      </w:r>
    </w:p>
    <w:p w:rsidR="000A522F" w:rsidRPr="00B2051C" w:rsidRDefault="000A522F">
      <w:pPr>
        <w:pStyle w:val="ManualNumPar1"/>
        <w:rPr>
          <w:i/>
        </w:rPr>
      </w:pPr>
      <w:r w:rsidRPr="00B2051C">
        <w:rPr>
          <w:i/>
        </w:rPr>
        <w:t>C.</w:t>
      </w:r>
      <w:r w:rsidRPr="00B2051C">
        <w:rPr>
          <w:i/>
        </w:rPr>
        <w:tab/>
      </w:r>
      <w:r w:rsidRPr="00B2051C">
        <w:rPr>
          <w:i/>
          <w:u w:val="single"/>
        </w:rPr>
        <w:t>Commission Communications</w:t>
      </w:r>
      <w:r w:rsidRPr="00B2051C">
        <w:rPr>
          <w:i/>
        </w:rPr>
        <w:t>:</w:t>
      </w:r>
    </w:p>
    <w:p w:rsidR="000A522F" w:rsidRPr="00B2051C" w:rsidRDefault="000A522F">
      <w:pPr>
        <w:pStyle w:val="Numreradlista"/>
        <w:numPr>
          <w:ilvl w:val="0"/>
          <w:numId w:val="36"/>
        </w:numPr>
      </w:pPr>
      <w:r w:rsidRPr="00B2051C">
        <w:t xml:space="preserve">Communication from the Commission on </w:t>
      </w:r>
      <w:r w:rsidRPr="00B2051C">
        <w:rPr>
          <w:i/>
        </w:rPr>
        <w:t>EU/EC Strategy for Action on the Crisis in Human Resources for Health in Developing Countries</w:t>
      </w:r>
      <w:r w:rsidRPr="00B2051C">
        <w:t>, COM(2005)</w:t>
      </w:r>
      <w:r w:rsidRPr="00B2051C">
        <w:rPr>
          <w:rFonts w:ascii="Arial" w:hAnsi="Arial" w:cs="Arial"/>
          <w:sz w:val="20"/>
        </w:rPr>
        <w:t xml:space="preserve"> </w:t>
      </w:r>
      <w:r w:rsidRPr="00B2051C">
        <w:t>642;</w:t>
      </w:r>
    </w:p>
    <w:p w:rsidR="000A522F" w:rsidRPr="00B2051C" w:rsidRDefault="000A522F">
      <w:pPr>
        <w:pStyle w:val="Numreradlista"/>
        <w:numPr>
          <w:ilvl w:val="0"/>
          <w:numId w:val="36"/>
        </w:numPr>
      </w:pPr>
      <w:r w:rsidRPr="00B2051C">
        <w:t xml:space="preserve">Communication from the Commission on </w:t>
      </w:r>
      <w:r w:rsidRPr="00B2051C">
        <w:rPr>
          <w:i/>
        </w:rPr>
        <w:t>Priority actions for responding to the challenges of migration: first follow up to Hampton Court</w:t>
      </w:r>
      <w:r w:rsidRPr="00B2051C">
        <w:t>, COM(2005)621 final;</w:t>
      </w:r>
    </w:p>
    <w:p w:rsidR="000A522F" w:rsidRPr="00B2051C" w:rsidRDefault="000A522F">
      <w:pPr>
        <w:pStyle w:val="Numreradlista"/>
        <w:numPr>
          <w:ilvl w:val="0"/>
          <w:numId w:val="36"/>
        </w:numPr>
      </w:pPr>
      <w:r w:rsidRPr="00B2051C">
        <w:t xml:space="preserve">Green paper on </w:t>
      </w:r>
      <w:r w:rsidRPr="00B2051C">
        <w:rPr>
          <w:i/>
        </w:rPr>
        <w:t>The future of the European migration network</w:t>
      </w:r>
      <w:r w:rsidRPr="00B2051C">
        <w:t>, COM(2005)606 final;</w:t>
      </w:r>
    </w:p>
    <w:p w:rsidR="000A522F" w:rsidRPr="00B2051C" w:rsidRDefault="000A522F">
      <w:pPr>
        <w:pStyle w:val="Numreradlista"/>
        <w:numPr>
          <w:ilvl w:val="0"/>
          <w:numId w:val="36"/>
        </w:numPr>
      </w:pPr>
      <w:r w:rsidRPr="00B2051C">
        <w:t xml:space="preserve">Communication from the Commission on </w:t>
      </w:r>
      <w:r w:rsidRPr="00B2051C">
        <w:rPr>
          <w:i/>
        </w:rPr>
        <w:t>Improved effectiveness, enhanced interoperability and synergies among European databases in the area of Justice and Home Affairs</w:t>
      </w:r>
      <w:r w:rsidRPr="00B2051C">
        <w:t xml:space="preserve">, COM(2005)597 final; </w:t>
      </w:r>
    </w:p>
    <w:p w:rsidR="000A522F" w:rsidRPr="00B2051C" w:rsidRDefault="000A522F">
      <w:pPr>
        <w:pStyle w:val="Numreradlista"/>
        <w:numPr>
          <w:ilvl w:val="0"/>
          <w:numId w:val="36"/>
        </w:numPr>
      </w:pPr>
      <w:r w:rsidRPr="00B2051C">
        <w:t xml:space="preserve">Communication from the Commission on </w:t>
      </w:r>
      <w:r w:rsidRPr="00B2051C">
        <w:rPr>
          <w:i/>
        </w:rPr>
        <w:t>European values in the globalised world: Contribution of the Commission to the October Meeting of Heads of State and Government</w:t>
      </w:r>
      <w:r w:rsidRPr="00B2051C">
        <w:t xml:space="preserve">, COM(2005)525 final; </w:t>
      </w:r>
    </w:p>
    <w:p w:rsidR="000A522F" w:rsidRPr="00B2051C" w:rsidRDefault="000A522F">
      <w:pPr>
        <w:pStyle w:val="Numreradlista"/>
        <w:numPr>
          <w:ilvl w:val="0"/>
          <w:numId w:val="36"/>
        </w:numPr>
      </w:pPr>
      <w:r w:rsidRPr="00B2051C">
        <w:t xml:space="preserve">Communication from the Commission on </w:t>
      </w:r>
      <w:r w:rsidRPr="00B2051C">
        <w:rPr>
          <w:i/>
        </w:rPr>
        <w:t>A Common Agenda for Integration: Framework for the Integration of Third-Country Nationals in the European Union</w:t>
      </w:r>
      <w:r w:rsidRPr="00B2051C">
        <w:t>, COM (2005)389 final;</w:t>
      </w:r>
    </w:p>
    <w:p w:rsidR="000A522F" w:rsidRPr="00B2051C" w:rsidRDefault="000A522F">
      <w:pPr>
        <w:pStyle w:val="Numreradlista"/>
        <w:numPr>
          <w:ilvl w:val="0"/>
          <w:numId w:val="36"/>
        </w:numPr>
      </w:pPr>
      <w:r w:rsidRPr="00B2051C">
        <w:t xml:space="preserve">Communication from the Commission on </w:t>
      </w:r>
      <w:r w:rsidRPr="00B2051C">
        <w:rPr>
          <w:i/>
        </w:rPr>
        <w:t>Migration and Development: Some concrete orientations</w:t>
      </w:r>
      <w:r w:rsidRPr="00B2051C">
        <w:t>, COM (2005)390 final;</w:t>
      </w:r>
    </w:p>
    <w:p w:rsidR="000A522F" w:rsidRPr="00B2051C" w:rsidRDefault="000A522F">
      <w:pPr>
        <w:pStyle w:val="Numreradlista"/>
        <w:numPr>
          <w:ilvl w:val="0"/>
          <w:numId w:val="36"/>
        </w:numPr>
      </w:pPr>
      <w:r w:rsidRPr="00B2051C">
        <w:t xml:space="preserve">Green Paper on </w:t>
      </w:r>
      <w:r w:rsidRPr="00B2051C">
        <w:rPr>
          <w:i/>
        </w:rPr>
        <w:t>Confronting demographic change: a new solidarity between the generations</w:t>
      </w:r>
      <w:r w:rsidRPr="00B2051C">
        <w:t>, COM(2005)94 final;</w:t>
      </w:r>
    </w:p>
    <w:p w:rsidR="000A522F" w:rsidRPr="00B2051C" w:rsidRDefault="000A522F">
      <w:pPr>
        <w:pStyle w:val="Numreradlista"/>
        <w:numPr>
          <w:ilvl w:val="0"/>
          <w:numId w:val="36"/>
        </w:numPr>
      </w:pPr>
      <w:r w:rsidRPr="00B2051C">
        <w:t xml:space="preserve">Green Paper on </w:t>
      </w:r>
      <w:r w:rsidRPr="00B2051C">
        <w:rPr>
          <w:i/>
        </w:rPr>
        <w:t>An EU approach to managing economic migration</w:t>
      </w:r>
      <w:r w:rsidRPr="00B2051C">
        <w:t>, COM(2004)811 final;</w:t>
      </w:r>
    </w:p>
    <w:p w:rsidR="000A522F" w:rsidRPr="00B2051C" w:rsidRDefault="000A522F">
      <w:pPr>
        <w:pStyle w:val="Numreradlista"/>
        <w:numPr>
          <w:ilvl w:val="0"/>
          <w:numId w:val="36"/>
        </w:numPr>
      </w:pPr>
      <w:r w:rsidRPr="00B2051C">
        <w:t xml:space="preserve">Communication from the Commission </w:t>
      </w:r>
      <w:r w:rsidRPr="00B2051C">
        <w:rPr>
          <w:i/>
        </w:rPr>
        <w:t>Study on the links between legal and illegal immigration</w:t>
      </w:r>
      <w:r w:rsidRPr="00B2051C">
        <w:t>, COM (2004)412 final;</w:t>
      </w:r>
    </w:p>
    <w:p w:rsidR="000A522F" w:rsidRPr="00B2051C" w:rsidRDefault="000A522F">
      <w:pPr>
        <w:pStyle w:val="Numreradlista"/>
        <w:numPr>
          <w:ilvl w:val="0"/>
          <w:numId w:val="36"/>
        </w:numPr>
      </w:pPr>
      <w:r w:rsidRPr="00B2051C">
        <w:rPr>
          <w:i/>
        </w:rPr>
        <w:t>First Annual Report on Migration and Integration</w:t>
      </w:r>
      <w:r w:rsidRPr="00B2051C">
        <w:t>, COM(2004)508 final;</w:t>
      </w:r>
    </w:p>
    <w:p w:rsidR="000A522F" w:rsidRPr="00B2051C" w:rsidRDefault="000A522F">
      <w:pPr>
        <w:pStyle w:val="Numreradlista"/>
        <w:numPr>
          <w:ilvl w:val="0"/>
          <w:numId w:val="36"/>
        </w:numPr>
      </w:pPr>
      <w:r w:rsidRPr="00B2051C">
        <w:t xml:space="preserve">Communication from the Commission on </w:t>
      </w:r>
      <w:r w:rsidRPr="00B2051C">
        <w:rPr>
          <w:i/>
        </w:rPr>
        <w:t>Immigration, integration and employment</w:t>
      </w:r>
      <w:r w:rsidRPr="00B2051C">
        <w:t>, COM(2003)336 final;</w:t>
      </w:r>
    </w:p>
    <w:p w:rsidR="000A522F" w:rsidRPr="00B2051C" w:rsidRDefault="000A522F">
      <w:pPr>
        <w:pStyle w:val="Numreradlista"/>
        <w:numPr>
          <w:ilvl w:val="0"/>
          <w:numId w:val="36"/>
        </w:numPr>
      </w:pPr>
      <w:r w:rsidRPr="00B2051C">
        <w:t xml:space="preserve">Communication from the Commission on </w:t>
      </w:r>
      <w:r w:rsidRPr="00B2051C">
        <w:rPr>
          <w:i/>
        </w:rPr>
        <w:t>Integrating migration issues in the EU relations with third countries</w:t>
      </w:r>
      <w:r w:rsidRPr="00B2051C">
        <w:t>, COM(2002)703 final;</w:t>
      </w:r>
    </w:p>
    <w:p w:rsidR="000A522F" w:rsidRPr="00B2051C" w:rsidRDefault="000A522F">
      <w:pPr>
        <w:pStyle w:val="Numreradlista"/>
        <w:numPr>
          <w:ilvl w:val="0"/>
          <w:numId w:val="36"/>
        </w:numPr>
      </w:pPr>
      <w:r w:rsidRPr="00B2051C">
        <w:t xml:space="preserve">Communication from the Commission on </w:t>
      </w:r>
      <w:r w:rsidRPr="00B2051C">
        <w:rPr>
          <w:i/>
        </w:rPr>
        <w:t>A Community immigration policy</w:t>
      </w:r>
      <w:r w:rsidRPr="00B2051C">
        <w:t>, COM(2000)757 final;</w:t>
      </w:r>
    </w:p>
    <w:p w:rsidR="000A522F" w:rsidRPr="00B2051C" w:rsidRDefault="000A522F">
      <w:pPr>
        <w:pStyle w:val="ManualNumPar1"/>
        <w:rPr>
          <w:i/>
        </w:rPr>
      </w:pPr>
      <w:r w:rsidRPr="00B2051C">
        <w:rPr>
          <w:i/>
        </w:rPr>
        <w:t>D.</w:t>
      </w:r>
      <w:r w:rsidRPr="00B2051C">
        <w:rPr>
          <w:i/>
        </w:rPr>
        <w:tab/>
      </w:r>
      <w:r w:rsidRPr="00B2051C">
        <w:rPr>
          <w:i/>
          <w:u w:val="single"/>
        </w:rPr>
        <w:t>Eurostat publications and statistics</w:t>
      </w:r>
      <w:r w:rsidRPr="00B2051C">
        <w:rPr>
          <w:i/>
        </w:rPr>
        <w:t>:</w:t>
      </w:r>
    </w:p>
    <w:p w:rsidR="000A522F" w:rsidRPr="00B2051C" w:rsidRDefault="000A522F">
      <w:pPr>
        <w:pStyle w:val="Numreradlista"/>
        <w:numPr>
          <w:ilvl w:val="0"/>
          <w:numId w:val="36"/>
        </w:numPr>
      </w:pPr>
      <w:r w:rsidRPr="00B2051C">
        <w:t xml:space="preserve">Eurostat, Euro-indicators, news release, 141/2005 of 4 November 2005, </w:t>
      </w:r>
      <w:r w:rsidRPr="00B2051C">
        <w:rPr>
          <w:i/>
        </w:rPr>
        <w:t>Unemployment data of September 2005</w:t>
      </w:r>
      <w:r w:rsidRPr="00B2051C">
        <w:t xml:space="preserve"> (http://epp.eurostat.cec.eu.int/pls/portal/docs/PAGE/PGP_PRD_CAT_PREREL/PGE_CAT_PREREL_YEAR_2005/PGE_CAT_PREREL_YEAR_2005_MONTH_11/3-04112005-EN-BP.PDF).</w:t>
      </w:r>
    </w:p>
    <w:p w:rsidR="000A522F" w:rsidRPr="00B2051C" w:rsidRDefault="000A522F">
      <w:pPr>
        <w:pStyle w:val="Numreradlista"/>
        <w:numPr>
          <w:ilvl w:val="0"/>
          <w:numId w:val="36"/>
        </w:numPr>
      </w:pPr>
      <w:r w:rsidRPr="00B2051C">
        <w:t xml:space="preserve">Eurostat, Statistics in Focus, Population and Social Conditions, 15/2005, </w:t>
      </w:r>
      <w:r w:rsidRPr="00B2051C">
        <w:rPr>
          <w:i/>
        </w:rPr>
        <w:t>Population in Europe 2004 – First results</w:t>
      </w:r>
      <w:r w:rsidRPr="00B2051C">
        <w:t xml:space="preserve"> (</w:t>
      </w:r>
      <w:hyperlink r:id="rId20" w:history="1">
        <w:r w:rsidRPr="00B2051C">
          <w:rPr>
            <w:rStyle w:val="Hyperlnk"/>
            <w:color w:val="auto"/>
          </w:rPr>
          <w:t>http://epp.eurostat.cec.eu.int/ca</w:t>
        </w:r>
        <w:r w:rsidRPr="00B2051C">
          <w:rPr>
            <w:rStyle w:val="Hyperlnk"/>
            <w:color w:val="auto"/>
          </w:rPr>
          <w:t>c</w:t>
        </w:r>
        <w:r w:rsidRPr="00B2051C">
          <w:rPr>
            <w:rStyle w:val="Hyperlnk"/>
            <w:color w:val="auto"/>
          </w:rPr>
          <w:t>he/ITY_OFFPUB/KS-NK-05-015/EN/KS-NK-05-015-EN.PDF</w:t>
        </w:r>
      </w:hyperlink>
      <w:r w:rsidRPr="00B2051C">
        <w:t>).</w:t>
      </w:r>
    </w:p>
    <w:p w:rsidR="000A522F" w:rsidRPr="00B2051C" w:rsidRDefault="000A522F">
      <w:pPr>
        <w:pStyle w:val="Numreradlista"/>
        <w:numPr>
          <w:ilvl w:val="0"/>
          <w:numId w:val="36"/>
        </w:numPr>
      </w:pPr>
      <w:r w:rsidRPr="00B2051C">
        <w:t xml:space="preserve">Eurostat, news release, STAT/05/48 of 8 April 2005, </w:t>
      </w:r>
      <w:r w:rsidRPr="00B2051C">
        <w:rPr>
          <w:i/>
        </w:rPr>
        <w:t>Population projections 2004-2050</w:t>
      </w:r>
      <w:r w:rsidRPr="00B2051C">
        <w:t xml:space="preserve"> (</w:t>
      </w:r>
      <w:hyperlink r:id="rId21" w:history="1">
        <w:r w:rsidRPr="00B2051C">
          <w:rPr>
            <w:rStyle w:val="Hyperlnk"/>
            <w:color w:val="auto"/>
          </w:rPr>
          <w:t>http://epp.eurostat.cec.eu.int/pls/portal/docs/PAGE/PGP_PRD_CAT_PREREL/PGE_CAT_PREREL_YEAR_2005/PGE_CAT_PREREL_YEAR_2005_MONTH_04/3-08042005-EN-AP.PDF</w:t>
        </w:r>
      </w:hyperlink>
      <w:r w:rsidRPr="00B2051C">
        <w:t>).</w:t>
      </w:r>
    </w:p>
    <w:p w:rsidR="000A522F" w:rsidRPr="00B2051C" w:rsidRDefault="000A522F">
      <w:pPr>
        <w:pStyle w:val="ManualNumPar1"/>
        <w:rPr>
          <w:i/>
        </w:rPr>
      </w:pPr>
      <w:r w:rsidRPr="00B2051C">
        <w:rPr>
          <w:i/>
        </w:rPr>
        <w:t>E.</w:t>
      </w:r>
      <w:r w:rsidRPr="00B2051C">
        <w:rPr>
          <w:i/>
        </w:rPr>
        <w:tab/>
      </w:r>
      <w:r w:rsidRPr="00B2051C">
        <w:rPr>
          <w:i/>
          <w:u w:val="single"/>
        </w:rPr>
        <w:t>Studies and other documents</w:t>
      </w:r>
      <w:r w:rsidRPr="00B2051C">
        <w:rPr>
          <w:i/>
        </w:rPr>
        <w:t>:</w:t>
      </w:r>
    </w:p>
    <w:p w:rsidR="000A522F" w:rsidRPr="00B2051C" w:rsidRDefault="000A522F">
      <w:pPr>
        <w:pStyle w:val="Numreradlista"/>
        <w:numPr>
          <w:ilvl w:val="0"/>
          <w:numId w:val="36"/>
        </w:numPr>
      </w:pPr>
      <w:r w:rsidRPr="00B2051C">
        <w:t xml:space="preserve">Council Conclusions on </w:t>
      </w:r>
      <w:r w:rsidRPr="00B2051C">
        <w:rPr>
          <w:i/>
        </w:rPr>
        <w:t>A Common Agenda for Integration</w:t>
      </w:r>
      <w:r w:rsidRPr="00B2051C">
        <w:t>, Council Document 14390/05 of 1-2 December 2005;</w:t>
      </w:r>
    </w:p>
    <w:p w:rsidR="000A522F" w:rsidRPr="00B2051C" w:rsidRDefault="000A522F">
      <w:pPr>
        <w:pStyle w:val="Numreradlista"/>
        <w:numPr>
          <w:ilvl w:val="0"/>
          <w:numId w:val="36"/>
        </w:numPr>
      </w:pPr>
      <w:r w:rsidRPr="00B2051C">
        <w:t xml:space="preserve">European Commission, </w:t>
      </w:r>
      <w:r w:rsidRPr="00B2051C">
        <w:rPr>
          <w:i/>
        </w:rPr>
        <w:t>The 2005 EPC projections of age-related expenditure (2004-2050) for the EU-25 Member States: underlying assumptions and projection methodologies</w:t>
      </w:r>
      <w:r w:rsidRPr="00B2051C">
        <w:t>, European Economy Special Reports N°19, November 2005 (</w:t>
      </w:r>
      <w:hyperlink r:id="rId22" w:history="1">
        <w:r w:rsidRPr="00B2051C">
          <w:rPr>
            <w:rStyle w:val="Hyperlnk"/>
            <w:color w:val="auto"/>
          </w:rPr>
          <w:t>http://europa.eu.int/comm/economy_finance/publications/occasional_papers/2005/ocp19en.pdf</w:t>
        </w:r>
      </w:hyperlink>
      <w:r w:rsidRPr="00B2051C">
        <w:t>);</w:t>
      </w:r>
    </w:p>
    <w:p w:rsidR="000A522F" w:rsidRPr="00B2051C" w:rsidRDefault="000A522F">
      <w:pPr>
        <w:pStyle w:val="Numreradlista"/>
        <w:numPr>
          <w:ilvl w:val="0"/>
          <w:numId w:val="36"/>
        </w:numPr>
      </w:pPr>
      <w:r w:rsidRPr="00B2051C">
        <w:t xml:space="preserve">European Commission – European University Institute – CARIM, </w:t>
      </w:r>
      <w:r w:rsidRPr="00B2051C">
        <w:rPr>
          <w:i/>
        </w:rPr>
        <w:t>Mediterranean Migration – 2005 report</w:t>
      </w:r>
      <w:r w:rsidRPr="00B2051C">
        <w:t>, (http://www.carim.org/Publications/AR2005CARIM.pdf);</w:t>
      </w:r>
    </w:p>
    <w:p w:rsidR="000A522F" w:rsidRPr="00B2051C" w:rsidRDefault="000A522F">
      <w:pPr>
        <w:pStyle w:val="Numreradlista"/>
        <w:numPr>
          <w:ilvl w:val="0"/>
          <w:numId w:val="36"/>
        </w:numPr>
      </w:pPr>
      <w:r w:rsidRPr="00B2051C">
        <w:t xml:space="preserve">European Commission, DG Justice, Freedom and Security, </w:t>
      </w:r>
      <w:r w:rsidRPr="00B2051C">
        <w:rPr>
          <w:i/>
        </w:rPr>
        <w:t>Handbook on integration for policy makers and practitioners</w:t>
      </w:r>
      <w:r w:rsidRPr="00B2051C">
        <w:t xml:space="preserve">, November 2004, written by the Migration Policy Group, Brussels. The handbook can be downloaded from the following address: </w:t>
      </w:r>
      <w:hyperlink r:id="rId23" w:history="1">
        <w:r w:rsidRPr="00B2051C">
          <w:rPr>
            <w:rStyle w:val="Hyperlnk"/>
            <w:color w:val="auto"/>
          </w:rPr>
          <w:t>http://europa.eu.int/comm/justice_home/doc_centre/immigration/integration/doc/handbook_en.pdf</w:t>
        </w:r>
      </w:hyperlink>
      <w:r w:rsidRPr="00B2051C">
        <w:t>;</w:t>
      </w:r>
    </w:p>
    <w:p w:rsidR="000A522F" w:rsidRPr="00B2051C" w:rsidRDefault="000A522F">
      <w:pPr>
        <w:pStyle w:val="Numreradlista"/>
        <w:numPr>
          <w:ilvl w:val="0"/>
          <w:numId w:val="36"/>
        </w:numPr>
      </w:pPr>
      <w:r w:rsidRPr="00B2051C">
        <w:rPr>
          <w:i/>
        </w:rPr>
        <w:t>Common Basic Principles on integration</w:t>
      </w:r>
      <w:r w:rsidRPr="00B2051C">
        <w:t>, Council Document 14615/04 of 19 November 2004;</w:t>
      </w:r>
    </w:p>
    <w:p w:rsidR="000A522F" w:rsidRPr="00B2051C" w:rsidRDefault="000A522F">
      <w:pPr>
        <w:pStyle w:val="Numreradlista"/>
        <w:numPr>
          <w:ilvl w:val="0"/>
          <w:numId w:val="36"/>
        </w:numPr>
      </w:pPr>
      <w:r w:rsidRPr="00B2051C">
        <w:t xml:space="preserve">Studies on labour migration, Migration Research Group, Hamburg Institute for International Economics (HWWA), Germany; papers prepared for the European Commission, DG Employment and Social Affairs, June 2004, available at: </w:t>
      </w:r>
      <w:hyperlink r:id="rId24" w:history="1">
        <w:r w:rsidRPr="00B2051C">
          <w:rPr>
            <w:rStyle w:val="Hyperlnk"/>
            <w:color w:val="auto"/>
          </w:rPr>
          <w:t>http://europa</w:t>
        </w:r>
        <w:r w:rsidRPr="00B2051C">
          <w:rPr>
            <w:rStyle w:val="Hyperlnk"/>
            <w:color w:val="auto"/>
          </w:rPr>
          <w:t>.</w:t>
        </w:r>
        <w:r w:rsidRPr="00B2051C">
          <w:rPr>
            <w:rStyle w:val="Hyperlnk"/>
            <w:color w:val="auto"/>
          </w:rPr>
          <w:t>eu.int/comm/employment_social/employment_analysis/immigr_new_stud_en.htm</w:t>
        </w:r>
      </w:hyperlink>
      <w:r w:rsidRPr="00B2051C">
        <w:t>. The papers examine best practice regarding recruitment of labour migrants, projecting future labour needs and labour market integration in the European countries as well as in other industrialised countries. They were prepared by experts from the MRG, in cooperation with the Migration Policy Institute, Washington DC;</w:t>
      </w:r>
    </w:p>
    <w:p w:rsidR="000A522F" w:rsidRPr="00B2051C" w:rsidRDefault="000A522F">
      <w:pPr>
        <w:pStyle w:val="Numreradlista"/>
        <w:numPr>
          <w:ilvl w:val="0"/>
          <w:numId w:val="36"/>
        </w:numPr>
      </w:pPr>
      <w:r w:rsidRPr="00B2051C">
        <w:rPr>
          <w:i/>
        </w:rPr>
        <w:t>Admission of third-country nationals for paid employment or self-employed activity</w:t>
      </w:r>
      <w:r w:rsidRPr="00B2051C">
        <w:t>, European Commission, Directorate General for Justice and Home Affairs, 2001, ISBN 92-894-1689-0. The study, undertaken by Ecotec Research and Consulting Limited between November 1999 and May 2000, analysed and compared the legal and administrative frameworks in the EU-15 concerning the admission of third-country nationals to the EU Member States for the purposes of paid employment and self-employment.</w:t>
      </w:r>
    </w:p>
    <w:p w:rsidR="000A522F" w:rsidRPr="00B2051C" w:rsidRDefault="000A522F">
      <w:pPr>
        <w:pStyle w:val="ManualNumPar1"/>
        <w:rPr>
          <w:i/>
        </w:rPr>
      </w:pPr>
      <w:r w:rsidRPr="00B2051C">
        <w:rPr>
          <w:i/>
        </w:rPr>
        <w:t>D.</w:t>
      </w:r>
      <w:r w:rsidRPr="00B2051C">
        <w:rPr>
          <w:i/>
        </w:rPr>
        <w:tab/>
        <w:t>International organisations’ studies and documents:</w:t>
      </w:r>
    </w:p>
    <w:p w:rsidR="000A522F" w:rsidRPr="00B2051C" w:rsidRDefault="000A522F">
      <w:pPr>
        <w:pStyle w:val="Numreradlista"/>
        <w:numPr>
          <w:ilvl w:val="0"/>
          <w:numId w:val="36"/>
        </w:numPr>
      </w:pPr>
      <w:r w:rsidRPr="00B2051C">
        <w:t xml:space="preserve">Report of the Global Commission on International Migration, </w:t>
      </w:r>
      <w:r w:rsidRPr="00B2051C">
        <w:rPr>
          <w:i/>
        </w:rPr>
        <w:t>Migration in an interconnected world: New directions for action</w:t>
      </w:r>
      <w:r w:rsidRPr="00B2051C">
        <w:t>, November 2005 (</w:t>
      </w:r>
      <w:hyperlink r:id="rId25" w:history="1">
        <w:r w:rsidRPr="00B2051C">
          <w:rPr>
            <w:rStyle w:val="Hyperlnk"/>
            <w:color w:val="auto"/>
          </w:rPr>
          <w:t>www.gcim.org</w:t>
        </w:r>
      </w:hyperlink>
      <w:r w:rsidRPr="00B2051C">
        <w:t>);</w:t>
      </w:r>
    </w:p>
    <w:p w:rsidR="000A522F" w:rsidRPr="00B2051C" w:rsidRDefault="000A522F">
      <w:pPr>
        <w:pStyle w:val="Numreradlista"/>
        <w:numPr>
          <w:ilvl w:val="0"/>
          <w:numId w:val="36"/>
        </w:numPr>
      </w:pPr>
      <w:r w:rsidRPr="00B2051C">
        <w:t xml:space="preserve">World Bank report, </w:t>
      </w:r>
      <w:r w:rsidRPr="00B2051C">
        <w:rPr>
          <w:i/>
        </w:rPr>
        <w:t>International Migration, Remittances and the Brain Drain</w:t>
      </w:r>
      <w:r w:rsidRPr="00B2051C">
        <w:t>, eds. M. Schiff and C. Özden, New York October 2005 (</w:t>
      </w:r>
      <w:hyperlink r:id="rId26" w:history="1">
        <w:r w:rsidRPr="00B2051C">
          <w:rPr>
            <w:rStyle w:val="Hyperlnk"/>
            <w:color w:val="auto"/>
          </w:rPr>
          <w:t>http://econ.worldbank.org/external/default/main?theSitePK=1572893&amp;contentMDK=20693491&amp;pagePK=64168182&amp;piPK=64168060</w:t>
        </w:r>
      </w:hyperlink>
      <w:r w:rsidRPr="00B2051C">
        <w:t>);</w:t>
      </w:r>
    </w:p>
    <w:p w:rsidR="000A522F" w:rsidRPr="00B2051C" w:rsidRDefault="000A522F">
      <w:pPr>
        <w:pStyle w:val="Numreradlista"/>
        <w:numPr>
          <w:ilvl w:val="0"/>
          <w:numId w:val="36"/>
        </w:numPr>
      </w:pPr>
      <w:r w:rsidRPr="00B2051C">
        <w:t>ILO action plan on migrant workers adopted by the 2004 International Labour Conference(</w:t>
      </w:r>
      <w:hyperlink r:id="rId27" w:history="1">
        <w:r w:rsidRPr="00B2051C">
          <w:rPr>
            <w:rStyle w:val="Hyperlnk"/>
            <w:color w:val="auto"/>
          </w:rPr>
          <w:t>http://www.ilo.org/public/english/protection/migrant/download</w:t>
        </w:r>
        <w:r w:rsidRPr="00B2051C">
          <w:rPr>
            <w:rStyle w:val="Hyperlnk"/>
            <w:color w:val="auto"/>
          </w:rPr>
          <w:t>/</w:t>
        </w:r>
        <w:r w:rsidRPr="00B2051C">
          <w:rPr>
            <w:rStyle w:val="Hyperlnk"/>
            <w:color w:val="auto"/>
          </w:rPr>
          <w:t>ilcmig_res-eng.pdf</w:t>
        </w:r>
      </w:hyperlink>
      <w:r w:rsidRPr="00B2051C">
        <w:t>);</w:t>
      </w:r>
    </w:p>
    <w:p w:rsidR="000A522F" w:rsidRPr="00B2051C" w:rsidRDefault="000A522F">
      <w:pPr>
        <w:pStyle w:val="Numreradlista"/>
        <w:numPr>
          <w:ilvl w:val="0"/>
          <w:numId w:val="36"/>
        </w:numPr>
      </w:pPr>
      <w:r w:rsidRPr="00B2051C">
        <w:t xml:space="preserve">International Labour Organisation, </w:t>
      </w:r>
      <w:r w:rsidRPr="00B2051C">
        <w:rPr>
          <w:i/>
        </w:rPr>
        <w:t>Towards a fair deal for migrant workers in the global economy</w:t>
      </w:r>
      <w:r w:rsidRPr="00B2051C">
        <w:t xml:space="preserve"> (</w:t>
      </w:r>
      <w:hyperlink r:id="rId28" w:history="1">
        <w:r w:rsidRPr="00B2051C">
          <w:rPr>
            <w:rStyle w:val="Hyperlnk"/>
            <w:color w:val="auto"/>
          </w:rPr>
          <w:t>http://www.ilo.org/public/english/standards/relm/ilc/ilc92/pdf/rep-vi.pdf</w:t>
        </w:r>
      </w:hyperlink>
      <w:r w:rsidRPr="00B2051C">
        <w:t>), Geneva 2004.</w:t>
      </w:r>
    </w:p>
    <w:p w:rsidR="000A522F" w:rsidRPr="00B2051C" w:rsidRDefault="000A522F">
      <w:pPr>
        <w:pStyle w:val="Numreradlista"/>
        <w:rPr>
          <w:b/>
        </w:rPr>
        <w:sectPr w:rsidR="00000000" w:rsidRPr="00B2051C">
          <w:pgSz w:w="11907" w:h="16839"/>
          <w:pgMar w:top="1134" w:right="1417" w:bottom="1134" w:left="1417" w:header="720" w:footer="720" w:gutter="0"/>
          <w:cols w:space="720"/>
          <w:docGrid w:linePitch="326"/>
        </w:sectPr>
      </w:pPr>
    </w:p>
    <w:p w:rsidR="000A522F" w:rsidRPr="00B2051C" w:rsidRDefault="000A522F">
      <w:pPr>
        <w:pStyle w:val="ManualNumPar1"/>
        <w:rPr>
          <w:b/>
        </w:rPr>
      </w:pPr>
      <w:r w:rsidRPr="00B2051C">
        <w:rPr>
          <w:b/>
        </w:rPr>
        <w:t>III.</w:t>
      </w:r>
      <w:r w:rsidRPr="00B2051C">
        <w:rPr>
          <w:b/>
        </w:rPr>
        <w:tab/>
        <w:t>EU acquis concerning the right to work for third-county nationals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1176"/>
        <w:gridCol w:w="1283"/>
        <w:gridCol w:w="4508"/>
      </w:tblGrid>
      <w:tr w:rsidR="00000000" w:rsidRPr="00B2051C">
        <w:tc>
          <w:tcPr>
            <w:tcW w:w="1156" w:type="pct"/>
            <w:vAlign w:val="center"/>
          </w:tcPr>
          <w:p w:rsidR="000A522F" w:rsidRPr="00B2051C" w:rsidRDefault="000A522F">
            <w:pPr>
              <w:jc w:val="center"/>
              <w:rPr>
                <w:sz w:val="18"/>
                <w:szCs w:val="18"/>
              </w:rPr>
            </w:pPr>
            <w:r w:rsidRPr="00B2051C">
              <w:rPr>
                <w:sz w:val="18"/>
                <w:szCs w:val="18"/>
              </w:rPr>
              <w:t>Directive</w:t>
            </w:r>
          </w:p>
        </w:tc>
        <w:tc>
          <w:tcPr>
            <w:tcW w:w="649" w:type="pct"/>
            <w:vAlign w:val="center"/>
          </w:tcPr>
          <w:p w:rsidR="000A522F" w:rsidRPr="00B2051C" w:rsidRDefault="000A522F">
            <w:pPr>
              <w:ind w:right="138"/>
              <w:jc w:val="center"/>
              <w:rPr>
                <w:sz w:val="18"/>
                <w:szCs w:val="18"/>
              </w:rPr>
            </w:pPr>
            <w:r w:rsidRPr="00B2051C">
              <w:rPr>
                <w:sz w:val="18"/>
                <w:szCs w:val="18"/>
              </w:rPr>
              <w:t>Transposition deadline</w:t>
            </w:r>
          </w:p>
        </w:tc>
        <w:tc>
          <w:tcPr>
            <w:tcW w:w="708" w:type="pct"/>
          </w:tcPr>
          <w:p w:rsidR="000A522F" w:rsidRPr="00B2051C" w:rsidRDefault="000A522F">
            <w:pPr>
              <w:jc w:val="center"/>
              <w:rPr>
                <w:sz w:val="18"/>
                <w:szCs w:val="18"/>
              </w:rPr>
            </w:pPr>
            <w:r w:rsidRPr="00B2051C">
              <w:rPr>
                <w:sz w:val="18"/>
                <w:szCs w:val="18"/>
              </w:rPr>
              <w:t>Article(s) concerning the right to work</w:t>
            </w:r>
          </w:p>
        </w:tc>
        <w:tc>
          <w:tcPr>
            <w:tcW w:w="2487" w:type="pct"/>
            <w:vAlign w:val="center"/>
          </w:tcPr>
          <w:p w:rsidR="000A522F" w:rsidRPr="00B2051C" w:rsidRDefault="000A522F">
            <w:pPr>
              <w:jc w:val="center"/>
              <w:rPr>
                <w:sz w:val="18"/>
                <w:szCs w:val="18"/>
              </w:rPr>
            </w:pPr>
            <w:r w:rsidRPr="00B2051C">
              <w:rPr>
                <w:sz w:val="18"/>
                <w:szCs w:val="18"/>
              </w:rPr>
              <w:t>Text of the Article</w:t>
            </w:r>
          </w:p>
        </w:tc>
      </w:tr>
      <w:tr w:rsidR="00000000" w:rsidRPr="00B2051C">
        <w:tc>
          <w:tcPr>
            <w:tcW w:w="1156" w:type="pct"/>
          </w:tcPr>
          <w:p w:rsidR="000A522F" w:rsidRPr="00B2051C" w:rsidRDefault="000A522F">
            <w:pPr>
              <w:rPr>
                <w:sz w:val="18"/>
                <w:szCs w:val="18"/>
              </w:rPr>
            </w:pPr>
            <w:r w:rsidRPr="00B2051C">
              <w:rPr>
                <w:sz w:val="18"/>
                <w:szCs w:val="18"/>
              </w:rPr>
              <w:t>1. Directive 2001/55/EC on minimum standards for giving temporary protection in the event of a mass influx of displaced persons and on measures promoting a balance of efforts between Member States in receiving such persons and bearing the consequences thereof, Official Journal L 212, 07/08/2001 P. 0012 - 0023</w:t>
            </w:r>
          </w:p>
        </w:tc>
        <w:tc>
          <w:tcPr>
            <w:tcW w:w="649" w:type="pct"/>
          </w:tcPr>
          <w:p w:rsidR="000A522F" w:rsidRPr="00B2051C" w:rsidRDefault="000A522F">
            <w:pPr>
              <w:jc w:val="center"/>
              <w:rPr>
                <w:sz w:val="18"/>
                <w:szCs w:val="18"/>
              </w:rPr>
            </w:pPr>
            <w:r w:rsidRPr="00B2051C">
              <w:rPr>
                <w:sz w:val="18"/>
                <w:szCs w:val="18"/>
              </w:rPr>
              <w:t>31.12.2002</w:t>
            </w:r>
          </w:p>
        </w:tc>
        <w:tc>
          <w:tcPr>
            <w:tcW w:w="708" w:type="pct"/>
          </w:tcPr>
          <w:p w:rsidR="000A522F" w:rsidRPr="00B2051C" w:rsidRDefault="000A522F">
            <w:pPr>
              <w:jc w:val="center"/>
              <w:rPr>
                <w:sz w:val="18"/>
                <w:szCs w:val="18"/>
              </w:rPr>
            </w:pPr>
            <w:r w:rsidRPr="00B2051C">
              <w:rPr>
                <w:sz w:val="18"/>
                <w:szCs w:val="18"/>
              </w:rPr>
              <w:t>12</w:t>
            </w:r>
          </w:p>
        </w:tc>
        <w:tc>
          <w:tcPr>
            <w:tcW w:w="2487" w:type="pct"/>
          </w:tcPr>
          <w:p w:rsidR="000A522F" w:rsidRPr="00B2051C" w:rsidRDefault="000A522F">
            <w:pPr>
              <w:spacing w:after="20"/>
              <w:rPr>
                <w:sz w:val="18"/>
                <w:szCs w:val="18"/>
              </w:rPr>
            </w:pPr>
            <w:r w:rsidRPr="00B2051C">
              <w:rPr>
                <w:sz w:val="18"/>
                <w:szCs w:val="18"/>
              </w:rPr>
              <w:t>The Member States shall authorise, for a period not exceeding that of temporary protection, persons enjoying temporary protection to engage in employed or self-employed activities, subject to rules applicable to the profession, as well as in activities such as educational opportunities for adults, vocational training and practical workplace experience. For reasons of labour market policies, Member States may give priority to EU citizens and citizens of States bound by the Agreement on the European Economic</w:t>
            </w:r>
            <w:r w:rsidRPr="00B2051C">
              <w:rPr>
                <w:sz w:val="18"/>
                <w:szCs w:val="18"/>
              </w:rPr>
              <w:t xml:space="preserve"> Area and also to legally resident third-country nationals who receive unemployment benefit. The general law in force in the Member States applicable to remuneration, access to social security systems relating to employed or self-employed activities and other conditions of employment shall apply.</w:t>
            </w:r>
          </w:p>
        </w:tc>
      </w:tr>
      <w:tr w:rsidR="00000000" w:rsidRPr="00B2051C">
        <w:tc>
          <w:tcPr>
            <w:tcW w:w="1156" w:type="pct"/>
          </w:tcPr>
          <w:p w:rsidR="000A522F" w:rsidRPr="00B2051C" w:rsidRDefault="000A522F">
            <w:pPr>
              <w:rPr>
                <w:sz w:val="18"/>
                <w:szCs w:val="18"/>
              </w:rPr>
            </w:pPr>
            <w:r w:rsidRPr="00B2051C">
              <w:rPr>
                <w:sz w:val="18"/>
                <w:szCs w:val="18"/>
              </w:rPr>
              <w:t>2. Directive 2003/9/EC laying down minimum standards for the reception of asylum seekers, Official Journal L 031, 06/02/2003 P. 0018 - 0025</w:t>
            </w:r>
          </w:p>
        </w:tc>
        <w:tc>
          <w:tcPr>
            <w:tcW w:w="649" w:type="pct"/>
          </w:tcPr>
          <w:p w:rsidR="000A522F" w:rsidRPr="00B2051C" w:rsidRDefault="000A522F">
            <w:pPr>
              <w:jc w:val="center"/>
              <w:rPr>
                <w:sz w:val="18"/>
                <w:szCs w:val="18"/>
              </w:rPr>
            </w:pPr>
            <w:r w:rsidRPr="00B2051C">
              <w:rPr>
                <w:sz w:val="18"/>
                <w:szCs w:val="18"/>
              </w:rPr>
              <w:t>6.2.2005</w:t>
            </w:r>
          </w:p>
        </w:tc>
        <w:tc>
          <w:tcPr>
            <w:tcW w:w="708" w:type="pct"/>
          </w:tcPr>
          <w:p w:rsidR="000A522F" w:rsidRPr="00B2051C" w:rsidRDefault="000A522F">
            <w:pPr>
              <w:jc w:val="center"/>
              <w:rPr>
                <w:sz w:val="18"/>
                <w:szCs w:val="18"/>
              </w:rPr>
            </w:pPr>
            <w:r w:rsidRPr="00B2051C">
              <w:rPr>
                <w:sz w:val="18"/>
                <w:szCs w:val="18"/>
              </w:rPr>
              <w:t>11</w:t>
            </w:r>
          </w:p>
        </w:tc>
        <w:tc>
          <w:tcPr>
            <w:tcW w:w="2487" w:type="pct"/>
          </w:tcPr>
          <w:p w:rsidR="000A522F" w:rsidRPr="00B2051C" w:rsidRDefault="000A522F">
            <w:pPr>
              <w:spacing w:after="20"/>
              <w:rPr>
                <w:sz w:val="18"/>
                <w:szCs w:val="18"/>
              </w:rPr>
            </w:pPr>
            <w:r w:rsidRPr="00B2051C">
              <w:rPr>
                <w:sz w:val="18"/>
                <w:szCs w:val="18"/>
              </w:rPr>
              <w:t>1. Member States shall determine a period of time, starting from the date on which an application for asylum was lodged, during which an applicant shall not have access to the labour market.</w:t>
            </w:r>
          </w:p>
          <w:p w:rsidR="000A522F" w:rsidRPr="00B2051C" w:rsidRDefault="000A522F">
            <w:pPr>
              <w:spacing w:after="20"/>
              <w:rPr>
                <w:sz w:val="18"/>
                <w:szCs w:val="18"/>
              </w:rPr>
            </w:pPr>
            <w:r w:rsidRPr="00B2051C">
              <w:rPr>
                <w:sz w:val="18"/>
                <w:szCs w:val="18"/>
              </w:rPr>
              <w:t>2. If a decision at first instance has not been taken within one year of the presentation of an application for asylum and this delay cannot be attributed to the applicant, Member States shall decide the conditions for granting access to the labour market for the applicant.</w:t>
            </w:r>
          </w:p>
          <w:p w:rsidR="000A522F" w:rsidRPr="00B2051C" w:rsidRDefault="000A522F">
            <w:pPr>
              <w:spacing w:after="20"/>
              <w:rPr>
                <w:sz w:val="18"/>
                <w:szCs w:val="18"/>
              </w:rPr>
            </w:pPr>
            <w:r w:rsidRPr="00B2051C">
              <w:rPr>
                <w:sz w:val="18"/>
                <w:szCs w:val="18"/>
              </w:rPr>
              <w:t>3. Access to the labour market shall not be withdrawn during appeals procedures, where an appeal against a negative decision in a regular procedure has suspensive effect, until such time as a negative decision on the appeal is notified.</w:t>
            </w:r>
          </w:p>
          <w:p w:rsidR="000A522F" w:rsidRPr="00B2051C" w:rsidRDefault="000A522F">
            <w:pPr>
              <w:spacing w:after="20"/>
              <w:rPr>
                <w:sz w:val="18"/>
                <w:szCs w:val="18"/>
              </w:rPr>
            </w:pPr>
            <w:r w:rsidRPr="00B2051C">
              <w:rPr>
                <w:sz w:val="18"/>
                <w:szCs w:val="18"/>
              </w:rPr>
              <w:t>4. For reasons of labour market policies, Member States may give priority to EU citizens and nationals of States parties to the Agreement on the European Economic Area and also to legally resident third-country nationals.</w:t>
            </w:r>
          </w:p>
        </w:tc>
      </w:tr>
      <w:tr w:rsidR="00000000" w:rsidRPr="00B2051C">
        <w:tc>
          <w:tcPr>
            <w:tcW w:w="1156" w:type="pct"/>
          </w:tcPr>
          <w:p w:rsidR="000A522F" w:rsidRPr="00B2051C" w:rsidRDefault="000A522F">
            <w:pPr>
              <w:rPr>
                <w:sz w:val="18"/>
                <w:szCs w:val="18"/>
              </w:rPr>
            </w:pPr>
            <w:r w:rsidRPr="00B2051C">
              <w:rPr>
                <w:sz w:val="18"/>
                <w:szCs w:val="18"/>
              </w:rPr>
              <w:t>3. Directive 2003/86/EC on the right to family reunification, Official Journal L 251, 03/10/2003 P. 0012 - 0018</w:t>
            </w:r>
          </w:p>
        </w:tc>
        <w:tc>
          <w:tcPr>
            <w:tcW w:w="649" w:type="pct"/>
          </w:tcPr>
          <w:p w:rsidR="000A522F" w:rsidRPr="00B2051C" w:rsidRDefault="000A522F">
            <w:pPr>
              <w:jc w:val="center"/>
              <w:rPr>
                <w:sz w:val="18"/>
                <w:szCs w:val="18"/>
              </w:rPr>
            </w:pPr>
            <w:r w:rsidRPr="00B2051C">
              <w:rPr>
                <w:sz w:val="18"/>
                <w:szCs w:val="18"/>
              </w:rPr>
              <w:t>3.10.2005</w:t>
            </w:r>
          </w:p>
        </w:tc>
        <w:tc>
          <w:tcPr>
            <w:tcW w:w="708" w:type="pct"/>
          </w:tcPr>
          <w:p w:rsidR="000A522F" w:rsidRPr="00B2051C" w:rsidRDefault="000A522F">
            <w:pPr>
              <w:jc w:val="center"/>
              <w:rPr>
                <w:sz w:val="18"/>
                <w:szCs w:val="18"/>
              </w:rPr>
            </w:pPr>
            <w:r w:rsidRPr="00B2051C">
              <w:rPr>
                <w:sz w:val="18"/>
                <w:szCs w:val="18"/>
              </w:rPr>
              <w:t>14</w:t>
            </w:r>
          </w:p>
        </w:tc>
        <w:tc>
          <w:tcPr>
            <w:tcW w:w="2487" w:type="pct"/>
          </w:tcPr>
          <w:p w:rsidR="000A522F" w:rsidRPr="00B2051C" w:rsidRDefault="000A522F">
            <w:pPr>
              <w:spacing w:after="20"/>
              <w:rPr>
                <w:sz w:val="18"/>
                <w:szCs w:val="18"/>
              </w:rPr>
            </w:pPr>
            <w:r w:rsidRPr="00B2051C">
              <w:rPr>
                <w:sz w:val="18"/>
                <w:szCs w:val="18"/>
              </w:rPr>
              <w:t>1. The sponsor's family members shall be entitled, in the same way as the sponsor, to: (…)</w:t>
            </w:r>
          </w:p>
          <w:p w:rsidR="000A522F" w:rsidRPr="00B2051C" w:rsidRDefault="000A522F">
            <w:pPr>
              <w:spacing w:after="20"/>
              <w:rPr>
                <w:sz w:val="18"/>
                <w:szCs w:val="18"/>
              </w:rPr>
            </w:pPr>
            <w:r w:rsidRPr="00B2051C">
              <w:rPr>
                <w:sz w:val="18"/>
                <w:szCs w:val="18"/>
              </w:rPr>
              <w:t>(b) access to employment and self-employed activity; (…)</w:t>
            </w:r>
          </w:p>
          <w:p w:rsidR="000A522F" w:rsidRPr="00B2051C" w:rsidRDefault="000A522F">
            <w:pPr>
              <w:spacing w:after="20"/>
              <w:rPr>
                <w:sz w:val="18"/>
                <w:szCs w:val="18"/>
              </w:rPr>
            </w:pPr>
            <w:r w:rsidRPr="00B2051C">
              <w:rPr>
                <w:sz w:val="18"/>
                <w:szCs w:val="18"/>
              </w:rPr>
              <w:t>2. Member States may decide according to national law the conditions under which family members shall exercise an employed or self-employed activity. These conditions shall set a time limit which shall in no case exceed 12 months, during which Member States may examine the situation of their labour market before authorising family members to exercise an employed or self-employed activity.</w:t>
            </w:r>
          </w:p>
          <w:p w:rsidR="000A522F" w:rsidRPr="00B2051C" w:rsidRDefault="000A522F">
            <w:pPr>
              <w:spacing w:after="20"/>
              <w:rPr>
                <w:sz w:val="18"/>
                <w:szCs w:val="18"/>
              </w:rPr>
            </w:pPr>
            <w:r w:rsidRPr="00B2051C">
              <w:rPr>
                <w:sz w:val="18"/>
                <w:szCs w:val="18"/>
              </w:rPr>
              <w:t>3. Member States may restrict access to employment or self-employed activity by first-degree relatives in the direct ascending line or adult unmarried children to whom Article 4(2) applies.</w:t>
            </w:r>
          </w:p>
        </w:tc>
      </w:tr>
      <w:tr w:rsidR="00000000" w:rsidRPr="00B2051C">
        <w:trPr>
          <w:cantSplit/>
        </w:trPr>
        <w:tc>
          <w:tcPr>
            <w:tcW w:w="1156" w:type="pct"/>
            <w:vMerge w:val="restart"/>
          </w:tcPr>
          <w:p w:rsidR="000A522F" w:rsidRPr="00B2051C" w:rsidRDefault="000A522F">
            <w:pPr>
              <w:rPr>
                <w:sz w:val="18"/>
                <w:szCs w:val="18"/>
              </w:rPr>
            </w:pPr>
            <w:r w:rsidRPr="00B2051C">
              <w:rPr>
                <w:sz w:val="18"/>
                <w:szCs w:val="18"/>
              </w:rPr>
              <w:br w:type="page"/>
              <w:t>4. Directive 2003/109/EC concerning the status of third-country nationals who are long-term residents, Official Journal L 016, 23/01/2004 P. 0044 - 0053</w:t>
            </w:r>
          </w:p>
        </w:tc>
        <w:tc>
          <w:tcPr>
            <w:tcW w:w="649" w:type="pct"/>
            <w:vMerge w:val="restart"/>
          </w:tcPr>
          <w:p w:rsidR="000A522F" w:rsidRPr="00B2051C" w:rsidRDefault="000A522F">
            <w:pPr>
              <w:jc w:val="center"/>
              <w:rPr>
                <w:sz w:val="18"/>
                <w:szCs w:val="18"/>
              </w:rPr>
            </w:pPr>
            <w:r w:rsidRPr="00B2051C">
              <w:rPr>
                <w:sz w:val="18"/>
                <w:szCs w:val="18"/>
              </w:rPr>
              <w:t>23.1.2006</w:t>
            </w:r>
          </w:p>
        </w:tc>
        <w:tc>
          <w:tcPr>
            <w:tcW w:w="708" w:type="pct"/>
          </w:tcPr>
          <w:p w:rsidR="000A522F" w:rsidRPr="00B2051C" w:rsidRDefault="000A522F">
            <w:pPr>
              <w:jc w:val="center"/>
              <w:rPr>
                <w:sz w:val="18"/>
                <w:szCs w:val="18"/>
              </w:rPr>
            </w:pPr>
            <w:r w:rsidRPr="00B2051C">
              <w:rPr>
                <w:sz w:val="18"/>
                <w:szCs w:val="18"/>
              </w:rPr>
              <w:t>11</w:t>
            </w:r>
          </w:p>
        </w:tc>
        <w:tc>
          <w:tcPr>
            <w:tcW w:w="2487" w:type="pct"/>
          </w:tcPr>
          <w:p w:rsidR="000A522F" w:rsidRPr="00B2051C" w:rsidRDefault="000A522F">
            <w:pPr>
              <w:spacing w:after="20"/>
              <w:rPr>
                <w:sz w:val="18"/>
                <w:szCs w:val="18"/>
              </w:rPr>
            </w:pPr>
            <w:r w:rsidRPr="00B2051C">
              <w:rPr>
                <w:sz w:val="18"/>
                <w:szCs w:val="18"/>
              </w:rPr>
              <w:t>1. Long-term residents shall enjoy equal treatment with nationals as regards:</w:t>
            </w:r>
          </w:p>
          <w:p w:rsidR="000A522F" w:rsidRPr="00B2051C" w:rsidRDefault="000A522F">
            <w:pPr>
              <w:spacing w:after="20"/>
              <w:rPr>
                <w:sz w:val="18"/>
                <w:szCs w:val="18"/>
              </w:rPr>
            </w:pPr>
            <w:r w:rsidRPr="00B2051C">
              <w:rPr>
                <w:sz w:val="18"/>
                <w:szCs w:val="18"/>
              </w:rPr>
              <w:t>(a) access to employment and self-employed activity, provided such activities do not entail even occasional involvement in the exercise of public authority, and conditions of employment and working conditions, including conditions regarding dismissal and remuneration; (…)</w:t>
            </w:r>
          </w:p>
          <w:p w:rsidR="000A522F" w:rsidRPr="00B2051C" w:rsidRDefault="000A522F">
            <w:pPr>
              <w:spacing w:after="20"/>
              <w:rPr>
                <w:sz w:val="18"/>
                <w:szCs w:val="18"/>
              </w:rPr>
            </w:pPr>
            <w:r w:rsidRPr="00B2051C">
              <w:rPr>
                <w:sz w:val="18"/>
                <w:szCs w:val="18"/>
              </w:rPr>
              <w:t>3. Member States may restrict equal treatment with nationals in the following cases:</w:t>
            </w:r>
          </w:p>
          <w:p w:rsidR="000A522F" w:rsidRPr="00B2051C" w:rsidRDefault="000A522F">
            <w:pPr>
              <w:spacing w:after="20"/>
              <w:rPr>
                <w:sz w:val="18"/>
                <w:szCs w:val="18"/>
              </w:rPr>
            </w:pPr>
            <w:r w:rsidRPr="00B2051C">
              <w:rPr>
                <w:sz w:val="18"/>
                <w:szCs w:val="18"/>
              </w:rPr>
              <w:t>(a) Member States may retain restrictions to access to employment or self-employed activities in cases where, in accordance with existing national or Community legislation, these activities are reserved to nationals, EU or EEA citizens;</w:t>
            </w:r>
          </w:p>
          <w:p w:rsidR="000A522F" w:rsidRPr="00B2051C" w:rsidRDefault="000A522F">
            <w:pPr>
              <w:spacing w:after="20"/>
              <w:rPr>
                <w:sz w:val="18"/>
                <w:szCs w:val="18"/>
              </w:rPr>
            </w:pPr>
            <w:r w:rsidRPr="00B2051C">
              <w:rPr>
                <w:sz w:val="18"/>
                <w:szCs w:val="18"/>
              </w:rPr>
              <w:t>(b) Member States may require proof of appropriate language proficiency for access to education and training. Access to university may be subject to the fulfilment of specific educational prerequisites.</w:t>
            </w:r>
          </w:p>
          <w:p w:rsidR="000A522F" w:rsidRPr="00B2051C" w:rsidRDefault="000A522F">
            <w:pPr>
              <w:spacing w:after="20"/>
              <w:rPr>
                <w:sz w:val="18"/>
                <w:szCs w:val="18"/>
              </w:rPr>
            </w:pPr>
          </w:p>
        </w:tc>
      </w:tr>
      <w:tr w:rsidR="00000000" w:rsidRPr="00B2051C">
        <w:trPr>
          <w:cantSplit/>
        </w:trPr>
        <w:tc>
          <w:tcPr>
            <w:tcW w:w="1156" w:type="pct"/>
            <w:vMerge/>
          </w:tcPr>
          <w:p w:rsidR="000A522F" w:rsidRPr="00B2051C" w:rsidRDefault="000A522F">
            <w:pPr>
              <w:rPr>
                <w:sz w:val="18"/>
                <w:szCs w:val="18"/>
              </w:rPr>
            </w:pPr>
          </w:p>
        </w:tc>
        <w:tc>
          <w:tcPr>
            <w:tcW w:w="649" w:type="pct"/>
            <w:vMerge/>
          </w:tcPr>
          <w:p w:rsidR="000A522F" w:rsidRPr="00B2051C" w:rsidRDefault="000A522F">
            <w:pPr>
              <w:jc w:val="center"/>
              <w:rPr>
                <w:sz w:val="18"/>
                <w:szCs w:val="18"/>
              </w:rPr>
            </w:pPr>
          </w:p>
        </w:tc>
        <w:tc>
          <w:tcPr>
            <w:tcW w:w="708" w:type="pct"/>
          </w:tcPr>
          <w:p w:rsidR="000A522F" w:rsidRPr="00B2051C" w:rsidRDefault="000A522F">
            <w:pPr>
              <w:jc w:val="center"/>
              <w:rPr>
                <w:sz w:val="18"/>
                <w:szCs w:val="18"/>
              </w:rPr>
            </w:pPr>
            <w:r w:rsidRPr="00B2051C">
              <w:rPr>
                <w:sz w:val="18"/>
                <w:szCs w:val="18"/>
              </w:rPr>
              <w:t>21</w:t>
            </w:r>
          </w:p>
        </w:tc>
        <w:tc>
          <w:tcPr>
            <w:tcW w:w="2487" w:type="pct"/>
          </w:tcPr>
          <w:p w:rsidR="000A522F" w:rsidRPr="00B2051C" w:rsidRDefault="000A522F">
            <w:pPr>
              <w:spacing w:after="20"/>
              <w:rPr>
                <w:sz w:val="18"/>
                <w:szCs w:val="18"/>
              </w:rPr>
            </w:pPr>
            <w:r w:rsidRPr="00B2051C">
              <w:rPr>
                <w:sz w:val="18"/>
                <w:szCs w:val="18"/>
              </w:rPr>
              <w:t>1. As soon as they have received the residence permit provided for by Article 19 in the second Member State, long-term residents shall in that Member State enjoy equal treatment in the areas and under the conditions referred to in Article 11.</w:t>
            </w:r>
          </w:p>
          <w:p w:rsidR="000A522F" w:rsidRPr="00B2051C" w:rsidRDefault="000A522F">
            <w:pPr>
              <w:spacing w:after="20"/>
              <w:rPr>
                <w:sz w:val="18"/>
                <w:szCs w:val="18"/>
              </w:rPr>
            </w:pPr>
            <w:r w:rsidRPr="00B2051C">
              <w:rPr>
                <w:sz w:val="18"/>
                <w:szCs w:val="18"/>
              </w:rPr>
              <w:t>2. Long-term residents shall have access to the labour market in accordance with the provisions of paragraph 1.</w:t>
            </w:r>
          </w:p>
          <w:p w:rsidR="000A522F" w:rsidRPr="00B2051C" w:rsidRDefault="000A522F">
            <w:pPr>
              <w:spacing w:after="20"/>
              <w:rPr>
                <w:sz w:val="18"/>
                <w:szCs w:val="18"/>
              </w:rPr>
            </w:pPr>
            <w:r w:rsidRPr="00B2051C">
              <w:rPr>
                <w:sz w:val="18"/>
                <w:szCs w:val="18"/>
              </w:rPr>
              <w:t>Member States may provide that the persons referred to in Article 14(2)(a) shall have restricted access to employed activities different than those for which they have been granted their residence permit under the conditions set by national legislation for a period not exceeding 12 months.</w:t>
            </w:r>
          </w:p>
          <w:p w:rsidR="000A522F" w:rsidRPr="00B2051C" w:rsidRDefault="000A522F">
            <w:pPr>
              <w:spacing w:after="20"/>
              <w:rPr>
                <w:sz w:val="18"/>
                <w:szCs w:val="18"/>
              </w:rPr>
            </w:pPr>
            <w:r w:rsidRPr="00B2051C">
              <w:rPr>
                <w:sz w:val="18"/>
                <w:szCs w:val="18"/>
              </w:rPr>
              <w:t>Member States may decide in accordance with national law the conditions under which the persons referred to in Article 14(2)(b) or (c) may have access to an employed or self-employed activity.</w:t>
            </w:r>
          </w:p>
        </w:tc>
      </w:tr>
      <w:tr w:rsidR="00000000" w:rsidRPr="00B2051C">
        <w:tc>
          <w:tcPr>
            <w:tcW w:w="1156" w:type="pct"/>
          </w:tcPr>
          <w:p w:rsidR="000A522F" w:rsidRPr="00B2051C" w:rsidRDefault="000A522F">
            <w:pPr>
              <w:rPr>
                <w:sz w:val="18"/>
                <w:szCs w:val="18"/>
              </w:rPr>
            </w:pPr>
            <w:r w:rsidRPr="00B2051C">
              <w:rPr>
                <w:sz w:val="18"/>
                <w:szCs w:val="18"/>
              </w:rPr>
              <w:t>5. Directive 2004/81/EC on the residence permit issued to third-country nationals who are victims of trafficking in human beings or who have been the subject of an action to facilitate illegal immigration, who cooperate with the competent authorities, Official Journal L 261, 06/08/2004 P. 0019 – 0023</w:t>
            </w:r>
          </w:p>
        </w:tc>
        <w:tc>
          <w:tcPr>
            <w:tcW w:w="649" w:type="pct"/>
          </w:tcPr>
          <w:p w:rsidR="000A522F" w:rsidRPr="00B2051C" w:rsidRDefault="000A522F">
            <w:pPr>
              <w:jc w:val="center"/>
              <w:rPr>
                <w:sz w:val="18"/>
                <w:szCs w:val="18"/>
              </w:rPr>
            </w:pPr>
            <w:r w:rsidRPr="00B2051C">
              <w:rPr>
                <w:sz w:val="18"/>
                <w:szCs w:val="18"/>
              </w:rPr>
              <w:t>6.8.2006</w:t>
            </w:r>
          </w:p>
        </w:tc>
        <w:tc>
          <w:tcPr>
            <w:tcW w:w="708" w:type="pct"/>
          </w:tcPr>
          <w:p w:rsidR="000A522F" w:rsidRPr="00B2051C" w:rsidRDefault="000A522F">
            <w:pPr>
              <w:jc w:val="center"/>
              <w:rPr>
                <w:sz w:val="18"/>
                <w:szCs w:val="18"/>
              </w:rPr>
            </w:pPr>
            <w:r w:rsidRPr="00B2051C">
              <w:rPr>
                <w:sz w:val="18"/>
                <w:szCs w:val="18"/>
              </w:rPr>
              <w:t>11</w:t>
            </w:r>
          </w:p>
        </w:tc>
        <w:tc>
          <w:tcPr>
            <w:tcW w:w="2487" w:type="pct"/>
          </w:tcPr>
          <w:p w:rsidR="000A522F" w:rsidRPr="00B2051C" w:rsidRDefault="000A522F">
            <w:pPr>
              <w:spacing w:after="20"/>
              <w:rPr>
                <w:sz w:val="18"/>
                <w:szCs w:val="18"/>
              </w:rPr>
            </w:pPr>
            <w:r w:rsidRPr="00B2051C">
              <w:rPr>
                <w:sz w:val="18"/>
                <w:szCs w:val="18"/>
              </w:rPr>
              <w:t>1. Member States shall define the rules under which holders of the residence permit shall be authorised to have access to the labour market, to vocational training and education.</w:t>
            </w:r>
          </w:p>
          <w:p w:rsidR="000A522F" w:rsidRPr="00B2051C" w:rsidRDefault="000A522F">
            <w:pPr>
              <w:spacing w:after="20"/>
              <w:rPr>
                <w:sz w:val="18"/>
                <w:szCs w:val="18"/>
              </w:rPr>
            </w:pPr>
            <w:r w:rsidRPr="00B2051C">
              <w:rPr>
                <w:sz w:val="18"/>
                <w:szCs w:val="18"/>
              </w:rPr>
              <w:t>Such access shall be limited to the duration of the residence permit.</w:t>
            </w:r>
          </w:p>
          <w:p w:rsidR="000A522F" w:rsidRPr="00B2051C" w:rsidRDefault="000A522F">
            <w:pPr>
              <w:spacing w:after="20"/>
              <w:rPr>
                <w:sz w:val="18"/>
                <w:szCs w:val="18"/>
              </w:rPr>
            </w:pPr>
            <w:r w:rsidRPr="00B2051C">
              <w:rPr>
                <w:sz w:val="18"/>
                <w:szCs w:val="18"/>
              </w:rPr>
              <w:t>2. The conditions and the procedures for authorising access to the labour market, to vocational training and education shall be determined, under the national legislation, by the competent authorities.</w:t>
            </w:r>
          </w:p>
        </w:tc>
      </w:tr>
      <w:tr w:rsidR="00000000" w:rsidRPr="00B2051C">
        <w:tc>
          <w:tcPr>
            <w:tcW w:w="1156" w:type="pct"/>
          </w:tcPr>
          <w:p w:rsidR="000A522F" w:rsidRPr="00B2051C" w:rsidRDefault="000A522F">
            <w:pPr>
              <w:rPr>
                <w:sz w:val="18"/>
                <w:szCs w:val="18"/>
              </w:rPr>
            </w:pPr>
            <w:r w:rsidRPr="00B2051C">
              <w:rPr>
                <w:sz w:val="18"/>
                <w:szCs w:val="18"/>
              </w:rPr>
              <w:t>6. Directive 2004/83/EC on minimum standards for the qualification and status of third country nationals or stateless persons as refugees or as persons who otherwise need international protection and the content of the protection granted, Official Journal L 304, 30/09/2004 P. 0012 - 0023</w:t>
            </w:r>
          </w:p>
        </w:tc>
        <w:tc>
          <w:tcPr>
            <w:tcW w:w="649" w:type="pct"/>
          </w:tcPr>
          <w:p w:rsidR="000A522F" w:rsidRPr="00B2051C" w:rsidRDefault="000A522F">
            <w:pPr>
              <w:jc w:val="center"/>
              <w:rPr>
                <w:sz w:val="18"/>
                <w:szCs w:val="18"/>
              </w:rPr>
            </w:pPr>
            <w:r w:rsidRPr="00B2051C">
              <w:rPr>
                <w:sz w:val="18"/>
                <w:szCs w:val="18"/>
              </w:rPr>
              <w:t>10.10.2006</w:t>
            </w:r>
          </w:p>
        </w:tc>
        <w:tc>
          <w:tcPr>
            <w:tcW w:w="708" w:type="pct"/>
          </w:tcPr>
          <w:p w:rsidR="000A522F" w:rsidRPr="00B2051C" w:rsidRDefault="000A522F">
            <w:pPr>
              <w:jc w:val="center"/>
              <w:rPr>
                <w:sz w:val="18"/>
                <w:szCs w:val="18"/>
              </w:rPr>
            </w:pPr>
            <w:r w:rsidRPr="00B2051C">
              <w:rPr>
                <w:sz w:val="18"/>
                <w:szCs w:val="18"/>
              </w:rPr>
              <w:t>26</w:t>
            </w:r>
          </w:p>
        </w:tc>
        <w:tc>
          <w:tcPr>
            <w:tcW w:w="2487" w:type="pct"/>
          </w:tcPr>
          <w:p w:rsidR="000A522F" w:rsidRPr="00B2051C" w:rsidRDefault="000A522F">
            <w:pPr>
              <w:spacing w:after="20"/>
              <w:rPr>
                <w:sz w:val="18"/>
                <w:szCs w:val="18"/>
              </w:rPr>
            </w:pPr>
            <w:r w:rsidRPr="00B2051C">
              <w:rPr>
                <w:sz w:val="18"/>
                <w:szCs w:val="18"/>
              </w:rPr>
              <w:t>1. Member States shall authorise beneficiaries of refugee status to engage in employed or self-employed activities subject to rules generally applicable to the profession and to the public service, immediately after the refugee status has been granted.</w:t>
            </w:r>
          </w:p>
          <w:p w:rsidR="000A522F" w:rsidRPr="00B2051C" w:rsidRDefault="000A522F">
            <w:pPr>
              <w:spacing w:after="20"/>
              <w:rPr>
                <w:sz w:val="18"/>
                <w:szCs w:val="18"/>
              </w:rPr>
            </w:pPr>
            <w:r w:rsidRPr="00B2051C">
              <w:rPr>
                <w:sz w:val="18"/>
                <w:szCs w:val="18"/>
              </w:rPr>
              <w:t>2. Member States shall ensure that activities such as employment-related education opportunities for adults, vocational training and practical workplace experience are offered to beneficiaries of refugee status, under equivalent conditions as nationals.</w:t>
            </w:r>
          </w:p>
          <w:p w:rsidR="000A522F" w:rsidRPr="00B2051C" w:rsidRDefault="000A522F">
            <w:pPr>
              <w:spacing w:after="20"/>
              <w:rPr>
                <w:sz w:val="18"/>
                <w:szCs w:val="18"/>
              </w:rPr>
            </w:pPr>
            <w:r w:rsidRPr="00B2051C">
              <w:rPr>
                <w:sz w:val="18"/>
                <w:szCs w:val="18"/>
              </w:rPr>
              <w:t xml:space="preserve">3. Member States shall authorise beneficiaries of subsidiary protection status to engage in employed or self-employed activities subject to rules generally applicable to the profession and to the public service immediately after the subsidiary protection status has been granted. The situation of the labour market in the Member States may be taken into account, including for possible prioritisation of access to employment for a limited period of time to be determined in accordance with national law. Member </w:t>
            </w:r>
            <w:r w:rsidRPr="00B2051C">
              <w:rPr>
                <w:sz w:val="18"/>
                <w:szCs w:val="18"/>
              </w:rPr>
              <w:t>States shall ensure that the beneficiary of subsidiary protection status has access to a post for which the beneficiary has received an offer in accordance with national rules on prioritisation in the labour market.</w:t>
            </w:r>
          </w:p>
          <w:p w:rsidR="000A522F" w:rsidRPr="00B2051C" w:rsidRDefault="000A522F">
            <w:pPr>
              <w:spacing w:after="20"/>
              <w:rPr>
                <w:sz w:val="18"/>
                <w:szCs w:val="18"/>
              </w:rPr>
            </w:pPr>
            <w:r w:rsidRPr="00B2051C">
              <w:rPr>
                <w:sz w:val="18"/>
                <w:szCs w:val="18"/>
              </w:rPr>
              <w:t>4. Member States shall ensure that beneficiaries of subsidiary protection status have access to activities such as employment-related education opportunities for adults, vocational training and practical workplace experience, under conditions to be decided by the Member States.</w:t>
            </w:r>
          </w:p>
          <w:p w:rsidR="000A522F" w:rsidRPr="00B2051C" w:rsidRDefault="000A522F">
            <w:pPr>
              <w:spacing w:after="20"/>
              <w:rPr>
                <w:sz w:val="18"/>
                <w:szCs w:val="18"/>
              </w:rPr>
            </w:pPr>
            <w:r w:rsidRPr="00B2051C">
              <w:rPr>
                <w:sz w:val="18"/>
                <w:szCs w:val="18"/>
              </w:rPr>
              <w:t>5. The law in force in the Member States applicable to remuneration, access to social security systems relating to employed or self-employed activities and other conditions of employment shall apply.</w:t>
            </w:r>
          </w:p>
        </w:tc>
      </w:tr>
      <w:tr w:rsidR="00000000" w:rsidRPr="00B2051C">
        <w:tc>
          <w:tcPr>
            <w:tcW w:w="1156" w:type="pct"/>
          </w:tcPr>
          <w:p w:rsidR="000A522F" w:rsidRPr="00B2051C" w:rsidRDefault="000A522F">
            <w:pPr>
              <w:rPr>
                <w:sz w:val="18"/>
                <w:szCs w:val="18"/>
              </w:rPr>
            </w:pPr>
            <w:r w:rsidRPr="00B2051C">
              <w:rPr>
                <w:sz w:val="18"/>
                <w:szCs w:val="18"/>
              </w:rPr>
              <w:t>7. Directive 2004/114/EC on the conditions of admission of third-country nationals for the purposes of studies, pupil exchange, unremunerated training or voluntary service, Official Journal L 375, 23/12/2004 P. 0012 - 0018</w:t>
            </w:r>
          </w:p>
        </w:tc>
        <w:tc>
          <w:tcPr>
            <w:tcW w:w="649" w:type="pct"/>
          </w:tcPr>
          <w:p w:rsidR="000A522F" w:rsidRPr="00B2051C" w:rsidRDefault="000A522F">
            <w:pPr>
              <w:jc w:val="center"/>
              <w:rPr>
                <w:sz w:val="18"/>
                <w:szCs w:val="18"/>
              </w:rPr>
            </w:pPr>
            <w:r w:rsidRPr="00B2051C">
              <w:rPr>
                <w:sz w:val="18"/>
                <w:szCs w:val="18"/>
              </w:rPr>
              <w:t>12.1.2007</w:t>
            </w:r>
          </w:p>
        </w:tc>
        <w:tc>
          <w:tcPr>
            <w:tcW w:w="708" w:type="pct"/>
          </w:tcPr>
          <w:p w:rsidR="000A522F" w:rsidRPr="00B2051C" w:rsidRDefault="000A522F">
            <w:pPr>
              <w:jc w:val="center"/>
              <w:rPr>
                <w:sz w:val="18"/>
                <w:szCs w:val="18"/>
              </w:rPr>
            </w:pPr>
            <w:r w:rsidRPr="00B2051C">
              <w:rPr>
                <w:sz w:val="18"/>
                <w:szCs w:val="18"/>
              </w:rPr>
              <w:t>17</w:t>
            </w:r>
          </w:p>
        </w:tc>
        <w:tc>
          <w:tcPr>
            <w:tcW w:w="2487" w:type="pct"/>
          </w:tcPr>
          <w:p w:rsidR="000A522F" w:rsidRPr="00B2051C" w:rsidRDefault="000A522F">
            <w:pPr>
              <w:spacing w:after="20"/>
              <w:rPr>
                <w:sz w:val="18"/>
                <w:szCs w:val="18"/>
              </w:rPr>
            </w:pPr>
            <w:r w:rsidRPr="00B2051C">
              <w:rPr>
                <w:sz w:val="18"/>
                <w:szCs w:val="18"/>
              </w:rPr>
              <w:t>1. Outside their study time and subject to the rules and conditions applicable to the relevant activity in the host Member State, students shall be entitled to be employed and may be entitled to exercise self-employed economic activity. The situation of the labour market in the host Member State may be taken into account.</w:t>
            </w:r>
          </w:p>
          <w:p w:rsidR="000A522F" w:rsidRPr="00B2051C" w:rsidRDefault="000A522F">
            <w:pPr>
              <w:spacing w:after="20"/>
              <w:rPr>
                <w:sz w:val="18"/>
                <w:szCs w:val="18"/>
              </w:rPr>
            </w:pPr>
            <w:r w:rsidRPr="00B2051C">
              <w:rPr>
                <w:sz w:val="18"/>
                <w:szCs w:val="18"/>
              </w:rPr>
              <w:t>Where necessary, Member States shall grant students and/or employers prior authorisation in accordance with national legislation.</w:t>
            </w:r>
          </w:p>
          <w:p w:rsidR="000A522F" w:rsidRPr="00B2051C" w:rsidRDefault="000A522F">
            <w:pPr>
              <w:spacing w:after="20"/>
              <w:rPr>
                <w:sz w:val="18"/>
                <w:szCs w:val="18"/>
              </w:rPr>
            </w:pPr>
            <w:r w:rsidRPr="00B2051C">
              <w:rPr>
                <w:sz w:val="18"/>
                <w:szCs w:val="18"/>
              </w:rPr>
              <w:t>2. Each Member State shall determine the maximum number of hours per week or days or months per year allowed for such an activity, which shall not be less than 10 hours per week, or the equivalent in days or months per year.</w:t>
            </w:r>
          </w:p>
          <w:p w:rsidR="000A522F" w:rsidRPr="00B2051C" w:rsidRDefault="000A522F">
            <w:pPr>
              <w:spacing w:after="20"/>
              <w:rPr>
                <w:sz w:val="18"/>
                <w:szCs w:val="18"/>
              </w:rPr>
            </w:pPr>
            <w:r w:rsidRPr="00B2051C">
              <w:rPr>
                <w:sz w:val="18"/>
                <w:szCs w:val="18"/>
              </w:rPr>
              <w:t>3. Access to economic activities for the first year of residence may be restricted by the host Member State.</w:t>
            </w:r>
          </w:p>
          <w:p w:rsidR="000A522F" w:rsidRPr="00B2051C" w:rsidRDefault="000A522F">
            <w:pPr>
              <w:spacing w:after="20"/>
              <w:rPr>
                <w:sz w:val="18"/>
                <w:szCs w:val="18"/>
              </w:rPr>
            </w:pPr>
            <w:r w:rsidRPr="00B2051C">
              <w:rPr>
                <w:sz w:val="18"/>
                <w:szCs w:val="18"/>
              </w:rPr>
              <w:t>4. Member States may require students to report, in advance or otherwise, to an authority designated by the Member State concerned, that they are engaging in an economic activity. Their employers may also be subject to a reporting obligation, in advance or otherwise.</w:t>
            </w:r>
          </w:p>
        </w:tc>
      </w:tr>
      <w:tr w:rsidR="00000000" w:rsidRPr="00B2051C">
        <w:trPr>
          <w:cantSplit/>
        </w:trPr>
        <w:tc>
          <w:tcPr>
            <w:tcW w:w="1156" w:type="pct"/>
            <w:vMerge w:val="restart"/>
          </w:tcPr>
          <w:p w:rsidR="000A522F" w:rsidRPr="00B2051C" w:rsidRDefault="000A522F">
            <w:pPr>
              <w:rPr>
                <w:sz w:val="18"/>
                <w:szCs w:val="18"/>
              </w:rPr>
            </w:pPr>
            <w:r w:rsidRPr="00B2051C">
              <w:rPr>
                <w:sz w:val="18"/>
                <w:szCs w:val="18"/>
              </w:rPr>
              <w:t xml:space="preserve">8. Directive 2005/71/EC - </w:t>
            </w:r>
            <w:r w:rsidRPr="00B2051C">
              <w:rPr>
                <w:sz w:val="18"/>
                <w:szCs w:val="18"/>
              </w:rPr>
              <w:t>on a specific procedure for admitting third</w:t>
            </w:r>
            <w:r w:rsidRPr="00B2051C">
              <w:rPr>
                <w:sz w:val="18"/>
                <w:szCs w:val="18"/>
              </w:rPr>
              <w:noBreakHyphen/>
              <w:t xml:space="preserve">country nationals for purposes of scientific research, </w:t>
            </w:r>
            <w:r w:rsidRPr="00B2051C">
              <w:rPr>
                <w:sz w:val="18"/>
                <w:szCs w:val="18"/>
              </w:rPr>
              <w:t>Official Journal L 289, 3/11/2005 P. 0015 - 0022</w:t>
            </w:r>
            <w:r w:rsidRPr="00B2051C">
              <w:rPr>
                <w:sz w:val="18"/>
                <w:szCs w:val="18"/>
              </w:rPr>
              <w:t xml:space="preserve"> – </w:t>
            </w:r>
          </w:p>
        </w:tc>
        <w:tc>
          <w:tcPr>
            <w:tcW w:w="649" w:type="pct"/>
            <w:vMerge w:val="restart"/>
          </w:tcPr>
          <w:p w:rsidR="000A522F" w:rsidRPr="00B2051C" w:rsidRDefault="000A522F">
            <w:pPr>
              <w:jc w:val="center"/>
              <w:rPr>
                <w:sz w:val="18"/>
                <w:szCs w:val="18"/>
              </w:rPr>
            </w:pPr>
            <w:r w:rsidRPr="00B2051C">
              <w:rPr>
                <w:sz w:val="18"/>
                <w:szCs w:val="18"/>
              </w:rPr>
              <w:t>10.2007</w:t>
            </w:r>
          </w:p>
        </w:tc>
        <w:tc>
          <w:tcPr>
            <w:tcW w:w="708" w:type="pct"/>
          </w:tcPr>
          <w:p w:rsidR="000A522F" w:rsidRPr="00B2051C" w:rsidRDefault="000A522F">
            <w:pPr>
              <w:jc w:val="center"/>
              <w:rPr>
                <w:sz w:val="18"/>
                <w:szCs w:val="18"/>
              </w:rPr>
            </w:pPr>
            <w:r w:rsidRPr="00B2051C">
              <w:rPr>
                <w:sz w:val="18"/>
                <w:szCs w:val="18"/>
              </w:rPr>
              <w:t>6</w:t>
            </w:r>
          </w:p>
        </w:tc>
        <w:tc>
          <w:tcPr>
            <w:tcW w:w="2487" w:type="pct"/>
          </w:tcPr>
          <w:p w:rsidR="000A522F" w:rsidRPr="00B2051C" w:rsidRDefault="000A522F">
            <w:pPr>
              <w:spacing w:after="20"/>
              <w:rPr>
                <w:sz w:val="18"/>
                <w:szCs w:val="18"/>
              </w:rPr>
            </w:pPr>
            <w:r w:rsidRPr="00B2051C">
              <w:rPr>
                <w:sz w:val="18"/>
                <w:szCs w:val="18"/>
              </w:rPr>
              <w:t>1. A research organisation wishing to host a researcher shall sign a hosting agreement with the latter whereby the researcher undertakes to complete the research project and the organisation undertakes to host the researcher for that purpose (…).</w:t>
            </w:r>
          </w:p>
          <w:p w:rsidR="000A522F" w:rsidRPr="00B2051C" w:rsidRDefault="000A522F">
            <w:pPr>
              <w:spacing w:after="20"/>
              <w:rPr>
                <w:sz w:val="18"/>
                <w:szCs w:val="18"/>
              </w:rPr>
            </w:pPr>
            <w:r w:rsidRPr="00B2051C">
              <w:rPr>
                <w:sz w:val="18"/>
                <w:szCs w:val="18"/>
              </w:rPr>
              <w:t>2. Research organisations may sign hosting agreements only if the following conditions are met:</w:t>
            </w:r>
          </w:p>
          <w:p w:rsidR="000A522F" w:rsidRPr="00B2051C" w:rsidRDefault="000A522F">
            <w:pPr>
              <w:spacing w:after="20"/>
              <w:rPr>
                <w:sz w:val="18"/>
                <w:szCs w:val="18"/>
              </w:rPr>
            </w:pPr>
            <w:r w:rsidRPr="00B2051C">
              <w:rPr>
                <w:sz w:val="18"/>
                <w:szCs w:val="18"/>
              </w:rPr>
              <w:t>(a) the research project has been accepted by the relevant authorities in the organisation, after examination of:</w:t>
            </w:r>
          </w:p>
          <w:p w:rsidR="000A522F" w:rsidRPr="00B2051C" w:rsidRDefault="000A522F">
            <w:pPr>
              <w:spacing w:after="20"/>
              <w:rPr>
                <w:sz w:val="18"/>
                <w:szCs w:val="18"/>
              </w:rPr>
            </w:pPr>
            <w:r w:rsidRPr="00B2051C">
              <w:rPr>
                <w:sz w:val="18"/>
                <w:szCs w:val="18"/>
              </w:rPr>
              <w:t>(i) the purpose and duration of the research, and the availability of the necessary financial resources for it to be carried out;</w:t>
            </w:r>
          </w:p>
          <w:p w:rsidR="000A522F" w:rsidRPr="00B2051C" w:rsidRDefault="000A522F">
            <w:pPr>
              <w:spacing w:after="20"/>
              <w:rPr>
                <w:sz w:val="18"/>
                <w:szCs w:val="18"/>
              </w:rPr>
            </w:pPr>
            <w:r w:rsidRPr="00B2051C">
              <w:rPr>
                <w:sz w:val="18"/>
                <w:szCs w:val="18"/>
              </w:rPr>
              <w:t>(ii) the researcher’s qualifications in the light of the research objectives (…)</w:t>
            </w:r>
          </w:p>
          <w:p w:rsidR="000A522F" w:rsidRPr="00B2051C" w:rsidRDefault="000A522F">
            <w:pPr>
              <w:spacing w:after="20"/>
              <w:rPr>
                <w:sz w:val="18"/>
                <w:szCs w:val="18"/>
              </w:rPr>
            </w:pPr>
            <w:r w:rsidRPr="00B2051C">
              <w:rPr>
                <w:sz w:val="18"/>
                <w:szCs w:val="18"/>
              </w:rPr>
              <w:t>(b) during his /her stay the researcher will have sufficient monthly resources to meet his / her expenses and return travel costs in accordance with the minimum amount published for the purpose by the Member State, without having recourse to the Member State’s social assistance system;</w:t>
            </w:r>
          </w:p>
          <w:p w:rsidR="000A522F" w:rsidRPr="00B2051C" w:rsidRDefault="000A522F">
            <w:pPr>
              <w:spacing w:after="20"/>
              <w:rPr>
                <w:sz w:val="18"/>
                <w:szCs w:val="18"/>
              </w:rPr>
            </w:pPr>
            <w:r w:rsidRPr="00B2051C">
              <w:rPr>
                <w:sz w:val="18"/>
                <w:szCs w:val="18"/>
              </w:rPr>
              <w:t>(c) during his /her stay the researcher will have sickness insurance for all the risks normally covered for nationals of the Member State concerned.</w:t>
            </w:r>
          </w:p>
          <w:p w:rsidR="000A522F" w:rsidRPr="00B2051C" w:rsidRDefault="000A522F">
            <w:pPr>
              <w:spacing w:after="20"/>
              <w:rPr>
                <w:sz w:val="18"/>
                <w:szCs w:val="18"/>
              </w:rPr>
            </w:pPr>
            <w:r w:rsidRPr="00B2051C">
              <w:rPr>
                <w:sz w:val="18"/>
                <w:szCs w:val="18"/>
              </w:rPr>
              <w:t>(d) the hosting agreement shall specify the legal relationship and working conditions of the researchers.</w:t>
            </w:r>
          </w:p>
          <w:p w:rsidR="000A522F" w:rsidRPr="00B2051C" w:rsidRDefault="000A522F">
            <w:pPr>
              <w:spacing w:after="20"/>
              <w:rPr>
                <w:sz w:val="18"/>
                <w:szCs w:val="18"/>
              </w:rPr>
            </w:pPr>
            <w:r w:rsidRPr="00B2051C">
              <w:rPr>
                <w:sz w:val="18"/>
                <w:szCs w:val="18"/>
              </w:rPr>
              <w:t>3. (…).</w:t>
            </w:r>
          </w:p>
          <w:p w:rsidR="000A522F" w:rsidRPr="00B2051C" w:rsidRDefault="000A522F">
            <w:pPr>
              <w:spacing w:after="20"/>
              <w:rPr>
                <w:sz w:val="18"/>
                <w:szCs w:val="18"/>
              </w:rPr>
            </w:pPr>
            <w:r w:rsidRPr="00B2051C">
              <w:rPr>
                <w:sz w:val="18"/>
                <w:szCs w:val="18"/>
              </w:rPr>
              <w:t xml:space="preserve">4. The hosting agreement shall automatically lapse when the researcher is not admitted or when the legal relationship between the researcher and the research organisation is terminated. </w:t>
            </w:r>
          </w:p>
          <w:p w:rsidR="000A522F" w:rsidRPr="00B2051C" w:rsidRDefault="000A522F">
            <w:pPr>
              <w:spacing w:after="20"/>
              <w:rPr>
                <w:sz w:val="18"/>
                <w:szCs w:val="18"/>
              </w:rPr>
            </w:pPr>
            <w:r w:rsidRPr="00B2051C">
              <w:rPr>
                <w:sz w:val="18"/>
                <w:szCs w:val="18"/>
              </w:rPr>
              <w:t>5. (…)</w:t>
            </w:r>
          </w:p>
        </w:tc>
      </w:tr>
      <w:tr w:rsidR="00000000" w:rsidRPr="00B2051C">
        <w:trPr>
          <w:cantSplit/>
        </w:trPr>
        <w:tc>
          <w:tcPr>
            <w:tcW w:w="1156" w:type="pct"/>
            <w:vMerge/>
          </w:tcPr>
          <w:p w:rsidR="000A522F" w:rsidRPr="00B2051C" w:rsidRDefault="000A522F">
            <w:pPr>
              <w:rPr>
                <w:sz w:val="18"/>
                <w:szCs w:val="18"/>
              </w:rPr>
            </w:pPr>
          </w:p>
        </w:tc>
        <w:tc>
          <w:tcPr>
            <w:tcW w:w="649" w:type="pct"/>
            <w:vMerge/>
          </w:tcPr>
          <w:p w:rsidR="000A522F" w:rsidRPr="00B2051C" w:rsidRDefault="000A522F">
            <w:pPr>
              <w:jc w:val="center"/>
              <w:rPr>
                <w:sz w:val="18"/>
                <w:szCs w:val="18"/>
              </w:rPr>
            </w:pPr>
          </w:p>
        </w:tc>
        <w:tc>
          <w:tcPr>
            <w:tcW w:w="708" w:type="pct"/>
          </w:tcPr>
          <w:p w:rsidR="000A522F" w:rsidRPr="00B2051C" w:rsidRDefault="000A522F">
            <w:pPr>
              <w:jc w:val="center"/>
              <w:rPr>
                <w:sz w:val="18"/>
                <w:szCs w:val="18"/>
              </w:rPr>
            </w:pPr>
            <w:r w:rsidRPr="00B2051C">
              <w:rPr>
                <w:sz w:val="18"/>
                <w:szCs w:val="18"/>
              </w:rPr>
              <w:t>11</w:t>
            </w:r>
          </w:p>
        </w:tc>
        <w:tc>
          <w:tcPr>
            <w:tcW w:w="2487" w:type="pct"/>
          </w:tcPr>
          <w:p w:rsidR="000A522F" w:rsidRPr="00B2051C" w:rsidRDefault="000A522F">
            <w:pPr>
              <w:spacing w:after="20"/>
              <w:rPr>
                <w:sz w:val="18"/>
                <w:szCs w:val="18"/>
              </w:rPr>
            </w:pPr>
            <w:r w:rsidRPr="00B2051C">
              <w:rPr>
                <w:sz w:val="18"/>
                <w:szCs w:val="18"/>
              </w:rPr>
              <w:t>Researchers admitted under this Directive may teach in accordance with national legislation.</w:t>
            </w:r>
          </w:p>
          <w:p w:rsidR="000A522F" w:rsidRPr="00B2051C" w:rsidRDefault="000A522F">
            <w:pPr>
              <w:spacing w:after="20"/>
              <w:rPr>
                <w:sz w:val="18"/>
                <w:szCs w:val="18"/>
              </w:rPr>
            </w:pPr>
            <w:r w:rsidRPr="00B2051C">
              <w:rPr>
                <w:sz w:val="18"/>
                <w:szCs w:val="18"/>
              </w:rPr>
              <w:t>Member States may set a maximum number of hours or of days for the activity of teaching</w:t>
            </w:r>
          </w:p>
        </w:tc>
      </w:tr>
      <w:tr w:rsidR="00000000" w:rsidRPr="00B2051C">
        <w:trPr>
          <w:cantSplit/>
        </w:trPr>
        <w:tc>
          <w:tcPr>
            <w:tcW w:w="1156" w:type="pct"/>
            <w:vMerge/>
          </w:tcPr>
          <w:p w:rsidR="000A522F" w:rsidRPr="00B2051C" w:rsidRDefault="000A522F">
            <w:pPr>
              <w:rPr>
                <w:sz w:val="18"/>
                <w:szCs w:val="18"/>
              </w:rPr>
            </w:pPr>
          </w:p>
        </w:tc>
        <w:tc>
          <w:tcPr>
            <w:tcW w:w="649" w:type="pct"/>
            <w:vMerge/>
          </w:tcPr>
          <w:p w:rsidR="000A522F" w:rsidRPr="00B2051C" w:rsidRDefault="000A522F">
            <w:pPr>
              <w:jc w:val="center"/>
              <w:rPr>
                <w:sz w:val="18"/>
                <w:szCs w:val="18"/>
              </w:rPr>
            </w:pPr>
          </w:p>
        </w:tc>
        <w:tc>
          <w:tcPr>
            <w:tcW w:w="708" w:type="pct"/>
          </w:tcPr>
          <w:p w:rsidR="000A522F" w:rsidRPr="00B2051C" w:rsidRDefault="000A522F">
            <w:pPr>
              <w:jc w:val="center"/>
              <w:rPr>
                <w:sz w:val="18"/>
                <w:szCs w:val="18"/>
              </w:rPr>
            </w:pPr>
            <w:r w:rsidRPr="00B2051C">
              <w:rPr>
                <w:sz w:val="18"/>
                <w:szCs w:val="18"/>
              </w:rPr>
              <w:t>12</w:t>
            </w:r>
          </w:p>
        </w:tc>
        <w:tc>
          <w:tcPr>
            <w:tcW w:w="2487" w:type="pct"/>
          </w:tcPr>
          <w:p w:rsidR="000A522F" w:rsidRPr="00B2051C" w:rsidRDefault="000A522F">
            <w:pPr>
              <w:spacing w:after="20"/>
              <w:rPr>
                <w:sz w:val="18"/>
                <w:szCs w:val="18"/>
              </w:rPr>
            </w:pPr>
            <w:r w:rsidRPr="00B2051C">
              <w:rPr>
                <w:sz w:val="18"/>
                <w:szCs w:val="18"/>
              </w:rPr>
              <w:t>Holders of a residence permit shall be entitled to equal treatment with nationals as regards:</w:t>
            </w:r>
          </w:p>
          <w:p w:rsidR="000A522F" w:rsidRPr="00B2051C" w:rsidRDefault="000A522F">
            <w:pPr>
              <w:spacing w:after="20"/>
              <w:rPr>
                <w:sz w:val="18"/>
                <w:szCs w:val="18"/>
              </w:rPr>
            </w:pPr>
            <w:r w:rsidRPr="00B2051C">
              <w:rPr>
                <w:sz w:val="18"/>
                <w:szCs w:val="18"/>
              </w:rPr>
              <w:t>(a) recognition of diplomas, certificates and other professional qualifications in accordance with the relevant national procedures;</w:t>
            </w:r>
          </w:p>
          <w:p w:rsidR="000A522F" w:rsidRPr="00B2051C" w:rsidRDefault="000A522F">
            <w:pPr>
              <w:spacing w:after="20"/>
              <w:rPr>
                <w:sz w:val="18"/>
                <w:szCs w:val="18"/>
              </w:rPr>
            </w:pPr>
            <w:r w:rsidRPr="00B2051C">
              <w:rPr>
                <w:sz w:val="18"/>
                <w:szCs w:val="18"/>
              </w:rPr>
              <w:t>(b)working conditions, including pay and dismissal;</w:t>
            </w:r>
          </w:p>
          <w:p w:rsidR="000A522F" w:rsidRPr="00B2051C" w:rsidRDefault="000A522F">
            <w:pPr>
              <w:spacing w:after="20"/>
              <w:rPr>
                <w:sz w:val="18"/>
                <w:szCs w:val="18"/>
              </w:rPr>
            </w:pPr>
            <w:r w:rsidRPr="00B2051C">
              <w:rPr>
                <w:sz w:val="18"/>
                <w:szCs w:val="18"/>
              </w:rPr>
              <w:t>(…)</w:t>
            </w:r>
          </w:p>
        </w:tc>
      </w:tr>
    </w:tbl>
    <w:p w:rsidR="000A522F" w:rsidRPr="00B2051C" w:rsidRDefault="000A522F">
      <w:pPr>
        <w:pStyle w:val="ManualNumPar1"/>
        <w:rPr>
          <w:b/>
        </w:rPr>
        <w:sectPr w:rsidR="00000000" w:rsidRPr="00B2051C">
          <w:pgSz w:w="11907" w:h="16839"/>
          <w:pgMar w:top="1134" w:right="1417" w:bottom="1134" w:left="1417" w:header="720" w:footer="720" w:gutter="0"/>
          <w:cols w:space="720"/>
          <w:docGrid w:linePitch="326"/>
        </w:sectPr>
      </w:pPr>
    </w:p>
    <w:p w:rsidR="000A522F" w:rsidRPr="00B2051C" w:rsidRDefault="000A522F">
      <w:pPr>
        <w:pStyle w:val="ManualNumPar1"/>
        <w:rPr>
          <w:b/>
        </w:rPr>
      </w:pPr>
      <w:r w:rsidRPr="00B2051C">
        <w:rPr>
          <w:b/>
        </w:rPr>
        <w:t>IV.</w:t>
      </w:r>
      <w:r w:rsidRPr="00B2051C">
        <w:rPr>
          <w:b/>
        </w:rPr>
        <w:tab/>
        <w:t>Statistics</w:t>
      </w:r>
    </w:p>
    <w:p w:rsidR="000A522F" w:rsidRPr="00B2051C" w:rsidRDefault="000A522F">
      <w:pPr>
        <w:rPr>
          <w:b/>
          <w:u w:val="single"/>
        </w:rPr>
      </w:pPr>
      <w:r w:rsidRPr="00B2051C">
        <w:rPr>
          <w:b/>
          <w:u w:val="single"/>
        </w:rPr>
        <w:t>Table 1 - Population projections for the EU25 + Bulgaria and Romania: Total population</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1110"/>
        <w:gridCol w:w="1110"/>
        <w:gridCol w:w="1110"/>
        <w:gridCol w:w="1110"/>
        <w:gridCol w:w="960"/>
        <w:gridCol w:w="960"/>
        <w:gridCol w:w="960"/>
      </w:tblGrid>
      <w:tr w:rsidR="00000000" w:rsidRPr="00B2051C">
        <w:tc>
          <w:tcPr>
            <w:tcW w:w="1920" w:type="dxa"/>
            <w:tcBorders>
              <w:top w:val="single" w:sz="4" w:space="0" w:color="auto"/>
              <w:left w:val="single" w:sz="4" w:space="0" w:color="auto"/>
              <w:right w:val="single" w:sz="4" w:space="0" w:color="auto"/>
            </w:tcBorders>
            <w:vAlign w:val="center"/>
          </w:tcPr>
          <w:p w:rsidR="000A522F" w:rsidRPr="00B2051C" w:rsidRDefault="000A522F">
            <w:pPr>
              <w:jc w:val="center"/>
              <w:rPr>
                <w:rFonts w:ascii="Arial" w:hAnsi="Arial" w:cs="Arial"/>
                <w:b/>
                <w:sz w:val="18"/>
                <w:szCs w:val="18"/>
              </w:rPr>
            </w:pPr>
            <w:r w:rsidRPr="00B2051C">
              <w:rPr>
                <w:rFonts w:ascii="Arial" w:hAnsi="Arial" w:cs="Arial"/>
                <w:b/>
                <w:sz w:val="18"/>
                <w:szCs w:val="18"/>
              </w:rPr>
              <w:t>Member States</w:t>
            </w:r>
          </w:p>
        </w:tc>
        <w:tc>
          <w:tcPr>
            <w:tcW w:w="4440" w:type="dxa"/>
            <w:gridSpan w:val="4"/>
            <w:tcBorders>
              <w:top w:val="single" w:sz="4" w:space="0" w:color="auto"/>
              <w:left w:val="single" w:sz="4" w:space="0" w:color="auto"/>
              <w:right w:val="single" w:sz="4" w:space="0" w:color="auto"/>
            </w:tcBorders>
            <w:vAlign w:val="center"/>
          </w:tcPr>
          <w:p w:rsidR="000A522F" w:rsidRPr="00B2051C" w:rsidRDefault="000A522F">
            <w:pPr>
              <w:jc w:val="center"/>
              <w:rPr>
                <w:rFonts w:ascii="Arial" w:hAnsi="Arial" w:cs="Arial"/>
                <w:b/>
                <w:sz w:val="18"/>
                <w:szCs w:val="18"/>
              </w:rPr>
            </w:pPr>
            <w:r w:rsidRPr="00B2051C">
              <w:rPr>
                <w:rFonts w:ascii="Arial" w:hAnsi="Arial" w:cs="Arial"/>
                <w:b/>
                <w:sz w:val="18"/>
                <w:szCs w:val="18"/>
              </w:rPr>
              <w:t>Population at 1 January</w:t>
            </w:r>
            <w:r w:rsidRPr="00B2051C">
              <w:rPr>
                <w:rFonts w:ascii="Arial" w:hAnsi="Arial" w:cs="Arial"/>
                <w:b/>
                <w:sz w:val="18"/>
                <w:szCs w:val="18"/>
              </w:rPr>
              <w:br/>
              <w:t>(1000 inhabitants)</w:t>
            </w:r>
          </w:p>
        </w:tc>
        <w:tc>
          <w:tcPr>
            <w:tcW w:w="2880" w:type="dxa"/>
            <w:gridSpan w:val="3"/>
            <w:tcBorders>
              <w:top w:val="single" w:sz="4" w:space="0" w:color="auto"/>
              <w:left w:val="single" w:sz="4" w:space="0" w:color="auto"/>
              <w:right w:val="single" w:sz="4" w:space="0" w:color="auto"/>
            </w:tcBorders>
            <w:vAlign w:val="center"/>
          </w:tcPr>
          <w:p w:rsidR="000A522F" w:rsidRPr="00B2051C" w:rsidRDefault="000A522F">
            <w:pPr>
              <w:jc w:val="center"/>
              <w:rPr>
                <w:rFonts w:ascii="Arial" w:hAnsi="Arial" w:cs="Arial"/>
                <w:b/>
                <w:sz w:val="18"/>
                <w:szCs w:val="18"/>
              </w:rPr>
            </w:pPr>
            <w:r w:rsidRPr="00B2051C">
              <w:rPr>
                <w:rFonts w:ascii="Arial" w:hAnsi="Arial" w:cs="Arial"/>
                <w:b/>
                <w:sz w:val="18"/>
                <w:szCs w:val="18"/>
              </w:rPr>
              <w:t>Percentage increase with</w:t>
            </w:r>
          </w:p>
          <w:p w:rsidR="000A522F" w:rsidRPr="00B2051C" w:rsidRDefault="000A522F">
            <w:pPr>
              <w:jc w:val="center"/>
              <w:rPr>
                <w:rFonts w:ascii="Arial" w:hAnsi="Arial" w:cs="Arial"/>
                <w:b/>
                <w:sz w:val="18"/>
                <w:szCs w:val="18"/>
              </w:rPr>
            </w:pPr>
            <w:r w:rsidRPr="00B2051C">
              <w:rPr>
                <w:rFonts w:ascii="Arial" w:hAnsi="Arial" w:cs="Arial"/>
                <w:b/>
                <w:sz w:val="18"/>
                <w:szCs w:val="18"/>
              </w:rPr>
              <w:t>respect to 1.1.2004</w:t>
            </w:r>
          </w:p>
        </w:tc>
      </w:tr>
      <w:tr w:rsidR="00000000" w:rsidRPr="00B2051C">
        <w:tc>
          <w:tcPr>
            <w:tcW w:w="1920" w:type="dxa"/>
            <w:tcBorders>
              <w:left w:val="single" w:sz="4" w:space="0" w:color="auto"/>
              <w:bottom w:val="single" w:sz="4" w:space="0" w:color="auto"/>
              <w:right w:val="single" w:sz="4" w:space="0" w:color="auto"/>
            </w:tcBorders>
            <w:vAlign w:val="center"/>
          </w:tcPr>
          <w:p w:rsidR="000A522F" w:rsidRPr="00B2051C" w:rsidRDefault="000A522F">
            <w:pPr>
              <w:jc w:val="center"/>
              <w:rPr>
                <w:rFonts w:ascii="Arial" w:hAnsi="Arial" w:cs="Arial"/>
                <w:b/>
                <w:sz w:val="18"/>
                <w:szCs w:val="18"/>
              </w:rPr>
            </w:pPr>
          </w:p>
        </w:tc>
        <w:tc>
          <w:tcPr>
            <w:tcW w:w="1110" w:type="dxa"/>
            <w:tcBorders>
              <w:left w:val="single" w:sz="4" w:space="0" w:color="auto"/>
              <w:bottom w:val="single" w:sz="4" w:space="0" w:color="auto"/>
              <w:right w:val="single" w:sz="4" w:space="0" w:color="auto"/>
            </w:tcBorders>
            <w:vAlign w:val="center"/>
          </w:tcPr>
          <w:p w:rsidR="000A522F" w:rsidRPr="00B2051C" w:rsidRDefault="000A522F">
            <w:pPr>
              <w:jc w:val="center"/>
              <w:rPr>
                <w:rFonts w:ascii="Arial" w:hAnsi="Arial" w:cs="Arial"/>
                <w:b/>
                <w:sz w:val="18"/>
                <w:szCs w:val="18"/>
              </w:rPr>
            </w:pPr>
            <w:r w:rsidRPr="00B2051C">
              <w:rPr>
                <w:rFonts w:ascii="Arial" w:hAnsi="Arial" w:cs="Arial"/>
                <w:b/>
                <w:sz w:val="18"/>
                <w:szCs w:val="18"/>
              </w:rPr>
              <w:t>2004</w:t>
            </w:r>
          </w:p>
        </w:tc>
        <w:tc>
          <w:tcPr>
            <w:tcW w:w="1110" w:type="dxa"/>
            <w:tcBorders>
              <w:left w:val="single" w:sz="4" w:space="0" w:color="auto"/>
              <w:bottom w:val="single" w:sz="4" w:space="0" w:color="auto"/>
              <w:right w:val="single" w:sz="4" w:space="0" w:color="auto"/>
            </w:tcBorders>
            <w:vAlign w:val="center"/>
          </w:tcPr>
          <w:p w:rsidR="000A522F" w:rsidRPr="00B2051C" w:rsidRDefault="000A522F">
            <w:pPr>
              <w:jc w:val="center"/>
              <w:rPr>
                <w:rFonts w:ascii="Arial" w:hAnsi="Arial" w:cs="Arial"/>
                <w:b/>
                <w:sz w:val="18"/>
                <w:szCs w:val="18"/>
              </w:rPr>
            </w:pPr>
            <w:r w:rsidRPr="00B2051C">
              <w:rPr>
                <w:rFonts w:ascii="Arial" w:hAnsi="Arial" w:cs="Arial"/>
                <w:b/>
                <w:sz w:val="18"/>
                <w:szCs w:val="18"/>
              </w:rPr>
              <w:t>2015</w:t>
            </w:r>
          </w:p>
        </w:tc>
        <w:tc>
          <w:tcPr>
            <w:tcW w:w="1110" w:type="dxa"/>
            <w:tcBorders>
              <w:left w:val="single" w:sz="4" w:space="0" w:color="auto"/>
              <w:bottom w:val="single" w:sz="4" w:space="0" w:color="auto"/>
              <w:right w:val="single" w:sz="4" w:space="0" w:color="auto"/>
            </w:tcBorders>
            <w:vAlign w:val="center"/>
          </w:tcPr>
          <w:p w:rsidR="000A522F" w:rsidRPr="00B2051C" w:rsidRDefault="000A522F">
            <w:pPr>
              <w:jc w:val="center"/>
              <w:rPr>
                <w:rFonts w:ascii="Arial" w:hAnsi="Arial" w:cs="Arial"/>
                <w:b/>
                <w:sz w:val="18"/>
                <w:szCs w:val="18"/>
              </w:rPr>
            </w:pPr>
            <w:r w:rsidRPr="00B2051C">
              <w:rPr>
                <w:rFonts w:ascii="Arial" w:hAnsi="Arial" w:cs="Arial"/>
                <w:b/>
                <w:sz w:val="18"/>
                <w:szCs w:val="18"/>
              </w:rPr>
              <w:t>2025</w:t>
            </w:r>
          </w:p>
        </w:tc>
        <w:tc>
          <w:tcPr>
            <w:tcW w:w="1110" w:type="dxa"/>
            <w:tcBorders>
              <w:left w:val="single" w:sz="4" w:space="0" w:color="auto"/>
              <w:bottom w:val="single" w:sz="4" w:space="0" w:color="auto"/>
              <w:right w:val="single" w:sz="4" w:space="0" w:color="auto"/>
            </w:tcBorders>
            <w:vAlign w:val="center"/>
          </w:tcPr>
          <w:p w:rsidR="000A522F" w:rsidRPr="00B2051C" w:rsidRDefault="000A522F">
            <w:pPr>
              <w:jc w:val="center"/>
              <w:rPr>
                <w:rFonts w:ascii="Arial" w:hAnsi="Arial" w:cs="Arial"/>
                <w:b/>
                <w:sz w:val="18"/>
                <w:szCs w:val="18"/>
              </w:rPr>
            </w:pPr>
            <w:r w:rsidRPr="00B2051C">
              <w:rPr>
                <w:rFonts w:ascii="Arial" w:hAnsi="Arial" w:cs="Arial"/>
                <w:b/>
                <w:sz w:val="18"/>
                <w:szCs w:val="18"/>
              </w:rPr>
              <w:t>2050</w:t>
            </w:r>
          </w:p>
        </w:tc>
        <w:tc>
          <w:tcPr>
            <w:tcW w:w="960" w:type="dxa"/>
            <w:tcBorders>
              <w:left w:val="single" w:sz="4" w:space="0" w:color="auto"/>
              <w:bottom w:val="single" w:sz="4" w:space="0" w:color="auto"/>
              <w:right w:val="single" w:sz="4" w:space="0" w:color="auto"/>
            </w:tcBorders>
            <w:vAlign w:val="center"/>
          </w:tcPr>
          <w:p w:rsidR="000A522F" w:rsidRPr="00B2051C" w:rsidRDefault="000A522F">
            <w:pPr>
              <w:jc w:val="center"/>
              <w:rPr>
                <w:rFonts w:ascii="Arial" w:hAnsi="Arial" w:cs="Arial"/>
                <w:b/>
                <w:sz w:val="18"/>
                <w:szCs w:val="18"/>
              </w:rPr>
            </w:pPr>
            <w:r w:rsidRPr="00B2051C">
              <w:rPr>
                <w:rFonts w:ascii="Arial" w:hAnsi="Arial" w:cs="Arial"/>
                <w:b/>
                <w:sz w:val="18"/>
                <w:szCs w:val="18"/>
              </w:rPr>
              <w:t>2015</w:t>
            </w:r>
          </w:p>
        </w:tc>
        <w:tc>
          <w:tcPr>
            <w:tcW w:w="960" w:type="dxa"/>
            <w:tcBorders>
              <w:left w:val="single" w:sz="4" w:space="0" w:color="auto"/>
              <w:bottom w:val="single" w:sz="4" w:space="0" w:color="auto"/>
              <w:right w:val="single" w:sz="4" w:space="0" w:color="auto"/>
            </w:tcBorders>
            <w:vAlign w:val="center"/>
          </w:tcPr>
          <w:p w:rsidR="000A522F" w:rsidRPr="00B2051C" w:rsidRDefault="000A522F">
            <w:pPr>
              <w:jc w:val="center"/>
              <w:rPr>
                <w:rFonts w:ascii="Arial" w:hAnsi="Arial" w:cs="Arial"/>
                <w:b/>
                <w:sz w:val="18"/>
                <w:szCs w:val="18"/>
              </w:rPr>
            </w:pPr>
            <w:r w:rsidRPr="00B2051C">
              <w:rPr>
                <w:rFonts w:ascii="Arial" w:hAnsi="Arial" w:cs="Arial"/>
                <w:b/>
                <w:sz w:val="18"/>
                <w:szCs w:val="18"/>
              </w:rPr>
              <w:t>2025</w:t>
            </w:r>
          </w:p>
        </w:tc>
        <w:tc>
          <w:tcPr>
            <w:tcW w:w="960" w:type="dxa"/>
            <w:tcBorders>
              <w:left w:val="single" w:sz="4" w:space="0" w:color="auto"/>
              <w:bottom w:val="single" w:sz="4" w:space="0" w:color="auto"/>
              <w:right w:val="single" w:sz="4" w:space="0" w:color="auto"/>
            </w:tcBorders>
            <w:vAlign w:val="center"/>
          </w:tcPr>
          <w:p w:rsidR="000A522F" w:rsidRPr="00B2051C" w:rsidRDefault="000A522F">
            <w:pPr>
              <w:jc w:val="center"/>
              <w:rPr>
                <w:rFonts w:ascii="Arial" w:hAnsi="Arial" w:cs="Arial"/>
                <w:b/>
                <w:sz w:val="18"/>
                <w:szCs w:val="18"/>
              </w:rPr>
            </w:pPr>
            <w:r w:rsidRPr="00B2051C">
              <w:rPr>
                <w:rFonts w:ascii="Arial" w:hAnsi="Arial" w:cs="Arial"/>
                <w:b/>
                <w:sz w:val="18"/>
                <w:szCs w:val="18"/>
              </w:rPr>
              <w:t>2050</w:t>
            </w:r>
          </w:p>
        </w:tc>
      </w:tr>
      <w:tr w:rsidR="00000000" w:rsidRPr="00B2051C">
        <w:tc>
          <w:tcPr>
            <w:tcW w:w="1920" w:type="dxa"/>
            <w:tcBorders>
              <w:top w:val="single" w:sz="4" w:space="0" w:color="auto"/>
              <w:left w:val="single" w:sz="4" w:space="0" w:color="auto"/>
              <w:right w:val="single" w:sz="4" w:space="0" w:color="auto"/>
            </w:tcBorders>
            <w:vAlign w:val="center"/>
          </w:tcPr>
          <w:p w:rsidR="000A522F" w:rsidRPr="00B2051C" w:rsidRDefault="000A522F">
            <w:pPr>
              <w:rPr>
                <w:rFonts w:ascii="Arial" w:hAnsi="Arial" w:cs="Arial"/>
                <w:b/>
                <w:sz w:val="18"/>
                <w:szCs w:val="18"/>
              </w:rPr>
            </w:pPr>
            <w:r w:rsidRPr="00B2051C">
              <w:rPr>
                <w:rFonts w:ascii="Arial" w:hAnsi="Arial" w:cs="Arial"/>
                <w:b/>
                <w:sz w:val="18"/>
                <w:szCs w:val="18"/>
              </w:rPr>
              <w:t>EU25</w:t>
            </w:r>
          </w:p>
        </w:tc>
        <w:tc>
          <w:tcPr>
            <w:tcW w:w="1110" w:type="dxa"/>
            <w:tcBorders>
              <w:top w:val="single" w:sz="4" w:space="0" w:color="auto"/>
              <w:left w:val="single" w:sz="4" w:space="0" w:color="auto"/>
              <w:right w:val="single" w:sz="4" w:space="0" w:color="auto"/>
            </w:tcBorders>
            <w:vAlign w:val="center"/>
          </w:tcPr>
          <w:p w:rsidR="000A522F" w:rsidRPr="00B2051C" w:rsidRDefault="000A522F">
            <w:pPr>
              <w:jc w:val="right"/>
              <w:rPr>
                <w:rFonts w:ascii="Arial" w:hAnsi="Arial" w:cs="Arial"/>
                <w:b/>
                <w:sz w:val="18"/>
                <w:szCs w:val="18"/>
              </w:rPr>
            </w:pPr>
            <w:r w:rsidRPr="00B2051C">
              <w:rPr>
                <w:rFonts w:ascii="Arial" w:hAnsi="Arial" w:cs="Arial"/>
                <w:b/>
                <w:sz w:val="18"/>
                <w:szCs w:val="18"/>
              </w:rPr>
              <w:t>456 815</w:t>
            </w:r>
          </w:p>
        </w:tc>
        <w:tc>
          <w:tcPr>
            <w:tcW w:w="1110" w:type="dxa"/>
            <w:tcBorders>
              <w:top w:val="single" w:sz="4" w:space="0" w:color="auto"/>
              <w:left w:val="single" w:sz="4" w:space="0" w:color="auto"/>
              <w:right w:val="single" w:sz="4" w:space="0" w:color="auto"/>
            </w:tcBorders>
            <w:vAlign w:val="center"/>
          </w:tcPr>
          <w:p w:rsidR="000A522F" w:rsidRPr="00B2051C" w:rsidRDefault="000A522F">
            <w:pPr>
              <w:jc w:val="right"/>
              <w:rPr>
                <w:rFonts w:ascii="Arial" w:hAnsi="Arial" w:cs="Arial"/>
                <w:b/>
                <w:sz w:val="18"/>
                <w:szCs w:val="18"/>
              </w:rPr>
            </w:pPr>
            <w:r w:rsidRPr="00B2051C">
              <w:rPr>
                <w:rFonts w:ascii="Arial" w:hAnsi="Arial" w:cs="Arial"/>
                <w:b/>
                <w:sz w:val="18"/>
                <w:szCs w:val="18"/>
              </w:rPr>
              <w:t>467 307</w:t>
            </w:r>
          </w:p>
        </w:tc>
        <w:tc>
          <w:tcPr>
            <w:tcW w:w="1110" w:type="dxa"/>
            <w:tcBorders>
              <w:top w:val="single" w:sz="4" w:space="0" w:color="auto"/>
              <w:left w:val="single" w:sz="4" w:space="0" w:color="auto"/>
              <w:right w:val="single" w:sz="4" w:space="0" w:color="auto"/>
            </w:tcBorders>
            <w:vAlign w:val="center"/>
          </w:tcPr>
          <w:p w:rsidR="000A522F" w:rsidRPr="00B2051C" w:rsidRDefault="000A522F">
            <w:pPr>
              <w:jc w:val="right"/>
              <w:rPr>
                <w:rFonts w:ascii="Arial" w:hAnsi="Arial" w:cs="Arial"/>
                <w:b/>
                <w:sz w:val="18"/>
                <w:szCs w:val="18"/>
              </w:rPr>
            </w:pPr>
            <w:r w:rsidRPr="00B2051C">
              <w:rPr>
                <w:rFonts w:ascii="Arial" w:hAnsi="Arial" w:cs="Arial"/>
                <w:b/>
                <w:sz w:val="18"/>
                <w:szCs w:val="18"/>
              </w:rPr>
              <w:t>470 057</w:t>
            </w:r>
          </w:p>
        </w:tc>
        <w:tc>
          <w:tcPr>
            <w:tcW w:w="1110" w:type="dxa"/>
            <w:tcBorders>
              <w:top w:val="single" w:sz="4" w:space="0" w:color="auto"/>
              <w:left w:val="single" w:sz="4" w:space="0" w:color="auto"/>
              <w:right w:val="single" w:sz="4" w:space="0" w:color="auto"/>
            </w:tcBorders>
            <w:vAlign w:val="center"/>
          </w:tcPr>
          <w:p w:rsidR="000A522F" w:rsidRPr="00B2051C" w:rsidRDefault="000A522F">
            <w:pPr>
              <w:jc w:val="right"/>
              <w:rPr>
                <w:rFonts w:ascii="Arial" w:hAnsi="Arial" w:cs="Arial"/>
                <w:b/>
                <w:sz w:val="18"/>
                <w:szCs w:val="18"/>
              </w:rPr>
            </w:pPr>
            <w:r w:rsidRPr="00B2051C">
              <w:rPr>
                <w:rFonts w:ascii="Arial" w:hAnsi="Arial" w:cs="Arial"/>
                <w:b/>
                <w:sz w:val="18"/>
                <w:szCs w:val="18"/>
              </w:rPr>
              <w:t>449 831</w:t>
            </w:r>
          </w:p>
        </w:tc>
        <w:tc>
          <w:tcPr>
            <w:tcW w:w="960" w:type="dxa"/>
            <w:tcBorders>
              <w:top w:val="single" w:sz="4" w:space="0" w:color="auto"/>
              <w:left w:val="single" w:sz="4" w:space="0" w:color="auto"/>
              <w:right w:val="single" w:sz="4" w:space="0" w:color="auto"/>
            </w:tcBorders>
            <w:vAlign w:val="center"/>
          </w:tcPr>
          <w:p w:rsidR="000A522F" w:rsidRPr="00B2051C" w:rsidRDefault="000A522F">
            <w:pPr>
              <w:jc w:val="right"/>
              <w:rPr>
                <w:rFonts w:ascii="Arial" w:hAnsi="Arial" w:cs="Arial"/>
                <w:b/>
                <w:sz w:val="18"/>
                <w:szCs w:val="18"/>
              </w:rPr>
            </w:pPr>
            <w:r w:rsidRPr="00B2051C">
              <w:rPr>
                <w:rFonts w:ascii="Arial" w:hAnsi="Arial" w:cs="Arial"/>
                <w:b/>
                <w:sz w:val="18"/>
                <w:szCs w:val="18"/>
              </w:rPr>
              <w:t>2.3</w:t>
            </w:r>
          </w:p>
        </w:tc>
        <w:tc>
          <w:tcPr>
            <w:tcW w:w="960" w:type="dxa"/>
            <w:tcBorders>
              <w:top w:val="single" w:sz="4" w:space="0" w:color="auto"/>
              <w:left w:val="single" w:sz="4" w:space="0" w:color="auto"/>
              <w:right w:val="single" w:sz="4" w:space="0" w:color="auto"/>
            </w:tcBorders>
            <w:vAlign w:val="center"/>
          </w:tcPr>
          <w:p w:rsidR="000A522F" w:rsidRPr="00B2051C" w:rsidRDefault="000A522F">
            <w:pPr>
              <w:jc w:val="right"/>
              <w:rPr>
                <w:rFonts w:ascii="Arial" w:hAnsi="Arial" w:cs="Arial"/>
                <w:b/>
                <w:sz w:val="18"/>
                <w:szCs w:val="18"/>
              </w:rPr>
            </w:pPr>
            <w:r w:rsidRPr="00B2051C">
              <w:rPr>
                <w:rFonts w:ascii="Arial" w:hAnsi="Arial" w:cs="Arial"/>
                <w:b/>
                <w:sz w:val="18"/>
                <w:szCs w:val="18"/>
              </w:rPr>
              <w:t>2.9</w:t>
            </w:r>
          </w:p>
        </w:tc>
        <w:tc>
          <w:tcPr>
            <w:tcW w:w="960" w:type="dxa"/>
            <w:tcBorders>
              <w:top w:val="single" w:sz="4" w:space="0" w:color="auto"/>
              <w:left w:val="single" w:sz="4" w:space="0" w:color="auto"/>
              <w:right w:val="single" w:sz="4" w:space="0" w:color="auto"/>
            </w:tcBorders>
            <w:vAlign w:val="center"/>
          </w:tcPr>
          <w:p w:rsidR="000A522F" w:rsidRPr="00B2051C" w:rsidRDefault="000A522F">
            <w:pPr>
              <w:jc w:val="right"/>
              <w:rPr>
                <w:rFonts w:ascii="Arial" w:hAnsi="Arial" w:cs="Arial"/>
                <w:b/>
                <w:sz w:val="18"/>
                <w:szCs w:val="18"/>
              </w:rPr>
            </w:pPr>
            <w:r w:rsidRPr="00B2051C">
              <w:rPr>
                <w:rFonts w:ascii="Arial" w:hAnsi="Arial" w:cs="Arial"/>
                <w:b/>
                <w:sz w:val="18"/>
                <w:szCs w:val="18"/>
              </w:rPr>
              <w:t>-1.5</w:t>
            </w:r>
          </w:p>
        </w:tc>
      </w:tr>
      <w:tr w:rsidR="00000000" w:rsidRPr="00B2051C">
        <w:tc>
          <w:tcPr>
            <w:tcW w:w="1920" w:type="dxa"/>
            <w:tcBorders>
              <w:left w:val="single" w:sz="4" w:space="0" w:color="auto"/>
              <w:right w:val="single" w:sz="4" w:space="0" w:color="auto"/>
            </w:tcBorders>
            <w:vAlign w:val="center"/>
          </w:tcPr>
          <w:p w:rsidR="000A522F" w:rsidRPr="00B2051C" w:rsidRDefault="000A522F">
            <w:pPr>
              <w:rPr>
                <w:rFonts w:ascii="Arial" w:hAnsi="Arial" w:cs="Arial"/>
                <w:b/>
                <w:sz w:val="18"/>
                <w:szCs w:val="18"/>
              </w:rPr>
            </w:pPr>
            <w:r w:rsidRPr="00B2051C">
              <w:rPr>
                <w:rFonts w:ascii="Arial" w:hAnsi="Arial" w:cs="Arial"/>
                <w:b/>
                <w:sz w:val="18"/>
                <w:szCs w:val="18"/>
              </w:rPr>
              <w:t>EU15</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b/>
                <w:sz w:val="18"/>
                <w:szCs w:val="18"/>
              </w:rPr>
            </w:pPr>
            <w:r w:rsidRPr="00B2051C">
              <w:rPr>
                <w:rFonts w:ascii="Arial" w:hAnsi="Arial" w:cs="Arial"/>
                <w:b/>
                <w:sz w:val="18"/>
                <w:szCs w:val="18"/>
              </w:rPr>
              <w:t>382 674</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b/>
                <w:sz w:val="18"/>
                <w:szCs w:val="18"/>
              </w:rPr>
            </w:pPr>
            <w:r w:rsidRPr="00B2051C">
              <w:rPr>
                <w:rFonts w:ascii="Arial" w:hAnsi="Arial" w:cs="Arial"/>
                <w:b/>
                <w:sz w:val="18"/>
                <w:szCs w:val="18"/>
              </w:rPr>
              <w:t>394 727</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b/>
                <w:sz w:val="18"/>
                <w:szCs w:val="18"/>
              </w:rPr>
            </w:pPr>
            <w:r w:rsidRPr="00B2051C">
              <w:rPr>
                <w:rFonts w:ascii="Arial" w:hAnsi="Arial" w:cs="Arial"/>
                <w:b/>
                <w:sz w:val="18"/>
                <w:szCs w:val="18"/>
              </w:rPr>
              <w:t>398 780</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b/>
                <w:sz w:val="18"/>
                <w:szCs w:val="18"/>
              </w:rPr>
            </w:pPr>
            <w:r w:rsidRPr="00B2051C">
              <w:rPr>
                <w:rFonts w:ascii="Arial" w:hAnsi="Arial" w:cs="Arial"/>
                <w:b/>
                <w:sz w:val="18"/>
                <w:szCs w:val="18"/>
              </w:rPr>
              <w:t>384 356</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b/>
                <w:sz w:val="18"/>
                <w:szCs w:val="18"/>
              </w:rPr>
            </w:pPr>
            <w:r w:rsidRPr="00B2051C">
              <w:rPr>
                <w:rFonts w:ascii="Arial" w:hAnsi="Arial" w:cs="Arial"/>
                <w:b/>
                <w:sz w:val="18"/>
                <w:szCs w:val="18"/>
              </w:rPr>
              <w:t>3.1</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b/>
                <w:sz w:val="18"/>
                <w:szCs w:val="18"/>
              </w:rPr>
            </w:pPr>
            <w:r w:rsidRPr="00B2051C">
              <w:rPr>
                <w:rFonts w:ascii="Arial" w:hAnsi="Arial" w:cs="Arial"/>
                <w:b/>
                <w:sz w:val="18"/>
                <w:szCs w:val="18"/>
              </w:rPr>
              <w:t>4.2</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b/>
                <w:sz w:val="18"/>
                <w:szCs w:val="18"/>
              </w:rPr>
            </w:pPr>
            <w:r w:rsidRPr="00B2051C">
              <w:rPr>
                <w:rFonts w:ascii="Arial" w:hAnsi="Arial" w:cs="Arial"/>
                <w:b/>
                <w:sz w:val="18"/>
                <w:szCs w:val="18"/>
              </w:rPr>
              <w:t>0.4</w:t>
            </w:r>
          </w:p>
        </w:tc>
      </w:tr>
      <w:tr w:rsidR="00000000" w:rsidRPr="00B2051C">
        <w:tc>
          <w:tcPr>
            <w:tcW w:w="1920" w:type="dxa"/>
            <w:tcBorders>
              <w:left w:val="single" w:sz="4" w:space="0" w:color="auto"/>
              <w:bottom w:val="single" w:sz="4" w:space="0" w:color="auto"/>
              <w:right w:val="single" w:sz="4" w:space="0" w:color="auto"/>
            </w:tcBorders>
            <w:vAlign w:val="center"/>
          </w:tcPr>
          <w:p w:rsidR="000A522F" w:rsidRPr="00B2051C" w:rsidRDefault="000A522F">
            <w:pPr>
              <w:rPr>
                <w:rFonts w:ascii="Arial" w:hAnsi="Arial" w:cs="Arial"/>
                <w:b/>
                <w:sz w:val="18"/>
                <w:szCs w:val="18"/>
              </w:rPr>
            </w:pPr>
            <w:r w:rsidRPr="00B2051C">
              <w:rPr>
                <w:rFonts w:ascii="Arial" w:hAnsi="Arial" w:cs="Arial"/>
                <w:b/>
                <w:sz w:val="18"/>
                <w:szCs w:val="18"/>
              </w:rPr>
              <w:t>New Member States</w:t>
            </w:r>
          </w:p>
        </w:tc>
        <w:tc>
          <w:tcPr>
            <w:tcW w:w="1110" w:type="dxa"/>
            <w:tcBorders>
              <w:left w:val="single" w:sz="4" w:space="0" w:color="auto"/>
              <w:bottom w:val="single" w:sz="4" w:space="0" w:color="auto"/>
              <w:right w:val="single" w:sz="4" w:space="0" w:color="auto"/>
            </w:tcBorders>
            <w:vAlign w:val="center"/>
          </w:tcPr>
          <w:p w:rsidR="000A522F" w:rsidRPr="00B2051C" w:rsidRDefault="000A522F">
            <w:pPr>
              <w:jc w:val="right"/>
              <w:rPr>
                <w:rFonts w:ascii="Arial" w:hAnsi="Arial" w:cs="Arial"/>
                <w:b/>
                <w:sz w:val="18"/>
                <w:szCs w:val="18"/>
              </w:rPr>
            </w:pPr>
            <w:r w:rsidRPr="00B2051C">
              <w:rPr>
                <w:rFonts w:ascii="Arial" w:hAnsi="Arial" w:cs="Arial"/>
                <w:b/>
                <w:sz w:val="18"/>
                <w:szCs w:val="18"/>
              </w:rPr>
              <w:t>74 141</w:t>
            </w:r>
          </w:p>
        </w:tc>
        <w:tc>
          <w:tcPr>
            <w:tcW w:w="1110" w:type="dxa"/>
            <w:tcBorders>
              <w:left w:val="single" w:sz="4" w:space="0" w:color="auto"/>
              <w:bottom w:val="single" w:sz="4" w:space="0" w:color="auto"/>
              <w:right w:val="single" w:sz="4" w:space="0" w:color="auto"/>
            </w:tcBorders>
            <w:vAlign w:val="center"/>
          </w:tcPr>
          <w:p w:rsidR="000A522F" w:rsidRPr="00B2051C" w:rsidRDefault="000A522F">
            <w:pPr>
              <w:jc w:val="right"/>
              <w:rPr>
                <w:rFonts w:ascii="Arial" w:hAnsi="Arial" w:cs="Arial"/>
                <w:b/>
                <w:sz w:val="18"/>
                <w:szCs w:val="18"/>
              </w:rPr>
            </w:pPr>
            <w:r w:rsidRPr="00B2051C">
              <w:rPr>
                <w:rFonts w:ascii="Arial" w:hAnsi="Arial" w:cs="Arial"/>
                <w:b/>
                <w:sz w:val="18"/>
                <w:szCs w:val="18"/>
              </w:rPr>
              <w:t>72 580</w:t>
            </w:r>
          </w:p>
        </w:tc>
        <w:tc>
          <w:tcPr>
            <w:tcW w:w="1110" w:type="dxa"/>
            <w:tcBorders>
              <w:left w:val="single" w:sz="4" w:space="0" w:color="auto"/>
              <w:bottom w:val="single" w:sz="4" w:space="0" w:color="auto"/>
              <w:right w:val="single" w:sz="4" w:space="0" w:color="auto"/>
            </w:tcBorders>
            <w:vAlign w:val="center"/>
          </w:tcPr>
          <w:p w:rsidR="000A522F" w:rsidRPr="00B2051C" w:rsidRDefault="000A522F">
            <w:pPr>
              <w:jc w:val="right"/>
              <w:rPr>
                <w:rFonts w:ascii="Arial" w:hAnsi="Arial" w:cs="Arial"/>
                <w:b/>
                <w:sz w:val="18"/>
                <w:szCs w:val="18"/>
              </w:rPr>
            </w:pPr>
            <w:r w:rsidRPr="00B2051C">
              <w:rPr>
                <w:rFonts w:ascii="Arial" w:hAnsi="Arial" w:cs="Arial"/>
                <w:b/>
                <w:sz w:val="18"/>
                <w:szCs w:val="18"/>
              </w:rPr>
              <w:t>71 278</w:t>
            </w:r>
          </w:p>
        </w:tc>
        <w:tc>
          <w:tcPr>
            <w:tcW w:w="1110" w:type="dxa"/>
            <w:tcBorders>
              <w:left w:val="single" w:sz="4" w:space="0" w:color="auto"/>
              <w:bottom w:val="single" w:sz="4" w:space="0" w:color="auto"/>
              <w:right w:val="single" w:sz="4" w:space="0" w:color="auto"/>
            </w:tcBorders>
            <w:vAlign w:val="center"/>
          </w:tcPr>
          <w:p w:rsidR="000A522F" w:rsidRPr="00B2051C" w:rsidRDefault="000A522F">
            <w:pPr>
              <w:jc w:val="right"/>
              <w:rPr>
                <w:rFonts w:ascii="Arial" w:hAnsi="Arial" w:cs="Arial"/>
                <w:b/>
                <w:sz w:val="18"/>
                <w:szCs w:val="18"/>
              </w:rPr>
            </w:pPr>
            <w:r w:rsidRPr="00B2051C">
              <w:rPr>
                <w:rFonts w:ascii="Arial" w:hAnsi="Arial" w:cs="Arial"/>
                <w:b/>
                <w:sz w:val="18"/>
                <w:szCs w:val="18"/>
              </w:rPr>
              <w:t>65 475</w:t>
            </w:r>
          </w:p>
        </w:tc>
        <w:tc>
          <w:tcPr>
            <w:tcW w:w="960" w:type="dxa"/>
            <w:tcBorders>
              <w:left w:val="single" w:sz="4" w:space="0" w:color="auto"/>
              <w:bottom w:val="single" w:sz="4" w:space="0" w:color="auto"/>
              <w:right w:val="single" w:sz="4" w:space="0" w:color="auto"/>
            </w:tcBorders>
            <w:vAlign w:val="center"/>
          </w:tcPr>
          <w:p w:rsidR="000A522F" w:rsidRPr="00B2051C" w:rsidRDefault="000A522F">
            <w:pPr>
              <w:jc w:val="right"/>
              <w:rPr>
                <w:rFonts w:ascii="Arial" w:hAnsi="Arial" w:cs="Arial"/>
                <w:b/>
                <w:sz w:val="18"/>
                <w:szCs w:val="18"/>
              </w:rPr>
            </w:pPr>
            <w:r w:rsidRPr="00B2051C">
              <w:rPr>
                <w:rFonts w:ascii="Arial" w:hAnsi="Arial" w:cs="Arial"/>
                <w:b/>
                <w:sz w:val="18"/>
                <w:szCs w:val="18"/>
              </w:rPr>
              <w:t>-2.1</w:t>
            </w:r>
          </w:p>
        </w:tc>
        <w:tc>
          <w:tcPr>
            <w:tcW w:w="960" w:type="dxa"/>
            <w:tcBorders>
              <w:left w:val="single" w:sz="4" w:space="0" w:color="auto"/>
              <w:bottom w:val="single" w:sz="4" w:space="0" w:color="auto"/>
              <w:right w:val="single" w:sz="4" w:space="0" w:color="auto"/>
            </w:tcBorders>
            <w:vAlign w:val="center"/>
          </w:tcPr>
          <w:p w:rsidR="000A522F" w:rsidRPr="00B2051C" w:rsidRDefault="000A522F">
            <w:pPr>
              <w:jc w:val="right"/>
              <w:rPr>
                <w:rFonts w:ascii="Arial" w:hAnsi="Arial" w:cs="Arial"/>
                <w:b/>
                <w:sz w:val="18"/>
                <w:szCs w:val="18"/>
              </w:rPr>
            </w:pPr>
            <w:r w:rsidRPr="00B2051C">
              <w:rPr>
                <w:rFonts w:ascii="Arial" w:hAnsi="Arial" w:cs="Arial"/>
                <w:b/>
                <w:sz w:val="18"/>
                <w:szCs w:val="18"/>
              </w:rPr>
              <w:t>-3.9</w:t>
            </w:r>
          </w:p>
        </w:tc>
        <w:tc>
          <w:tcPr>
            <w:tcW w:w="960" w:type="dxa"/>
            <w:tcBorders>
              <w:left w:val="single" w:sz="4" w:space="0" w:color="auto"/>
              <w:bottom w:val="single" w:sz="4" w:space="0" w:color="auto"/>
              <w:right w:val="single" w:sz="4" w:space="0" w:color="auto"/>
            </w:tcBorders>
            <w:vAlign w:val="center"/>
          </w:tcPr>
          <w:p w:rsidR="000A522F" w:rsidRPr="00B2051C" w:rsidRDefault="000A522F">
            <w:pPr>
              <w:jc w:val="right"/>
              <w:rPr>
                <w:rFonts w:ascii="Arial" w:hAnsi="Arial" w:cs="Arial"/>
                <w:b/>
                <w:sz w:val="18"/>
                <w:szCs w:val="18"/>
              </w:rPr>
            </w:pPr>
            <w:r w:rsidRPr="00B2051C">
              <w:rPr>
                <w:rFonts w:ascii="Arial" w:hAnsi="Arial" w:cs="Arial"/>
                <w:b/>
                <w:sz w:val="18"/>
                <w:szCs w:val="18"/>
              </w:rPr>
              <w:t>-11.7</w:t>
            </w:r>
          </w:p>
        </w:tc>
      </w:tr>
      <w:tr w:rsidR="00000000" w:rsidRPr="00B2051C">
        <w:tc>
          <w:tcPr>
            <w:tcW w:w="1920" w:type="dxa"/>
            <w:tcBorders>
              <w:top w:val="single" w:sz="4" w:space="0" w:color="auto"/>
              <w:left w:val="single" w:sz="4" w:space="0" w:color="auto"/>
              <w:right w:val="single" w:sz="4" w:space="0" w:color="auto"/>
            </w:tcBorders>
            <w:vAlign w:val="center"/>
          </w:tcPr>
          <w:p w:rsidR="000A522F" w:rsidRPr="00B2051C" w:rsidRDefault="000A522F">
            <w:pPr>
              <w:rPr>
                <w:rFonts w:ascii="Arial" w:hAnsi="Arial" w:cs="Arial"/>
                <w:b/>
                <w:sz w:val="18"/>
                <w:szCs w:val="18"/>
              </w:rPr>
            </w:pPr>
            <w:r w:rsidRPr="00B2051C">
              <w:rPr>
                <w:rFonts w:ascii="Arial" w:hAnsi="Arial" w:cs="Arial"/>
                <w:b/>
                <w:sz w:val="18"/>
                <w:szCs w:val="18"/>
              </w:rPr>
              <w:t>Belgium</w:t>
            </w:r>
          </w:p>
        </w:tc>
        <w:tc>
          <w:tcPr>
            <w:tcW w:w="1110" w:type="dxa"/>
            <w:tcBorders>
              <w:top w:val="single" w:sz="4" w:space="0" w:color="auto"/>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10 396</w:t>
            </w:r>
          </w:p>
        </w:tc>
        <w:tc>
          <w:tcPr>
            <w:tcW w:w="1110" w:type="dxa"/>
            <w:tcBorders>
              <w:top w:val="single" w:sz="4" w:space="0" w:color="auto"/>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10 674</w:t>
            </w:r>
          </w:p>
        </w:tc>
        <w:tc>
          <w:tcPr>
            <w:tcW w:w="1110" w:type="dxa"/>
            <w:tcBorders>
              <w:top w:val="single" w:sz="4" w:space="0" w:color="auto"/>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10 898</w:t>
            </w:r>
          </w:p>
        </w:tc>
        <w:tc>
          <w:tcPr>
            <w:tcW w:w="1110" w:type="dxa"/>
            <w:tcBorders>
              <w:top w:val="single" w:sz="4" w:space="0" w:color="auto"/>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10 906</w:t>
            </w:r>
          </w:p>
        </w:tc>
        <w:tc>
          <w:tcPr>
            <w:tcW w:w="960" w:type="dxa"/>
            <w:tcBorders>
              <w:top w:val="single" w:sz="4" w:space="0" w:color="auto"/>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2.7</w:t>
            </w:r>
          </w:p>
        </w:tc>
        <w:tc>
          <w:tcPr>
            <w:tcW w:w="960" w:type="dxa"/>
            <w:tcBorders>
              <w:top w:val="single" w:sz="4" w:space="0" w:color="auto"/>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4.8</w:t>
            </w:r>
          </w:p>
        </w:tc>
        <w:tc>
          <w:tcPr>
            <w:tcW w:w="960" w:type="dxa"/>
            <w:tcBorders>
              <w:top w:val="single" w:sz="4" w:space="0" w:color="auto"/>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4.9</w:t>
            </w:r>
          </w:p>
        </w:tc>
      </w:tr>
      <w:tr w:rsidR="00000000" w:rsidRPr="00B2051C">
        <w:tc>
          <w:tcPr>
            <w:tcW w:w="1920" w:type="dxa"/>
            <w:tcBorders>
              <w:left w:val="single" w:sz="4" w:space="0" w:color="auto"/>
              <w:right w:val="single" w:sz="4" w:space="0" w:color="auto"/>
            </w:tcBorders>
            <w:vAlign w:val="center"/>
          </w:tcPr>
          <w:p w:rsidR="000A522F" w:rsidRPr="00B2051C" w:rsidRDefault="000A522F">
            <w:pPr>
              <w:rPr>
                <w:rFonts w:ascii="Arial" w:hAnsi="Arial" w:cs="Arial"/>
                <w:b/>
                <w:sz w:val="18"/>
                <w:szCs w:val="18"/>
              </w:rPr>
            </w:pPr>
            <w:r w:rsidRPr="00B2051C">
              <w:rPr>
                <w:rFonts w:ascii="Arial" w:hAnsi="Arial" w:cs="Arial"/>
                <w:b/>
                <w:sz w:val="18"/>
                <w:szCs w:val="18"/>
              </w:rPr>
              <w:t>Czech Republic</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10 212</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10 012</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9 812</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8 894</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-2.0</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-3.9</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-12.9</w:t>
            </w:r>
          </w:p>
        </w:tc>
      </w:tr>
      <w:tr w:rsidR="00000000" w:rsidRPr="00B2051C">
        <w:tc>
          <w:tcPr>
            <w:tcW w:w="1920" w:type="dxa"/>
            <w:tcBorders>
              <w:left w:val="single" w:sz="4" w:space="0" w:color="auto"/>
              <w:right w:val="single" w:sz="4" w:space="0" w:color="auto"/>
            </w:tcBorders>
            <w:vAlign w:val="center"/>
          </w:tcPr>
          <w:p w:rsidR="000A522F" w:rsidRPr="00B2051C" w:rsidRDefault="000A522F">
            <w:pPr>
              <w:rPr>
                <w:rFonts w:ascii="Arial" w:hAnsi="Arial" w:cs="Arial"/>
                <w:b/>
                <w:sz w:val="18"/>
                <w:szCs w:val="18"/>
              </w:rPr>
            </w:pPr>
            <w:r w:rsidRPr="00B2051C">
              <w:rPr>
                <w:rFonts w:ascii="Arial" w:hAnsi="Arial" w:cs="Arial"/>
                <w:b/>
                <w:sz w:val="18"/>
                <w:szCs w:val="18"/>
              </w:rPr>
              <w:t>Denmark</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5 398</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5 498</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5 557</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5 430</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1.9</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2.9</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0.6</w:t>
            </w:r>
          </w:p>
        </w:tc>
      </w:tr>
      <w:tr w:rsidR="00000000" w:rsidRPr="00B2051C">
        <w:tc>
          <w:tcPr>
            <w:tcW w:w="1920" w:type="dxa"/>
            <w:tcBorders>
              <w:left w:val="single" w:sz="4" w:space="0" w:color="auto"/>
              <w:right w:val="single" w:sz="4" w:space="0" w:color="auto"/>
            </w:tcBorders>
            <w:vAlign w:val="center"/>
          </w:tcPr>
          <w:p w:rsidR="000A522F" w:rsidRPr="00B2051C" w:rsidRDefault="000A522F">
            <w:pPr>
              <w:rPr>
                <w:rFonts w:ascii="Arial" w:hAnsi="Arial" w:cs="Arial"/>
                <w:b/>
                <w:sz w:val="18"/>
                <w:szCs w:val="18"/>
              </w:rPr>
            </w:pPr>
            <w:r w:rsidRPr="00B2051C">
              <w:rPr>
                <w:rFonts w:ascii="Arial" w:hAnsi="Arial" w:cs="Arial"/>
                <w:b/>
                <w:sz w:val="18"/>
                <w:szCs w:val="18"/>
              </w:rPr>
              <w:t>Germany</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82 532</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82 864</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82 108</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74 642</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0.4</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-0.5</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-9.6</w:t>
            </w:r>
          </w:p>
        </w:tc>
      </w:tr>
      <w:tr w:rsidR="00000000" w:rsidRPr="00B2051C">
        <w:tc>
          <w:tcPr>
            <w:tcW w:w="1920" w:type="dxa"/>
            <w:tcBorders>
              <w:left w:val="single" w:sz="4" w:space="0" w:color="auto"/>
              <w:right w:val="single" w:sz="4" w:space="0" w:color="auto"/>
            </w:tcBorders>
            <w:vAlign w:val="center"/>
          </w:tcPr>
          <w:p w:rsidR="000A522F" w:rsidRPr="00B2051C" w:rsidRDefault="000A522F">
            <w:pPr>
              <w:rPr>
                <w:rFonts w:ascii="Arial" w:hAnsi="Arial" w:cs="Arial"/>
                <w:b/>
                <w:sz w:val="18"/>
                <w:szCs w:val="18"/>
              </w:rPr>
            </w:pPr>
            <w:r w:rsidRPr="00B2051C">
              <w:rPr>
                <w:rFonts w:ascii="Arial" w:hAnsi="Arial" w:cs="Arial"/>
                <w:b/>
                <w:sz w:val="18"/>
                <w:szCs w:val="18"/>
              </w:rPr>
              <w:t>Estonia</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1 351</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1 279</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1 224</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1 126</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-5.3</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-9.4</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-16.6</w:t>
            </w:r>
          </w:p>
        </w:tc>
      </w:tr>
      <w:tr w:rsidR="00000000" w:rsidRPr="00B2051C">
        <w:tc>
          <w:tcPr>
            <w:tcW w:w="1920" w:type="dxa"/>
            <w:tcBorders>
              <w:left w:val="single" w:sz="4" w:space="0" w:color="auto"/>
              <w:right w:val="single" w:sz="4" w:space="0" w:color="auto"/>
            </w:tcBorders>
            <w:vAlign w:val="center"/>
          </w:tcPr>
          <w:p w:rsidR="000A522F" w:rsidRPr="00B2051C" w:rsidRDefault="000A522F">
            <w:pPr>
              <w:rPr>
                <w:rFonts w:ascii="Arial" w:hAnsi="Arial" w:cs="Arial"/>
                <w:b/>
                <w:sz w:val="18"/>
                <w:szCs w:val="18"/>
              </w:rPr>
            </w:pPr>
            <w:r w:rsidRPr="00B2051C">
              <w:rPr>
                <w:rFonts w:ascii="Arial" w:hAnsi="Arial" w:cs="Arial"/>
                <w:b/>
                <w:sz w:val="18"/>
                <w:szCs w:val="18"/>
              </w:rPr>
              <w:t>Greece</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11 041</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11 390</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11 394</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10 632</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3.2</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3.2</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-3.7</w:t>
            </w:r>
          </w:p>
        </w:tc>
      </w:tr>
      <w:tr w:rsidR="00000000" w:rsidRPr="00B2051C">
        <w:tc>
          <w:tcPr>
            <w:tcW w:w="1920" w:type="dxa"/>
            <w:tcBorders>
              <w:left w:val="single" w:sz="4" w:space="0" w:color="auto"/>
              <w:right w:val="single" w:sz="4" w:space="0" w:color="auto"/>
            </w:tcBorders>
            <w:vAlign w:val="center"/>
          </w:tcPr>
          <w:p w:rsidR="000A522F" w:rsidRPr="00B2051C" w:rsidRDefault="000A522F">
            <w:pPr>
              <w:rPr>
                <w:rFonts w:ascii="Arial" w:hAnsi="Arial" w:cs="Arial"/>
                <w:b/>
                <w:sz w:val="18"/>
                <w:szCs w:val="18"/>
              </w:rPr>
            </w:pPr>
            <w:r w:rsidRPr="00B2051C">
              <w:rPr>
                <w:rFonts w:ascii="Arial" w:hAnsi="Arial" w:cs="Arial"/>
                <w:b/>
                <w:sz w:val="18"/>
                <w:szCs w:val="18"/>
              </w:rPr>
              <w:t>Spain</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42 345</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45 264</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45 556</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42 834</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6.9</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7.6</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1.2</w:t>
            </w:r>
          </w:p>
        </w:tc>
      </w:tr>
      <w:tr w:rsidR="00000000" w:rsidRPr="00B2051C">
        <w:tc>
          <w:tcPr>
            <w:tcW w:w="1920" w:type="dxa"/>
            <w:tcBorders>
              <w:left w:val="single" w:sz="4" w:space="0" w:color="auto"/>
              <w:right w:val="single" w:sz="4" w:space="0" w:color="auto"/>
            </w:tcBorders>
            <w:vAlign w:val="center"/>
          </w:tcPr>
          <w:p w:rsidR="000A522F" w:rsidRPr="00B2051C" w:rsidRDefault="000A522F">
            <w:pPr>
              <w:rPr>
                <w:rFonts w:ascii="Arial" w:hAnsi="Arial" w:cs="Arial"/>
                <w:b/>
                <w:sz w:val="18"/>
                <w:szCs w:val="18"/>
                <w:vertAlign w:val="superscript"/>
              </w:rPr>
            </w:pPr>
            <w:r w:rsidRPr="00B2051C">
              <w:rPr>
                <w:rFonts w:ascii="Arial" w:hAnsi="Arial" w:cs="Arial"/>
                <w:b/>
                <w:sz w:val="18"/>
                <w:szCs w:val="18"/>
              </w:rPr>
              <w:t>France</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59 901</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62 616</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64 392</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65 704</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4.5</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7.5</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9.7</w:t>
            </w:r>
          </w:p>
        </w:tc>
      </w:tr>
      <w:tr w:rsidR="00000000" w:rsidRPr="00B2051C">
        <w:tc>
          <w:tcPr>
            <w:tcW w:w="1920" w:type="dxa"/>
            <w:tcBorders>
              <w:left w:val="single" w:sz="4" w:space="0" w:color="auto"/>
              <w:right w:val="single" w:sz="4" w:space="0" w:color="auto"/>
            </w:tcBorders>
            <w:vAlign w:val="center"/>
          </w:tcPr>
          <w:p w:rsidR="000A522F" w:rsidRPr="00B2051C" w:rsidRDefault="000A522F">
            <w:pPr>
              <w:rPr>
                <w:rFonts w:ascii="Arial" w:hAnsi="Arial" w:cs="Arial"/>
                <w:b/>
                <w:sz w:val="18"/>
                <w:szCs w:val="18"/>
              </w:rPr>
            </w:pPr>
            <w:r w:rsidRPr="00B2051C">
              <w:rPr>
                <w:rFonts w:ascii="Arial" w:hAnsi="Arial" w:cs="Arial"/>
                <w:b/>
                <w:sz w:val="18"/>
                <w:szCs w:val="18"/>
              </w:rPr>
              <w:t>Ireland</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4 028</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4 555</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4 922</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5 478</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13.1</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22.2</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36.0</w:t>
            </w:r>
          </w:p>
        </w:tc>
      </w:tr>
      <w:tr w:rsidR="00000000" w:rsidRPr="00B2051C">
        <w:tc>
          <w:tcPr>
            <w:tcW w:w="1920" w:type="dxa"/>
            <w:tcBorders>
              <w:left w:val="single" w:sz="4" w:space="0" w:color="auto"/>
              <w:right w:val="single" w:sz="4" w:space="0" w:color="auto"/>
            </w:tcBorders>
            <w:vAlign w:val="center"/>
          </w:tcPr>
          <w:p w:rsidR="000A522F" w:rsidRPr="00B2051C" w:rsidRDefault="000A522F">
            <w:pPr>
              <w:rPr>
                <w:rFonts w:ascii="Arial" w:hAnsi="Arial" w:cs="Arial"/>
                <w:b/>
                <w:sz w:val="18"/>
                <w:szCs w:val="18"/>
              </w:rPr>
            </w:pPr>
            <w:r w:rsidRPr="00B2051C">
              <w:rPr>
                <w:rFonts w:ascii="Arial" w:hAnsi="Arial" w:cs="Arial"/>
                <w:b/>
                <w:sz w:val="18"/>
                <w:szCs w:val="18"/>
              </w:rPr>
              <w:t>Italy</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57 888</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58 630</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57 751</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52 709</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1.3</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-0.2</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-8.9</w:t>
            </w:r>
          </w:p>
        </w:tc>
      </w:tr>
      <w:tr w:rsidR="00000000" w:rsidRPr="00B2051C">
        <w:tc>
          <w:tcPr>
            <w:tcW w:w="1920" w:type="dxa"/>
            <w:tcBorders>
              <w:left w:val="single" w:sz="4" w:space="0" w:color="auto"/>
              <w:right w:val="single" w:sz="4" w:space="0" w:color="auto"/>
            </w:tcBorders>
            <w:vAlign w:val="center"/>
          </w:tcPr>
          <w:p w:rsidR="000A522F" w:rsidRPr="00B2051C" w:rsidRDefault="000A522F">
            <w:pPr>
              <w:rPr>
                <w:rFonts w:ascii="Arial" w:hAnsi="Arial" w:cs="Arial"/>
                <w:b/>
                <w:sz w:val="18"/>
                <w:szCs w:val="18"/>
              </w:rPr>
            </w:pPr>
            <w:r w:rsidRPr="00B2051C">
              <w:rPr>
                <w:rFonts w:ascii="Arial" w:hAnsi="Arial" w:cs="Arial"/>
                <w:b/>
                <w:sz w:val="18"/>
                <w:szCs w:val="18"/>
              </w:rPr>
              <w:t>Cyprus</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730</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828</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 xml:space="preserve"> 897</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975</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13.3</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22.8</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33.5</w:t>
            </w:r>
          </w:p>
        </w:tc>
      </w:tr>
      <w:tr w:rsidR="00000000" w:rsidRPr="00B2051C">
        <w:tc>
          <w:tcPr>
            <w:tcW w:w="1920" w:type="dxa"/>
            <w:tcBorders>
              <w:left w:val="single" w:sz="4" w:space="0" w:color="auto"/>
              <w:right w:val="single" w:sz="4" w:space="0" w:color="auto"/>
            </w:tcBorders>
            <w:vAlign w:val="center"/>
          </w:tcPr>
          <w:p w:rsidR="000A522F" w:rsidRPr="00B2051C" w:rsidRDefault="000A522F">
            <w:pPr>
              <w:rPr>
                <w:rFonts w:ascii="Arial" w:hAnsi="Arial" w:cs="Arial"/>
                <w:b/>
                <w:sz w:val="18"/>
                <w:szCs w:val="18"/>
              </w:rPr>
            </w:pPr>
            <w:r w:rsidRPr="00B2051C">
              <w:rPr>
                <w:rFonts w:ascii="Arial" w:hAnsi="Arial" w:cs="Arial"/>
                <w:b/>
                <w:sz w:val="18"/>
                <w:szCs w:val="18"/>
              </w:rPr>
              <w:t>Latvia</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2 319</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2 174</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2 068</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1 873</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-6.3</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-10.8</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-19.2</w:t>
            </w:r>
          </w:p>
        </w:tc>
      </w:tr>
      <w:tr w:rsidR="00000000" w:rsidRPr="00B2051C">
        <w:tc>
          <w:tcPr>
            <w:tcW w:w="1920" w:type="dxa"/>
            <w:tcBorders>
              <w:left w:val="single" w:sz="4" w:space="0" w:color="auto"/>
              <w:right w:val="single" w:sz="4" w:space="0" w:color="auto"/>
            </w:tcBorders>
            <w:vAlign w:val="center"/>
          </w:tcPr>
          <w:p w:rsidR="000A522F" w:rsidRPr="00B2051C" w:rsidRDefault="000A522F">
            <w:pPr>
              <w:rPr>
                <w:rFonts w:ascii="Arial" w:hAnsi="Arial" w:cs="Arial"/>
                <w:b/>
                <w:sz w:val="18"/>
                <w:szCs w:val="18"/>
              </w:rPr>
            </w:pPr>
            <w:r w:rsidRPr="00B2051C">
              <w:rPr>
                <w:rFonts w:ascii="Arial" w:hAnsi="Arial" w:cs="Arial"/>
                <w:b/>
                <w:sz w:val="18"/>
                <w:szCs w:val="18"/>
              </w:rPr>
              <w:t>Lithuania</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3 446</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3 258</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3 134</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2 881</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-5.5</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-9.1</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-16.4</w:t>
            </w:r>
          </w:p>
        </w:tc>
      </w:tr>
      <w:tr w:rsidR="00000000" w:rsidRPr="00B2051C">
        <w:tc>
          <w:tcPr>
            <w:tcW w:w="1920" w:type="dxa"/>
            <w:tcBorders>
              <w:left w:val="single" w:sz="4" w:space="0" w:color="auto"/>
              <w:right w:val="single" w:sz="4" w:space="0" w:color="auto"/>
            </w:tcBorders>
            <w:vAlign w:val="center"/>
          </w:tcPr>
          <w:p w:rsidR="000A522F" w:rsidRPr="00B2051C" w:rsidRDefault="000A522F">
            <w:pPr>
              <w:rPr>
                <w:rFonts w:ascii="Arial" w:hAnsi="Arial" w:cs="Arial"/>
                <w:b/>
                <w:sz w:val="18"/>
                <w:szCs w:val="18"/>
              </w:rPr>
            </w:pPr>
            <w:r w:rsidRPr="00B2051C">
              <w:rPr>
                <w:rFonts w:ascii="Arial" w:hAnsi="Arial" w:cs="Arial"/>
                <w:b/>
                <w:sz w:val="18"/>
                <w:szCs w:val="18"/>
              </w:rPr>
              <w:t>Luxembourg</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452</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499</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544</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643</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10.4</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20.5</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42.3</w:t>
            </w:r>
          </w:p>
        </w:tc>
      </w:tr>
      <w:tr w:rsidR="00000000" w:rsidRPr="00B2051C">
        <w:tc>
          <w:tcPr>
            <w:tcW w:w="1920" w:type="dxa"/>
            <w:tcBorders>
              <w:left w:val="single" w:sz="4" w:space="0" w:color="auto"/>
              <w:right w:val="single" w:sz="4" w:space="0" w:color="auto"/>
            </w:tcBorders>
            <w:vAlign w:val="center"/>
          </w:tcPr>
          <w:p w:rsidR="000A522F" w:rsidRPr="00B2051C" w:rsidRDefault="000A522F">
            <w:pPr>
              <w:rPr>
                <w:rFonts w:ascii="Arial" w:hAnsi="Arial" w:cs="Arial"/>
                <w:b/>
                <w:sz w:val="18"/>
                <w:szCs w:val="18"/>
              </w:rPr>
            </w:pPr>
            <w:r w:rsidRPr="00B2051C">
              <w:rPr>
                <w:rFonts w:ascii="Arial" w:hAnsi="Arial" w:cs="Arial"/>
                <w:b/>
                <w:sz w:val="18"/>
                <w:szCs w:val="18"/>
              </w:rPr>
              <w:t>Hungary</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10 117</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9 834</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9 588</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8 915</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-2.8</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-5.2</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-11.9</w:t>
            </w:r>
          </w:p>
        </w:tc>
      </w:tr>
      <w:tr w:rsidR="00000000" w:rsidRPr="00B2051C">
        <w:tc>
          <w:tcPr>
            <w:tcW w:w="1920" w:type="dxa"/>
            <w:tcBorders>
              <w:left w:val="single" w:sz="4" w:space="0" w:color="auto"/>
              <w:right w:val="single" w:sz="4" w:space="0" w:color="auto"/>
            </w:tcBorders>
            <w:vAlign w:val="center"/>
          </w:tcPr>
          <w:p w:rsidR="000A522F" w:rsidRPr="00B2051C" w:rsidRDefault="000A522F">
            <w:pPr>
              <w:rPr>
                <w:rFonts w:ascii="Arial" w:hAnsi="Arial" w:cs="Arial"/>
                <w:b/>
                <w:sz w:val="18"/>
                <w:szCs w:val="18"/>
              </w:rPr>
            </w:pPr>
            <w:r w:rsidRPr="00B2051C">
              <w:rPr>
                <w:rFonts w:ascii="Arial" w:hAnsi="Arial" w:cs="Arial"/>
                <w:b/>
                <w:sz w:val="18"/>
                <w:szCs w:val="18"/>
              </w:rPr>
              <w:t>Malta</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400</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 xml:space="preserve"> 439</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468</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 xml:space="preserve"> 508</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9.8</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17.0</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27.1</w:t>
            </w:r>
          </w:p>
        </w:tc>
      </w:tr>
      <w:tr w:rsidR="00000000" w:rsidRPr="00B2051C">
        <w:tc>
          <w:tcPr>
            <w:tcW w:w="1920" w:type="dxa"/>
            <w:tcBorders>
              <w:left w:val="single" w:sz="4" w:space="0" w:color="auto"/>
              <w:right w:val="single" w:sz="4" w:space="0" w:color="auto"/>
            </w:tcBorders>
            <w:vAlign w:val="center"/>
          </w:tcPr>
          <w:p w:rsidR="000A522F" w:rsidRPr="00B2051C" w:rsidRDefault="000A522F">
            <w:pPr>
              <w:rPr>
                <w:rFonts w:ascii="Arial" w:hAnsi="Arial" w:cs="Arial"/>
                <w:b/>
                <w:sz w:val="18"/>
                <w:szCs w:val="18"/>
              </w:rPr>
            </w:pPr>
            <w:r w:rsidRPr="00B2051C">
              <w:rPr>
                <w:rFonts w:ascii="Arial" w:hAnsi="Arial" w:cs="Arial"/>
                <w:b/>
                <w:sz w:val="18"/>
                <w:szCs w:val="18"/>
              </w:rPr>
              <w:t>Netherlands</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16 258</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16 957</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17 429</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17 406</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4.3</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7.2</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7.1</w:t>
            </w:r>
          </w:p>
        </w:tc>
      </w:tr>
      <w:tr w:rsidR="00000000" w:rsidRPr="00B2051C">
        <w:tc>
          <w:tcPr>
            <w:tcW w:w="1920" w:type="dxa"/>
            <w:tcBorders>
              <w:left w:val="single" w:sz="4" w:space="0" w:color="auto"/>
              <w:right w:val="single" w:sz="4" w:space="0" w:color="auto"/>
            </w:tcBorders>
            <w:vAlign w:val="center"/>
          </w:tcPr>
          <w:p w:rsidR="000A522F" w:rsidRPr="00B2051C" w:rsidRDefault="000A522F">
            <w:pPr>
              <w:rPr>
                <w:rFonts w:ascii="Arial" w:hAnsi="Arial" w:cs="Arial"/>
                <w:b/>
                <w:sz w:val="18"/>
                <w:szCs w:val="18"/>
              </w:rPr>
            </w:pPr>
            <w:r w:rsidRPr="00B2051C">
              <w:rPr>
                <w:rFonts w:ascii="Arial" w:hAnsi="Arial" w:cs="Arial"/>
                <w:b/>
                <w:sz w:val="18"/>
                <w:szCs w:val="18"/>
              </w:rPr>
              <w:t>Austria</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8 114</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8 358</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8 501</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8 216</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3.0</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4.8</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1.3</w:t>
            </w:r>
          </w:p>
        </w:tc>
      </w:tr>
      <w:tr w:rsidR="00000000" w:rsidRPr="00B2051C">
        <w:tc>
          <w:tcPr>
            <w:tcW w:w="1920" w:type="dxa"/>
            <w:tcBorders>
              <w:left w:val="single" w:sz="4" w:space="0" w:color="auto"/>
              <w:right w:val="single" w:sz="4" w:space="0" w:color="auto"/>
            </w:tcBorders>
            <w:vAlign w:val="center"/>
          </w:tcPr>
          <w:p w:rsidR="000A522F" w:rsidRPr="00B2051C" w:rsidRDefault="000A522F">
            <w:pPr>
              <w:rPr>
                <w:rFonts w:ascii="Arial" w:hAnsi="Arial" w:cs="Arial"/>
                <w:b/>
                <w:sz w:val="18"/>
                <w:szCs w:val="18"/>
              </w:rPr>
            </w:pPr>
            <w:r w:rsidRPr="00B2051C">
              <w:rPr>
                <w:rFonts w:ascii="Arial" w:hAnsi="Arial" w:cs="Arial"/>
                <w:b/>
                <w:sz w:val="18"/>
                <w:szCs w:val="18"/>
              </w:rPr>
              <w:t>Poland</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38 191</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37 429</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36 836</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33 665</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-2.0</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-3.5</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-11.8</w:t>
            </w:r>
          </w:p>
        </w:tc>
      </w:tr>
      <w:tr w:rsidR="00000000" w:rsidRPr="00B2051C">
        <w:tc>
          <w:tcPr>
            <w:tcW w:w="1920" w:type="dxa"/>
            <w:tcBorders>
              <w:left w:val="single" w:sz="4" w:space="0" w:color="auto"/>
              <w:right w:val="single" w:sz="4" w:space="0" w:color="auto"/>
            </w:tcBorders>
            <w:vAlign w:val="center"/>
          </w:tcPr>
          <w:p w:rsidR="000A522F" w:rsidRPr="00B2051C" w:rsidRDefault="000A522F">
            <w:pPr>
              <w:rPr>
                <w:rFonts w:ascii="Arial" w:hAnsi="Arial" w:cs="Arial"/>
                <w:b/>
                <w:sz w:val="18"/>
                <w:szCs w:val="18"/>
              </w:rPr>
            </w:pPr>
            <w:r w:rsidRPr="00B2051C">
              <w:rPr>
                <w:rFonts w:ascii="Arial" w:hAnsi="Arial" w:cs="Arial"/>
                <w:b/>
                <w:sz w:val="18"/>
                <w:szCs w:val="18"/>
              </w:rPr>
              <w:t>Portugal</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10 475</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10 762</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10 730</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10 009</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2.7</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2.4</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-4.4</w:t>
            </w:r>
          </w:p>
        </w:tc>
      </w:tr>
      <w:tr w:rsidR="00000000" w:rsidRPr="00B2051C">
        <w:tc>
          <w:tcPr>
            <w:tcW w:w="1920" w:type="dxa"/>
            <w:tcBorders>
              <w:left w:val="single" w:sz="4" w:space="0" w:color="auto"/>
              <w:right w:val="single" w:sz="4" w:space="0" w:color="auto"/>
            </w:tcBorders>
            <w:vAlign w:val="center"/>
          </w:tcPr>
          <w:p w:rsidR="000A522F" w:rsidRPr="00B2051C" w:rsidRDefault="000A522F">
            <w:pPr>
              <w:rPr>
                <w:rFonts w:ascii="Arial" w:hAnsi="Arial" w:cs="Arial"/>
                <w:b/>
                <w:sz w:val="18"/>
                <w:szCs w:val="18"/>
              </w:rPr>
            </w:pPr>
            <w:r w:rsidRPr="00B2051C">
              <w:rPr>
                <w:rFonts w:ascii="Arial" w:hAnsi="Arial" w:cs="Arial"/>
                <w:b/>
                <w:sz w:val="18"/>
                <w:szCs w:val="18"/>
              </w:rPr>
              <w:t>Slovenia</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1 996</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2 019</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2 014</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1 901</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1.1</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0.9</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-4.8</w:t>
            </w:r>
          </w:p>
        </w:tc>
      </w:tr>
      <w:tr w:rsidR="00000000" w:rsidRPr="00B2051C">
        <w:tc>
          <w:tcPr>
            <w:tcW w:w="1920" w:type="dxa"/>
            <w:tcBorders>
              <w:left w:val="single" w:sz="4" w:space="0" w:color="auto"/>
              <w:right w:val="single" w:sz="4" w:space="0" w:color="auto"/>
            </w:tcBorders>
            <w:vAlign w:val="center"/>
          </w:tcPr>
          <w:p w:rsidR="000A522F" w:rsidRPr="00B2051C" w:rsidRDefault="000A522F">
            <w:pPr>
              <w:rPr>
                <w:rFonts w:ascii="Arial" w:hAnsi="Arial" w:cs="Arial"/>
                <w:b/>
                <w:sz w:val="18"/>
                <w:szCs w:val="18"/>
              </w:rPr>
            </w:pPr>
            <w:r w:rsidRPr="00B2051C">
              <w:rPr>
                <w:rFonts w:ascii="Arial" w:hAnsi="Arial" w:cs="Arial"/>
                <w:b/>
                <w:sz w:val="18"/>
                <w:szCs w:val="18"/>
              </w:rPr>
              <w:t>Slovakia</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5 380</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5 309</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5 237</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4 738</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-1.3</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-2.7</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-11.9</w:t>
            </w:r>
          </w:p>
        </w:tc>
      </w:tr>
      <w:tr w:rsidR="00000000" w:rsidRPr="00B2051C">
        <w:tc>
          <w:tcPr>
            <w:tcW w:w="1920" w:type="dxa"/>
            <w:tcBorders>
              <w:left w:val="single" w:sz="4" w:space="0" w:color="auto"/>
              <w:right w:val="single" w:sz="4" w:space="0" w:color="auto"/>
            </w:tcBorders>
            <w:vAlign w:val="center"/>
          </w:tcPr>
          <w:p w:rsidR="000A522F" w:rsidRPr="00B2051C" w:rsidRDefault="000A522F">
            <w:pPr>
              <w:rPr>
                <w:rFonts w:ascii="Arial" w:hAnsi="Arial" w:cs="Arial"/>
                <w:b/>
                <w:sz w:val="18"/>
                <w:szCs w:val="18"/>
              </w:rPr>
            </w:pPr>
            <w:r w:rsidRPr="00B2051C">
              <w:rPr>
                <w:rFonts w:ascii="Arial" w:hAnsi="Arial" w:cs="Arial"/>
                <w:b/>
                <w:sz w:val="18"/>
                <w:szCs w:val="18"/>
              </w:rPr>
              <w:t>Finland</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5 220</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5 354</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5 439</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5 217</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2.6</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4.2</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-0.1</w:t>
            </w:r>
          </w:p>
        </w:tc>
      </w:tr>
      <w:tr w:rsidR="00000000" w:rsidRPr="00B2051C">
        <w:tc>
          <w:tcPr>
            <w:tcW w:w="1920" w:type="dxa"/>
            <w:tcBorders>
              <w:left w:val="single" w:sz="4" w:space="0" w:color="auto"/>
              <w:right w:val="single" w:sz="4" w:space="0" w:color="auto"/>
            </w:tcBorders>
            <w:vAlign w:val="center"/>
          </w:tcPr>
          <w:p w:rsidR="000A522F" w:rsidRPr="00B2051C" w:rsidRDefault="000A522F">
            <w:pPr>
              <w:rPr>
                <w:rFonts w:ascii="Arial" w:hAnsi="Arial" w:cs="Arial"/>
                <w:b/>
                <w:sz w:val="18"/>
                <w:szCs w:val="18"/>
              </w:rPr>
            </w:pPr>
            <w:r w:rsidRPr="00B2051C">
              <w:rPr>
                <w:rFonts w:ascii="Arial" w:hAnsi="Arial" w:cs="Arial"/>
                <w:b/>
                <w:sz w:val="18"/>
                <w:szCs w:val="18"/>
              </w:rPr>
              <w:t>Sweden</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8 976</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9 373</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9 769</w:t>
            </w:r>
          </w:p>
        </w:tc>
        <w:tc>
          <w:tcPr>
            <w:tcW w:w="111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10 202</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4.4</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8.8</w:t>
            </w:r>
          </w:p>
        </w:tc>
        <w:tc>
          <w:tcPr>
            <w:tcW w:w="960" w:type="dxa"/>
            <w:tcBorders>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13.7</w:t>
            </w:r>
          </w:p>
        </w:tc>
      </w:tr>
      <w:tr w:rsidR="00000000" w:rsidRPr="00B2051C">
        <w:tc>
          <w:tcPr>
            <w:tcW w:w="1920" w:type="dxa"/>
            <w:tcBorders>
              <w:left w:val="single" w:sz="4" w:space="0" w:color="auto"/>
              <w:bottom w:val="single" w:sz="4" w:space="0" w:color="auto"/>
              <w:right w:val="single" w:sz="4" w:space="0" w:color="auto"/>
            </w:tcBorders>
            <w:vAlign w:val="center"/>
          </w:tcPr>
          <w:p w:rsidR="000A522F" w:rsidRPr="00B2051C" w:rsidRDefault="000A522F">
            <w:pPr>
              <w:rPr>
                <w:rFonts w:ascii="Arial" w:hAnsi="Arial" w:cs="Arial"/>
                <w:b/>
                <w:sz w:val="18"/>
                <w:szCs w:val="18"/>
              </w:rPr>
            </w:pPr>
            <w:r w:rsidRPr="00B2051C">
              <w:rPr>
                <w:rFonts w:ascii="Arial" w:hAnsi="Arial" w:cs="Arial"/>
                <w:b/>
                <w:sz w:val="18"/>
                <w:szCs w:val="18"/>
              </w:rPr>
              <w:t>United Kingdom</w:t>
            </w:r>
          </w:p>
        </w:tc>
        <w:tc>
          <w:tcPr>
            <w:tcW w:w="1110" w:type="dxa"/>
            <w:tcBorders>
              <w:left w:val="single" w:sz="4" w:space="0" w:color="auto"/>
              <w:bottom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59 652</w:t>
            </w:r>
          </w:p>
        </w:tc>
        <w:tc>
          <w:tcPr>
            <w:tcW w:w="1110" w:type="dxa"/>
            <w:tcBorders>
              <w:left w:val="single" w:sz="4" w:space="0" w:color="auto"/>
              <w:bottom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61 934</w:t>
            </w:r>
          </w:p>
        </w:tc>
        <w:tc>
          <w:tcPr>
            <w:tcW w:w="1110" w:type="dxa"/>
            <w:tcBorders>
              <w:left w:val="single" w:sz="4" w:space="0" w:color="auto"/>
              <w:bottom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63 792</w:t>
            </w:r>
          </w:p>
        </w:tc>
        <w:tc>
          <w:tcPr>
            <w:tcW w:w="1110" w:type="dxa"/>
            <w:tcBorders>
              <w:left w:val="single" w:sz="4" w:space="0" w:color="auto"/>
              <w:bottom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64 330</w:t>
            </w:r>
          </w:p>
        </w:tc>
        <w:tc>
          <w:tcPr>
            <w:tcW w:w="960" w:type="dxa"/>
            <w:tcBorders>
              <w:left w:val="single" w:sz="4" w:space="0" w:color="auto"/>
              <w:bottom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3.8</w:t>
            </w:r>
          </w:p>
        </w:tc>
        <w:tc>
          <w:tcPr>
            <w:tcW w:w="960" w:type="dxa"/>
            <w:tcBorders>
              <w:left w:val="single" w:sz="4" w:space="0" w:color="auto"/>
              <w:bottom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6.9</w:t>
            </w:r>
          </w:p>
        </w:tc>
        <w:tc>
          <w:tcPr>
            <w:tcW w:w="960" w:type="dxa"/>
            <w:tcBorders>
              <w:left w:val="single" w:sz="4" w:space="0" w:color="auto"/>
              <w:bottom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7.8</w:t>
            </w:r>
          </w:p>
        </w:tc>
      </w:tr>
      <w:tr w:rsidR="00000000" w:rsidRPr="00B2051C">
        <w:trPr>
          <w:trHeight w:val="70"/>
        </w:trPr>
        <w:tc>
          <w:tcPr>
            <w:tcW w:w="1920" w:type="dxa"/>
            <w:tcBorders>
              <w:top w:val="single" w:sz="4" w:space="0" w:color="auto"/>
              <w:left w:val="single" w:sz="4" w:space="0" w:color="auto"/>
              <w:right w:val="single" w:sz="4" w:space="0" w:color="auto"/>
            </w:tcBorders>
            <w:vAlign w:val="center"/>
          </w:tcPr>
          <w:p w:rsidR="000A522F" w:rsidRPr="00B2051C" w:rsidRDefault="000A522F">
            <w:pPr>
              <w:rPr>
                <w:rFonts w:ascii="Arial" w:hAnsi="Arial" w:cs="Arial"/>
                <w:b/>
                <w:sz w:val="18"/>
                <w:szCs w:val="18"/>
              </w:rPr>
            </w:pPr>
            <w:r w:rsidRPr="00B2051C">
              <w:rPr>
                <w:rFonts w:ascii="Arial" w:hAnsi="Arial" w:cs="Arial"/>
                <w:b/>
                <w:sz w:val="18"/>
                <w:szCs w:val="18"/>
              </w:rPr>
              <w:t>Bulgaria</w:t>
            </w:r>
          </w:p>
        </w:tc>
        <w:tc>
          <w:tcPr>
            <w:tcW w:w="1110" w:type="dxa"/>
            <w:tcBorders>
              <w:top w:val="single" w:sz="4" w:space="0" w:color="auto"/>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7 801</w:t>
            </w:r>
          </w:p>
        </w:tc>
        <w:tc>
          <w:tcPr>
            <w:tcW w:w="1110" w:type="dxa"/>
            <w:tcBorders>
              <w:top w:val="single" w:sz="4" w:space="0" w:color="auto"/>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7 130</w:t>
            </w:r>
          </w:p>
        </w:tc>
        <w:tc>
          <w:tcPr>
            <w:tcW w:w="1110" w:type="dxa"/>
            <w:tcBorders>
              <w:top w:val="single" w:sz="4" w:space="0" w:color="auto"/>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6 465</w:t>
            </w:r>
          </w:p>
        </w:tc>
        <w:tc>
          <w:tcPr>
            <w:tcW w:w="1110" w:type="dxa"/>
            <w:tcBorders>
              <w:top w:val="single" w:sz="4" w:space="0" w:color="auto"/>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5 094</w:t>
            </w:r>
          </w:p>
        </w:tc>
        <w:tc>
          <w:tcPr>
            <w:tcW w:w="960" w:type="dxa"/>
            <w:tcBorders>
              <w:top w:val="single" w:sz="4" w:space="0" w:color="auto"/>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-8.6</w:t>
            </w:r>
          </w:p>
        </w:tc>
        <w:tc>
          <w:tcPr>
            <w:tcW w:w="960" w:type="dxa"/>
            <w:tcBorders>
              <w:top w:val="single" w:sz="4" w:space="0" w:color="auto"/>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-17.1</w:t>
            </w:r>
          </w:p>
        </w:tc>
        <w:tc>
          <w:tcPr>
            <w:tcW w:w="960" w:type="dxa"/>
            <w:tcBorders>
              <w:top w:val="single" w:sz="4" w:space="0" w:color="auto"/>
              <w:left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-34.7</w:t>
            </w:r>
          </w:p>
        </w:tc>
      </w:tr>
      <w:tr w:rsidR="00000000" w:rsidRPr="00B2051C">
        <w:tc>
          <w:tcPr>
            <w:tcW w:w="1920" w:type="dxa"/>
            <w:tcBorders>
              <w:left w:val="single" w:sz="4" w:space="0" w:color="auto"/>
              <w:bottom w:val="single" w:sz="4" w:space="0" w:color="auto"/>
              <w:right w:val="single" w:sz="4" w:space="0" w:color="auto"/>
            </w:tcBorders>
            <w:vAlign w:val="center"/>
          </w:tcPr>
          <w:p w:rsidR="000A522F" w:rsidRPr="00B2051C" w:rsidRDefault="000A522F">
            <w:pPr>
              <w:rPr>
                <w:rFonts w:ascii="Arial" w:hAnsi="Arial" w:cs="Arial"/>
                <w:b/>
                <w:sz w:val="18"/>
                <w:szCs w:val="18"/>
              </w:rPr>
            </w:pPr>
            <w:r w:rsidRPr="00B2051C">
              <w:rPr>
                <w:rFonts w:ascii="Arial" w:hAnsi="Arial" w:cs="Arial"/>
                <w:b/>
                <w:sz w:val="18"/>
                <w:szCs w:val="18"/>
              </w:rPr>
              <w:t>Romania</w:t>
            </w:r>
          </w:p>
        </w:tc>
        <w:tc>
          <w:tcPr>
            <w:tcW w:w="1110" w:type="dxa"/>
            <w:tcBorders>
              <w:left w:val="single" w:sz="4" w:space="0" w:color="auto"/>
              <w:bottom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21 711</w:t>
            </w:r>
          </w:p>
        </w:tc>
        <w:tc>
          <w:tcPr>
            <w:tcW w:w="1110" w:type="dxa"/>
            <w:tcBorders>
              <w:left w:val="single" w:sz="4" w:space="0" w:color="auto"/>
              <w:bottom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20 917</w:t>
            </w:r>
          </w:p>
        </w:tc>
        <w:tc>
          <w:tcPr>
            <w:tcW w:w="1110" w:type="dxa"/>
            <w:tcBorders>
              <w:left w:val="single" w:sz="4" w:space="0" w:color="auto"/>
              <w:bottom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19 746</w:t>
            </w:r>
          </w:p>
        </w:tc>
        <w:tc>
          <w:tcPr>
            <w:tcW w:w="1110" w:type="dxa"/>
            <w:tcBorders>
              <w:left w:val="single" w:sz="4" w:space="0" w:color="auto"/>
              <w:bottom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17 125</w:t>
            </w:r>
          </w:p>
        </w:tc>
        <w:tc>
          <w:tcPr>
            <w:tcW w:w="960" w:type="dxa"/>
            <w:tcBorders>
              <w:left w:val="single" w:sz="4" w:space="0" w:color="auto"/>
              <w:bottom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-3.7</w:t>
            </w:r>
          </w:p>
        </w:tc>
        <w:tc>
          <w:tcPr>
            <w:tcW w:w="960" w:type="dxa"/>
            <w:tcBorders>
              <w:left w:val="single" w:sz="4" w:space="0" w:color="auto"/>
              <w:bottom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-9.1</w:t>
            </w:r>
          </w:p>
        </w:tc>
        <w:tc>
          <w:tcPr>
            <w:tcW w:w="960" w:type="dxa"/>
            <w:tcBorders>
              <w:left w:val="single" w:sz="4" w:space="0" w:color="auto"/>
              <w:bottom w:val="single" w:sz="4" w:space="0" w:color="auto"/>
              <w:right w:val="single" w:sz="4" w:space="0" w:color="auto"/>
            </w:tcBorders>
            <w:vAlign w:val="center"/>
          </w:tcPr>
          <w:p w:rsidR="000A522F" w:rsidRPr="00B2051C" w:rsidRDefault="000A522F">
            <w:pPr>
              <w:jc w:val="right"/>
              <w:rPr>
                <w:rFonts w:ascii="Arial" w:hAnsi="Arial" w:cs="Arial"/>
                <w:sz w:val="18"/>
                <w:szCs w:val="18"/>
              </w:rPr>
            </w:pPr>
            <w:r w:rsidRPr="00B2051C">
              <w:rPr>
                <w:rFonts w:ascii="Arial" w:hAnsi="Arial" w:cs="Arial"/>
                <w:sz w:val="18"/>
                <w:szCs w:val="18"/>
              </w:rPr>
              <w:t>-21.1</w:t>
            </w:r>
          </w:p>
        </w:tc>
      </w:tr>
    </w:tbl>
    <w:p w:rsidR="000A522F" w:rsidRPr="00B2051C" w:rsidRDefault="000A522F">
      <w:pPr>
        <w:rPr>
          <w:sz w:val="20"/>
        </w:rPr>
      </w:pPr>
      <w:r w:rsidRPr="00B2051C">
        <w:rPr>
          <w:sz w:val="20"/>
        </w:rPr>
        <w:t xml:space="preserve">Source: Eurostat; data for France refers to Metropolitan France </w:t>
      </w:r>
    </w:p>
    <w:p w:rsidR="000A522F" w:rsidRPr="00B2051C" w:rsidRDefault="000A522F">
      <w:r w:rsidRPr="00B2051C">
        <w:t xml:space="preserve">Over the next two decades the total population of the </w:t>
      </w:r>
      <w:r w:rsidRPr="00B2051C">
        <w:rPr>
          <w:b/>
          <w:bCs/>
        </w:rPr>
        <w:t>EU25</w:t>
      </w:r>
      <w:r w:rsidRPr="00B2051C">
        <w:t xml:space="preserve"> is expected to increase by more than 13 million inhabitants, from 456.8 million on 1 January 2004 to 470.1 million on 1 January 2025. Population growth in the </w:t>
      </w:r>
      <w:r w:rsidRPr="00B2051C">
        <w:rPr>
          <w:b/>
          <w:bCs/>
        </w:rPr>
        <w:t>EU25</w:t>
      </w:r>
      <w:r w:rsidRPr="00B2051C">
        <w:t xml:space="preserve"> until 2025 will be mainly due to net migration, since total deaths in the </w:t>
      </w:r>
      <w:r w:rsidRPr="00B2051C">
        <w:rPr>
          <w:b/>
          <w:bCs/>
        </w:rPr>
        <w:t>EU25</w:t>
      </w:r>
      <w:r w:rsidRPr="00B2051C">
        <w:t xml:space="preserve"> will outnumber total births from 2010. The effect of net migration will no longer outweigh the natural decrease after 2025, when the population will start to decline gradually. The population will reach 449.8 million on 1 January 2050, that is a decrease of more t</w:t>
      </w:r>
      <w:r w:rsidRPr="00B2051C">
        <w:t xml:space="preserve">han 20 million inhabitants compared to 2025. Over the whole projection period the </w:t>
      </w:r>
      <w:r w:rsidRPr="00B2051C">
        <w:rPr>
          <w:b/>
          <w:bCs/>
        </w:rPr>
        <w:t>EU25</w:t>
      </w:r>
      <w:r w:rsidRPr="00B2051C">
        <w:t xml:space="preserve"> population will decrease by 1.5%, resulting from a 0.4% increase for the </w:t>
      </w:r>
      <w:r w:rsidRPr="00B2051C">
        <w:rPr>
          <w:b/>
          <w:bCs/>
        </w:rPr>
        <w:t>EU15</w:t>
      </w:r>
      <w:r w:rsidRPr="00B2051C">
        <w:t xml:space="preserve"> and a 11.7% decrease for the ten new Member States. </w:t>
      </w:r>
    </w:p>
    <w:p w:rsidR="000A522F" w:rsidRPr="00B2051C" w:rsidRDefault="000A522F">
      <w:pPr>
        <w:rPr>
          <w:rFonts w:ascii="Arial" w:hAnsi="Arial" w:cs="Arial"/>
          <w:b/>
          <w:sz w:val="20"/>
          <w:u w:val="single"/>
        </w:rPr>
        <w:sectPr w:rsidR="00000000" w:rsidRPr="00B2051C">
          <w:pgSz w:w="11907" w:h="16839"/>
          <w:pgMar w:top="1134" w:right="1417" w:bottom="1134" w:left="1417" w:header="720" w:footer="720" w:gutter="0"/>
          <w:cols w:space="720"/>
          <w:docGrid w:linePitch="326"/>
        </w:sectPr>
      </w:pPr>
    </w:p>
    <w:p w:rsidR="000A522F" w:rsidRPr="00B2051C" w:rsidRDefault="000A522F">
      <w:pPr>
        <w:rPr>
          <w:b/>
          <w:u w:val="single"/>
        </w:rPr>
      </w:pPr>
      <w:r w:rsidRPr="00B2051C">
        <w:rPr>
          <w:b/>
          <w:u w:val="single"/>
        </w:rPr>
        <w:t>Table 2 - Population projections for the EU25 + Bulgaria and Romania: population structure</w:t>
      </w:r>
      <w:r w:rsidRPr="00B2051C">
        <w:rPr>
          <w:rFonts w:ascii="Arial" w:hAnsi="Arial" w:cs="Arial"/>
          <w:b/>
          <w:sz w:val="22"/>
          <w:szCs w:val="22"/>
        </w:rPr>
        <w:t>– Main age groups</w:t>
      </w:r>
      <w:r w:rsidRPr="00B2051C">
        <w:rPr>
          <w:b/>
          <w:u w:val="single"/>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8"/>
        <w:gridCol w:w="886"/>
        <w:gridCol w:w="886"/>
        <w:gridCol w:w="887"/>
        <w:gridCol w:w="886"/>
        <w:gridCol w:w="887"/>
        <w:gridCol w:w="886"/>
        <w:gridCol w:w="887"/>
        <w:gridCol w:w="886"/>
        <w:gridCol w:w="887"/>
      </w:tblGrid>
      <w:tr w:rsidR="00000000" w:rsidRPr="00B2051C">
        <w:tc>
          <w:tcPr>
            <w:tcW w:w="2228" w:type="dxa"/>
            <w:tcBorders>
              <w:top w:val="single" w:sz="4" w:space="0" w:color="auto"/>
              <w:left w:val="single" w:sz="4" w:space="0" w:color="auto"/>
              <w:bottom w:val="nil"/>
              <w:right w:val="single" w:sz="4" w:space="0" w:color="auto"/>
            </w:tcBorders>
            <w:vAlign w:val="center"/>
          </w:tcPr>
          <w:p w:rsidR="000A522F" w:rsidRPr="00B2051C" w:rsidRDefault="000A522F">
            <w:pPr>
              <w:jc w:val="center"/>
              <w:rPr>
                <w:b/>
                <w:sz w:val="18"/>
                <w:szCs w:val="18"/>
              </w:rPr>
            </w:pPr>
          </w:p>
        </w:tc>
        <w:tc>
          <w:tcPr>
            <w:tcW w:w="2659" w:type="dxa"/>
            <w:gridSpan w:val="3"/>
            <w:tcBorders>
              <w:left w:val="single" w:sz="4" w:space="0" w:color="auto"/>
              <w:bottom w:val="nil"/>
            </w:tcBorders>
            <w:vAlign w:val="center"/>
          </w:tcPr>
          <w:p w:rsidR="000A522F" w:rsidRPr="00B2051C" w:rsidRDefault="000A522F">
            <w:pPr>
              <w:jc w:val="center"/>
              <w:rPr>
                <w:b/>
                <w:sz w:val="18"/>
                <w:szCs w:val="18"/>
              </w:rPr>
            </w:pPr>
            <w:r w:rsidRPr="00B2051C">
              <w:rPr>
                <w:b/>
                <w:sz w:val="18"/>
                <w:szCs w:val="18"/>
              </w:rPr>
              <w:t>Percentage aged 0-14</w:t>
            </w:r>
          </w:p>
        </w:tc>
        <w:tc>
          <w:tcPr>
            <w:tcW w:w="2659" w:type="dxa"/>
            <w:gridSpan w:val="3"/>
            <w:tcBorders>
              <w:bottom w:val="nil"/>
            </w:tcBorders>
            <w:vAlign w:val="center"/>
          </w:tcPr>
          <w:p w:rsidR="000A522F" w:rsidRPr="00B2051C" w:rsidRDefault="000A522F">
            <w:pPr>
              <w:jc w:val="center"/>
              <w:rPr>
                <w:b/>
                <w:sz w:val="18"/>
                <w:szCs w:val="18"/>
              </w:rPr>
            </w:pPr>
            <w:r w:rsidRPr="00B2051C">
              <w:rPr>
                <w:b/>
                <w:sz w:val="18"/>
                <w:szCs w:val="18"/>
              </w:rPr>
              <w:t>Percentage aged 15-64</w:t>
            </w:r>
          </w:p>
        </w:tc>
        <w:tc>
          <w:tcPr>
            <w:tcW w:w="2660" w:type="dxa"/>
            <w:gridSpan w:val="3"/>
            <w:tcBorders>
              <w:bottom w:val="nil"/>
              <w:right w:val="single" w:sz="4" w:space="0" w:color="auto"/>
            </w:tcBorders>
            <w:vAlign w:val="center"/>
          </w:tcPr>
          <w:p w:rsidR="000A522F" w:rsidRPr="00B2051C" w:rsidRDefault="000A522F">
            <w:pPr>
              <w:jc w:val="center"/>
              <w:rPr>
                <w:b/>
                <w:sz w:val="18"/>
                <w:szCs w:val="18"/>
              </w:rPr>
            </w:pPr>
            <w:r w:rsidRPr="00B2051C">
              <w:rPr>
                <w:b/>
                <w:sz w:val="18"/>
                <w:szCs w:val="18"/>
              </w:rPr>
              <w:t>Percentage aged 65+</w:t>
            </w:r>
          </w:p>
        </w:tc>
      </w:tr>
      <w:tr w:rsidR="00000000" w:rsidRPr="00B2051C">
        <w:tc>
          <w:tcPr>
            <w:tcW w:w="2228" w:type="dxa"/>
            <w:tcBorders>
              <w:top w:val="nil"/>
              <w:left w:val="single" w:sz="4" w:space="0" w:color="auto"/>
              <w:bottom w:val="single" w:sz="4" w:space="0" w:color="auto"/>
              <w:right w:val="single" w:sz="4" w:space="0" w:color="auto"/>
            </w:tcBorders>
            <w:vAlign w:val="center"/>
          </w:tcPr>
          <w:p w:rsidR="000A522F" w:rsidRPr="00B2051C" w:rsidRDefault="000A522F">
            <w:pPr>
              <w:jc w:val="center"/>
              <w:rPr>
                <w:b/>
                <w:sz w:val="18"/>
                <w:szCs w:val="18"/>
              </w:rPr>
            </w:pPr>
          </w:p>
        </w:tc>
        <w:tc>
          <w:tcPr>
            <w:tcW w:w="886" w:type="dxa"/>
            <w:tcBorders>
              <w:top w:val="nil"/>
              <w:left w:val="single" w:sz="4" w:space="0" w:color="auto"/>
              <w:bottom w:val="single" w:sz="4" w:space="0" w:color="auto"/>
            </w:tcBorders>
            <w:vAlign w:val="center"/>
          </w:tcPr>
          <w:p w:rsidR="000A522F" w:rsidRPr="00B2051C" w:rsidRDefault="000A522F">
            <w:pPr>
              <w:jc w:val="center"/>
              <w:rPr>
                <w:b/>
                <w:sz w:val="18"/>
                <w:szCs w:val="18"/>
              </w:rPr>
            </w:pPr>
            <w:r w:rsidRPr="00B2051C">
              <w:rPr>
                <w:b/>
                <w:sz w:val="18"/>
                <w:szCs w:val="18"/>
              </w:rPr>
              <w:t>2004</w:t>
            </w:r>
          </w:p>
        </w:tc>
        <w:tc>
          <w:tcPr>
            <w:tcW w:w="886" w:type="dxa"/>
            <w:tcBorders>
              <w:top w:val="nil"/>
              <w:bottom w:val="single" w:sz="4" w:space="0" w:color="auto"/>
            </w:tcBorders>
            <w:vAlign w:val="center"/>
          </w:tcPr>
          <w:p w:rsidR="000A522F" w:rsidRPr="00B2051C" w:rsidRDefault="000A522F">
            <w:pPr>
              <w:jc w:val="center"/>
              <w:rPr>
                <w:b/>
                <w:sz w:val="18"/>
                <w:szCs w:val="18"/>
              </w:rPr>
            </w:pPr>
            <w:r w:rsidRPr="00B2051C">
              <w:rPr>
                <w:b/>
                <w:sz w:val="18"/>
                <w:szCs w:val="18"/>
              </w:rPr>
              <w:t>2025</w:t>
            </w:r>
          </w:p>
        </w:tc>
        <w:tc>
          <w:tcPr>
            <w:tcW w:w="887" w:type="dxa"/>
            <w:tcBorders>
              <w:top w:val="nil"/>
              <w:bottom w:val="single" w:sz="4" w:space="0" w:color="auto"/>
            </w:tcBorders>
            <w:vAlign w:val="center"/>
          </w:tcPr>
          <w:p w:rsidR="000A522F" w:rsidRPr="00B2051C" w:rsidRDefault="000A522F">
            <w:pPr>
              <w:jc w:val="center"/>
              <w:rPr>
                <w:b/>
                <w:sz w:val="18"/>
                <w:szCs w:val="18"/>
              </w:rPr>
            </w:pPr>
            <w:r w:rsidRPr="00B2051C">
              <w:rPr>
                <w:b/>
                <w:sz w:val="18"/>
                <w:szCs w:val="18"/>
              </w:rPr>
              <w:t>2050</w:t>
            </w:r>
          </w:p>
        </w:tc>
        <w:tc>
          <w:tcPr>
            <w:tcW w:w="886" w:type="dxa"/>
            <w:tcBorders>
              <w:top w:val="nil"/>
              <w:bottom w:val="single" w:sz="4" w:space="0" w:color="auto"/>
            </w:tcBorders>
            <w:vAlign w:val="center"/>
          </w:tcPr>
          <w:p w:rsidR="000A522F" w:rsidRPr="00B2051C" w:rsidRDefault="000A522F">
            <w:pPr>
              <w:jc w:val="center"/>
              <w:rPr>
                <w:b/>
                <w:sz w:val="18"/>
                <w:szCs w:val="18"/>
              </w:rPr>
            </w:pPr>
            <w:r w:rsidRPr="00B2051C">
              <w:rPr>
                <w:b/>
                <w:sz w:val="18"/>
                <w:szCs w:val="18"/>
              </w:rPr>
              <w:t>2004</w:t>
            </w:r>
          </w:p>
        </w:tc>
        <w:tc>
          <w:tcPr>
            <w:tcW w:w="887" w:type="dxa"/>
            <w:tcBorders>
              <w:top w:val="nil"/>
              <w:bottom w:val="single" w:sz="4" w:space="0" w:color="auto"/>
            </w:tcBorders>
            <w:vAlign w:val="center"/>
          </w:tcPr>
          <w:p w:rsidR="000A522F" w:rsidRPr="00B2051C" w:rsidRDefault="000A522F">
            <w:pPr>
              <w:jc w:val="center"/>
              <w:rPr>
                <w:b/>
                <w:sz w:val="18"/>
                <w:szCs w:val="18"/>
              </w:rPr>
            </w:pPr>
            <w:r w:rsidRPr="00B2051C">
              <w:rPr>
                <w:b/>
                <w:sz w:val="18"/>
                <w:szCs w:val="18"/>
              </w:rPr>
              <w:t>2025</w:t>
            </w:r>
          </w:p>
        </w:tc>
        <w:tc>
          <w:tcPr>
            <w:tcW w:w="886" w:type="dxa"/>
            <w:tcBorders>
              <w:top w:val="nil"/>
              <w:bottom w:val="single" w:sz="4" w:space="0" w:color="auto"/>
            </w:tcBorders>
            <w:vAlign w:val="center"/>
          </w:tcPr>
          <w:p w:rsidR="000A522F" w:rsidRPr="00B2051C" w:rsidRDefault="000A522F">
            <w:pPr>
              <w:jc w:val="center"/>
              <w:rPr>
                <w:b/>
                <w:sz w:val="18"/>
                <w:szCs w:val="18"/>
              </w:rPr>
            </w:pPr>
            <w:r w:rsidRPr="00B2051C">
              <w:rPr>
                <w:b/>
                <w:sz w:val="18"/>
                <w:szCs w:val="18"/>
              </w:rPr>
              <w:t>2050</w:t>
            </w:r>
          </w:p>
        </w:tc>
        <w:tc>
          <w:tcPr>
            <w:tcW w:w="887" w:type="dxa"/>
            <w:tcBorders>
              <w:top w:val="nil"/>
              <w:bottom w:val="single" w:sz="4" w:space="0" w:color="auto"/>
            </w:tcBorders>
            <w:vAlign w:val="center"/>
          </w:tcPr>
          <w:p w:rsidR="000A522F" w:rsidRPr="00B2051C" w:rsidRDefault="000A522F">
            <w:pPr>
              <w:jc w:val="center"/>
              <w:rPr>
                <w:b/>
                <w:sz w:val="18"/>
                <w:szCs w:val="18"/>
              </w:rPr>
            </w:pPr>
            <w:r w:rsidRPr="00B2051C">
              <w:rPr>
                <w:b/>
                <w:sz w:val="18"/>
                <w:szCs w:val="18"/>
              </w:rPr>
              <w:t>2004</w:t>
            </w:r>
          </w:p>
        </w:tc>
        <w:tc>
          <w:tcPr>
            <w:tcW w:w="886" w:type="dxa"/>
            <w:tcBorders>
              <w:top w:val="nil"/>
              <w:bottom w:val="single" w:sz="4" w:space="0" w:color="auto"/>
            </w:tcBorders>
            <w:vAlign w:val="center"/>
          </w:tcPr>
          <w:p w:rsidR="000A522F" w:rsidRPr="00B2051C" w:rsidRDefault="000A522F">
            <w:pPr>
              <w:jc w:val="center"/>
              <w:rPr>
                <w:b/>
                <w:sz w:val="18"/>
                <w:szCs w:val="18"/>
              </w:rPr>
            </w:pPr>
            <w:r w:rsidRPr="00B2051C">
              <w:rPr>
                <w:b/>
                <w:sz w:val="18"/>
                <w:szCs w:val="18"/>
              </w:rPr>
              <w:t>2025</w:t>
            </w:r>
          </w:p>
        </w:tc>
        <w:tc>
          <w:tcPr>
            <w:tcW w:w="887" w:type="dxa"/>
            <w:tcBorders>
              <w:top w:val="nil"/>
              <w:bottom w:val="single" w:sz="4" w:space="0" w:color="auto"/>
              <w:right w:val="single" w:sz="4" w:space="0" w:color="auto"/>
            </w:tcBorders>
            <w:vAlign w:val="center"/>
          </w:tcPr>
          <w:p w:rsidR="000A522F" w:rsidRPr="00B2051C" w:rsidRDefault="000A522F">
            <w:pPr>
              <w:jc w:val="center"/>
              <w:rPr>
                <w:b/>
                <w:sz w:val="18"/>
                <w:szCs w:val="18"/>
              </w:rPr>
            </w:pPr>
            <w:r w:rsidRPr="00B2051C">
              <w:rPr>
                <w:b/>
                <w:sz w:val="18"/>
                <w:szCs w:val="18"/>
              </w:rPr>
              <w:t>2050</w:t>
            </w:r>
          </w:p>
        </w:tc>
      </w:tr>
      <w:tr w:rsidR="00000000" w:rsidRPr="00B2051C">
        <w:tc>
          <w:tcPr>
            <w:tcW w:w="2228" w:type="dxa"/>
            <w:tcBorders>
              <w:top w:val="single" w:sz="4" w:space="0" w:color="auto"/>
              <w:left w:val="single" w:sz="4" w:space="0" w:color="auto"/>
              <w:bottom w:val="nil"/>
              <w:right w:val="single" w:sz="4" w:space="0" w:color="auto"/>
            </w:tcBorders>
            <w:vAlign w:val="center"/>
          </w:tcPr>
          <w:p w:rsidR="000A522F" w:rsidRPr="00B2051C" w:rsidRDefault="000A522F">
            <w:pPr>
              <w:rPr>
                <w:b/>
                <w:sz w:val="18"/>
                <w:szCs w:val="18"/>
              </w:rPr>
            </w:pPr>
            <w:r w:rsidRPr="00B2051C">
              <w:rPr>
                <w:b/>
                <w:sz w:val="18"/>
                <w:szCs w:val="18"/>
              </w:rPr>
              <w:t>EU25</w:t>
            </w:r>
          </w:p>
        </w:tc>
        <w:tc>
          <w:tcPr>
            <w:tcW w:w="886" w:type="dxa"/>
            <w:tcBorders>
              <w:top w:val="single" w:sz="4" w:space="0" w:color="auto"/>
              <w:left w:val="single" w:sz="4" w:space="0" w:color="auto"/>
              <w:bottom w:val="nil"/>
              <w:right w:val="single" w:sz="4" w:space="0" w:color="auto"/>
            </w:tcBorders>
            <w:vAlign w:val="center"/>
          </w:tcPr>
          <w:p w:rsidR="000A522F" w:rsidRPr="00B2051C" w:rsidRDefault="000A522F">
            <w:pPr>
              <w:jc w:val="right"/>
              <w:rPr>
                <w:b/>
                <w:sz w:val="18"/>
                <w:szCs w:val="18"/>
              </w:rPr>
            </w:pPr>
            <w:r w:rsidRPr="00B2051C">
              <w:rPr>
                <w:b/>
                <w:sz w:val="18"/>
                <w:szCs w:val="18"/>
              </w:rPr>
              <w:t>16.4</w:t>
            </w:r>
          </w:p>
        </w:tc>
        <w:tc>
          <w:tcPr>
            <w:tcW w:w="886" w:type="dxa"/>
            <w:tcBorders>
              <w:top w:val="single" w:sz="4" w:space="0" w:color="auto"/>
              <w:left w:val="single" w:sz="4" w:space="0" w:color="auto"/>
              <w:bottom w:val="nil"/>
              <w:right w:val="single" w:sz="4" w:space="0" w:color="auto"/>
            </w:tcBorders>
            <w:vAlign w:val="center"/>
          </w:tcPr>
          <w:p w:rsidR="000A522F" w:rsidRPr="00B2051C" w:rsidRDefault="000A522F">
            <w:pPr>
              <w:jc w:val="right"/>
              <w:rPr>
                <w:b/>
                <w:sz w:val="18"/>
                <w:szCs w:val="18"/>
              </w:rPr>
            </w:pPr>
            <w:r w:rsidRPr="00B2051C">
              <w:rPr>
                <w:b/>
                <w:sz w:val="18"/>
                <w:szCs w:val="18"/>
              </w:rPr>
              <w:t>14.4</w:t>
            </w:r>
          </w:p>
        </w:tc>
        <w:tc>
          <w:tcPr>
            <w:tcW w:w="887" w:type="dxa"/>
            <w:tcBorders>
              <w:top w:val="single" w:sz="4" w:space="0" w:color="auto"/>
              <w:left w:val="single" w:sz="4" w:space="0" w:color="auto"/>
              <w:bottom w:val="nil"/>
              <w:right w:val="single" w:sz="4" w:space="0" w:color="auto"/>
            </w:tcBorders>
            <w:vAlign w:val="center"/>
          </w:tcPr>
          <w:p w:rsidR="000A522F" w:rsidRPr="00B2051C" w:rsidRDefault="000A522F">
            <w:pPr>
              <w:jc w:val="right"/>
              <w:rPr>
                <w:b/>
                <w:sz w:val="18"/>
                <w:szCs w:val="18"/>
              </w:rPr>
            </w:pPr>
            <w:r w:rsidRPr="00B2051C">
              <w:rPr>
                <w:b/>
                <w:sz w:val="18"/>
                <w:szCs w:val="18"/>
              </w:rPr>
              <w:t>13.4</w:t>
            </w:r>
          </w:p>
        </w:tc>
        <w:tc>
          <w:tcPr>
            <w:tcW w:w="886" w:type="dxa"/>
            <w:tcBorders>
              <w:top w:val="single" w:sz="4" w:space="0" w:color="auto"/>
              <w:left w:val="single" w:sz="4" w:space="0" w:color="auto"/>
              <w:bottom w:val="nil"/>
              <w:right w:val="single" w:sz="4" w:space="0" w:color="auto"/>
            </w:tcBorders>
            <w:vAlign w:val="center"/>
          </w:tcPr>
          <w:p w:rsidR="000A522F" w:rsidRPr="00B2051C" w:rsidRDefault="000A522F">
            <w:pPr>
              <w:jc w:val="right"/>
              <w:rPr>
                <w:b/>
                <w:sz w:val="18"/>
                <w:szCs w:val="18"/>
              </w:rPr>
            </w:pPr>
            <w:r w:rsidRPr="00B2051C">
              <w:rPr>
                <w:b/>
                <w:sz w:val="18"/>
                <w:szCs w:val="18"/>
              </w:rPr>
              <w:t>67.2</w:t>
            </w:r>
          </w:p>
        </w:tc>
        <w:tc>
          <w:tcPr>
            <w:tcW w:w="887" w:type="dxa"/>
            <w:tcBorders>
              <w:top w:val="single" w:sz="4" w:space="0" w:color="auto"/>
              <w:left w:val="single" w:sz="4" w:space="0" w:color="auto"/>
              <w:bottom w:val="nil"/>
              <w:right w:val="single" w:sz="4" w:space="0" w:color="auto"/>
            </w:tcBorders>
            <w:vAlign w:val="center"/>
          </w:tcPr>
          <w:p w:rsidR="000A522F" w:rsidRPr="00B2051C" w:rsidRDefault="000A522F">
            <w:pPr>
              <w:jc w:val="right"/>
              <w:rPr>
                <w:b/>
                <w:sz w:val="18"/>
                <w:szCs w:val="18"/>
              </w:rPr>
            </w:pPr>
            <w:r w:rsidRPr="00B2051C">
              <w:rPr>
                <w:b/>
                <w:sz w:val="18"/>
                <w:szCs w:val="18"/>
              </w:rPr>
              <w:t>63.0</w:t>
            </w:r>
          </w:p>
        </w:tc>
        <w:tc>
          <w:tcPr>
            <w:tcW w:w="886" w:type="dxa"/>
            <w:tcBorders>
              <w:top w:val="single" w:sz="4" w:space="0" w:color="auto"/>
              <w:left w:val="single" w:sz="4" w:space="0" w:color="auto"/>
              <w:bottom w:val="nil"/>
              <w:right w:val="single" w:sz="4" w:space="0" w:color="auto"/>
            </w:tcBorders>
            <w:vAlign w:val="center"/>
          </w:tcPr>
          <w:p w:rsidR="000A522F" w:rsidRPr="00B2051C" w:rsidRDefault="000A522F">
            <w:pPr>
              <w:jc w:val="right"/>
              <w:rPr>
                <w:b/>
                <w:sz w:val="18"/>
                <w:szCs w:val="18"/>
              </w:rPr>
            </w:pPr>
            <w:r w:rsidRPr="00B2051C">
              <w:rPr>
                <w:b/>
                <w:sz w:val="18"/>
                <w:szCs w:val="18"/>
              </w:rPr>
              <w:t>56.7</w:t>
            </w:r>
          </w:p>
        </w:tc>
        <w:tc>
          <w:tcPr>
            <w:tcW w:w="887" w:type="dxa"/>
            <w:tcBorders>
              <w:top w:val="single" w:sz="4" w:space="0" w:color="auto"/>
              <w:left w:val="single" w:sz="4" w:space="0" w:color="auto"/>
              <w:bottom w:val="nil"/>
              <w:right w:val="single" w:sz="4" w:space="0" w:color="auto"/>
            </w:tcBorders>
            <w:vAlign w:val="center"/>
          </w:tcPr>
          <w:p w:rsidR="000A522F" w:rsidRPr="00B2051C" w:rsidRDefault="000A522F">
            <w:pPr>
              <w:jc w:val="right"/>
              <w:rPr>
                <w:b/>
                <w:sz w:val="18"/>
                <w:szCs w:val="18"/>
              </w:rPr>
            </w:pPr>
            <w:r w:rsidRPr="00B2051C">
              <w:rPr>
                <w:b/>
                <w:sz w:val="18"/>
                <w:szCs w:val="18"/>
              </w:rPr>
              <w:t>16.4</w:t>
            </w:r>
          </w:p>
        </w:tc>
        <w:tc>
          <w:tcPr>
            <w:tcW w:w="886" w:type="dxa"/>
            <w:tcBorders>
              <w:top w:val="single" w:sz="4" w:space="0" w:color="auto"/>
              <w:left w:val="single" w:sz="4" w:space="0" w:color="auto"/>
              <w:bottom w:val="nil"/>
              <w:right w:val="single" w:sz="4" w:space="0" w:color="auto"/>
            </w:tcBorders>
            <w:vAlign w:val="center"/>
          </w:tcPr>
          <w:p w:rsidR="000A522F" w:rsidRPr="00B2051C" w:rsidRDefault="000A522F">
            <w:pPr>
              <w:jc w:val="right"/>
              <w:rPr>
                <w:b/>
                <w:sz w:val="18"/>
                <w:szCs w:val="18"/>
              </w:rPr>
            </w:pPr>
            <w:r w:rsidRPr="00B2051C">
              <w:rPr>
                <w:b/>
                <w:sz w:val="18"/>
                <w:szCs w:val="18"/>
              </w:rPr>
              <w:t>22.6</w:t>
            </w:r>
          </w:p>
        </w:tc>
        <w:tc>
          <w:tcPr>
            <w:tcW w:w="887" w:type="dxa"/>
            <w:tcBorders>
              <w:top w:val="single" w:sz="4" w:space="0" w:color="auto"/>
              <w:left w:val="single" w:sz="4" w:space="0" w:color="auto"/>
              <w:bottom w:val="nil"/>
              <w:right w:val="single" w:sz="4" w:space="0" w:color="auto"/>
            </w:tcBorders>
            <w:vAlign w:val="center"/>
          </w:tcPr>
          <w:p w:rsidR="000A522F" w:rsidRPr="00B2051C" w:rsidRDefault="000A522F">
            <w:pPr>
              <w:jc w:val="right"/>
              <w:rPr>
                <w:b/>
                <w:sz w:val="18"/>
                <w:szCs w:val="18"/>
              </w:rPr>
            </w:pPr>
            <w:r w:rsidRPr="00B2051C">
              <w:rPr>
                <w:b/>
                <w:sz w:val="18"/>
                <w:szCs w:val="18"/>
              </w:rPr>
              <w:t>29.9</w:t>
            </w:r>
          </w:p>
        </w:tc>
      </w:tr>
      <w:tr w:rsidR="00000000" w:rsidRPr="00B2051C">
        <w:tc>
          <w:tcPr>
            <w:tcW w:w="2228" w:type="dxa"/>
            <w:tcBorders>
              <w:top w:val="nil"/>
              <w:left w:val="single" w:sz="4" w:space="0" w:color="auto"/>
              <w:bottom w:val="nil"/>
              <w:right w:val="single" w:sz="4" w:space="0" w:color="auto"/>
            </w:tcBorders>
            <w:vAlign w:val="center"/>
          </w:tcPr>
          <w:p w:rsidR="000A522F" w:rsidRPr="00B2051C" w:rsidRDefault="000A522F">
            <w:pPr>
              <w:rPr>
                <w:b/>
                <w:sz w:val="18"/>
                <w:szCs w:val="18"/>
              </w:rPr>
            </w:pPr>
            <w:r w:rsidRPr="00B2051C">
              <w:rPr>
                <w:b/>
                <w:sz w:val="18"/>
                <w:szCs w:val="18"/>
              </w:rPr>
              <w:t>EU15</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b/>
                <w:sz w:val="18"/>
                <w:szCs w:val="18"/>
              </w:rPr>
            </w:pPr>
            <w:r w:rsidRPr="00B2051C">
              <w:rPr>
                <w:b/>
                <w:sz w:val="18"/>
                <w:szCs w:val="18"/>
              </w:rPr>
              <w:t>16.3</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b/>
                <w:sz w:val="18"/>
                <w:szCs w:val="18"/>
              </w:rPr>
            </w:pPr>
            <w:r w:rsidRPr="00B2051C">
              <w:rPr>
                <w:b/>
                <w:sz w:val="18"/>
                <w:szCs w:val="18"/>
              </w:rPr>
              <w:t>14.4</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b/>
                <w:sz w:val="18"/>
                <w:szCs w:val="18"/>
              </w:rPr>
            </w:pPr>
            <w:r w:rsidRPr="00B2051C">
              <w:rPr>
                <w:b/>
                <w:sz w:val="18"/>
                <w:szCs w:val="18"/>
              </w:rPr>
              <w:t>13.5</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b/>
                <w:sz w:val="18"/>
                <w:szCs w:val="18"/>
              </w:rPr>
            </w:pPr>
            <w:r w:rsidRPr="00B2051C">
              <w:rPr>
                <w:b/>
                <w:sz w:val="18"/>
                <w:szCs w:val="18"/>
              </w:rPr>
              <w:t>66.7</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b/>
                <w:sz w:val="18"/>
                <w:szCs w:val="18"/>
              </w:rPr>
            </w:pPr>
            <w:r w:rsidRPr="00B2051C">
              <w:rPr>
                <w:b/>
                <w:sz w:val="18"/>
                <w:szCs w:val="18"/>
              </w:rPr>
              <w:t>62.8</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b/>
                <w:sz w:val="18"/>
                <w:szCs w:val="18"/>
              </w:rPr>
            </w:pPr>
            <w:r w:rsidRPr="00B2051C">
              <w:rPr>
                <w:b/>
                <w:sz w:val="18"/>
                <w:szCs w:val="18"/>
              </w:rPr>
              <w:t>56.5</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b/>
                <w:sz w:val="18"/>
                <w:szCs w:val="18"/>
              </w:rPr>
            </w:pPr>
            <w:r w:rsidRPr="00B2051C">
              <w:rPr>
                <w:b/>
                <w:sz w:val="18"/>
                <w:szCs w:val="18"/>
              </w:rPr>
              <w:t>17.0</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b/>
                <w:sz w:val="18"/>
                <w:szCs w:val="18"/>
              </w:rPr>
            </w:pPr>
            <w:r w:rsidRPr="00B2051C">
              <w:rPr>
                <w:b/>
                <w:sz w:val="18"/>
                <w:szCs w:val="18"/>
              </w:rPr>
              <w:t>22.8</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b/>
                <w:sz w:val="18"/>
                <w:szCs w:val="18"/>
              </w:rPr>
            </w:pPr>
            <w:r w:rsidRPr="00B2051C">
              <w:rPr>
                <w:b/>
                <w:sz w:val="18"/>
                <w:szCs w:val="18"/>
              </w:rPr>
              <w:t>30.0</w:t>
            </w:r>
          </w:p>
        </w:tc>
      </w:tr>
      <w:tr w:rsidR="00000000" w:rsidRPr="00B2051C">
        <w:tc>
          <w:tcPr>
            <w:tcW w:w="2228" w:type="dxa"/>
            <w:tcBorders>
              <w:top w:val="nil"/>
              <w:left w:val="single" w:sz="4" w:space="0" w:color="auto"/>
              <w:bottom w:val="single" w:sz="4" w:space="0" w:color="auto"/>
              <w:right w:val="single" w:sz="4" w:space="0" w:color="auto"/>
            </w:tcBorders>
            <w:vAlign w:val="center"/>
          </w:tcPr>
          <w:p w:rsidR="000A522F" w:rsidRPr="00B2051C" w:rsidRDefault="000A522F">
            <w:pPr>
              <w:rPr>
                <w:b/>
                <w:sz w:val="18"/>
                <w:szCs w:val="18"/>
              </w:rPr>
            </w:pPr>
            <w:r w:rsidRPr="00B2051C">
              <w:rPr>
                <w:b/>
                <w:sz w:val="18"/>
                <w:szCs w:val="18"/>
              </w:rPr>
              <w:t>New Member States</w:t>
            </w:r>
          </w:p>
        </w:tc>
        <w:tc>
          <w:tcPr>
            <w:tcW w:w="886" w:type="dxa"/>
            <w:tcBorders>
              <w:top w:val="nil"/>
              <w:left w:val="single" w:sz="4" w:space="0" w:color="auto"/>
              <w:bottom w:val="single" w:sz="4" w:space="0" w:color="auto"/>
              <w:right w:val="single" w:sz="4" w:space="0" w:color="auto"/>
            </w:tcBorders>
            <w:vAlign w:val="center"/>
          </w:tcPr>
          <w:p w:rsidR="000A522F" w:rsidRPr="00B2051C" w:rsidRDefault="000A522F">
            <w:pPr>
              <w:jc w:val="right"/>
              <w:rPr>
                <w:b/>
                <w:sz w:val="18"/>
                <w:szCs w:val="18"/>
              </w:rPr>
            </w:pPr>
            <w:r w:rsidRPr="00B2051C">
              <w:rPr>
                <w:b/>
                <w:sz w:val="18"/>
                <w:szCs w:val="18"/>
              </w:rPr>
              <w:t>16.7</w:t>
            </w:r>
          </w:p>
        </w:tc>
        <w:tc>
          <w:tcPr>
            <w:tcW w:w="886" w:type="dxa"/>
            <w:tcBorders>
              <w:top w:val="nil"/>
              <w:left w:val="single" w:sz="4" w:space="0" w:color="auto"/>
              <w:bottom w:val="single" w:sz="4" w:space="0" w:color="auto"/>
              <w:right w:val="single" w:sz="4" w:space="0" w:color="auto"/>
            </w:tcBorders>
            <w:vAlign w:val="center"/>
          </w:tcPr>
          <w:p w:rsidR="000A522F" w:rsidRPr="00B2051C" w:rsidRDefault="000A522F">
            <w:pPr>
              <w:jc w:val="right"/>
              <w:rPr>
                <w:b/>
                <w:sz w:val="18"/>
                <w:szCs w:val="18"/>
              </w:rPr>
            </w:pPr>
            <w:r w:rsidRPr="00B2051C">
              <w:rPr>
                <w:b/>
                <w:sz w:val="18"/>
                <w:szCs w:val="18"/>
              </w:rPr>
              <w:t>14.4</w:t>
            </w:r>
          </w:p>
        </w:tc>
        <w:tc>
          <w:tcPr>
            <w:tcW w:w="887" w:type="dxa"/>
            <w:tcBorders>
              <w:top w:val="nil"/>
              <w:left w:val="single" w:sz="4" w:space="0" w:color="auto"/>
              <w:bottom w:val="single" w:sz="4" w:space="0" w:color="auto"/>
              <w:right w:val="single" w:sz="4" w:space="0" w:color="auto"/>
            </w:tcBorders>
            <w:vAlign w:val="center"/>
          </w:tcPr>
          <w:p w:rsidR="000A522F" w:rsidRPr="00B2051C" w:rsidRDefault="000A522F">
            <w:pPr>
              <w:jc w:val="right"/>
              <w:rPr>
                <w:b/>
                <w:sz w:val="18"/>
                <w:szCs w:val="18"/>
              </w:rPr>
            </w:pPr>
            <w:r w:rsidRPr="00B2051C">
              <w:rPr>
                <w:b/>
                <w:sz w:val="18"/>
                <w:szCs w:val="18"/>
              </w:rPr>
              <w:t>13.2</w:t>
            </w:r>
          </w:p>
        </w:tc>
        <w:tc>
          <w:tcPr>
            <w:tcW w:w="886" w:type="dxa"/>
            <w:tcBorders>
              <w:top w:val="nil"/>
              <w:left w:val="single" w:sz="4" w:space="0" w:color="auto"/>
              <w:bottom w:val="single" w:sz="4" w:space="0" w:color="auto"/>
              <w:right w:val="single" w:sz="4" w:space="0" w:color="auto"/>
            </w:tcBorders>
            <w:vAlign w:val="center"/>
          </w:tcPr>
          <w:p w:rsidR="000A522F" w:rsidRPr="00B2051C" w:rsidRDefault="000A522F">
            <w:pPr>
              <w:jc w:val="right"/>
              <w:rPr>
                <w:b/>
                <w:sz w:val="18"/>
                <w:szCs w:val="18"/>
              </w:rPr>
            </w:pPr>
            <w:r w:rsidRPr="00B2051C">
              <w:rPr>
                <w:b/>
                <w:sz w:val="18"/>
                <w:szCs w:val="18"/>
              </w:rPr>
              <w:t>69.7</w:t>
            </w:r>
          </w:p>
        </w:tc>
        <w:tc>
          <w:tcPr>
            <w:tcW w:w="887" w:type="dxa"/>
            <w:tcBorders>
              <w:top w:val="nil"/>
              <w:left w:val="single" w:sz="4" w:space="0" w:color="auto"/>
              <w:bottom w:val="single" w:sz="4" w:space="0" w:color="auto"/>
              <w:right w:val="single" w:sz="4" w:space="0" w:color="auto"/>
            </w:tcBorders>
            <w:vAlign w:val="center"/>
          </w:tcPr>
          <w:p w:rsidR="000A522F" w:rsidRPr="00B2051C" w:rsidRDefault="000A522F">
            <w:pPr>
              <w:jc w:val="right"/>
              <w:rPr>
                <w:b/>
                <w:sz w:val="18"/>
                <w:szCs w:val="18"/>
              </w:rPr>
            </w:pPr>
            <w:r w:rsidRPr="00B2051C">
              <w:rPr>
                <w:b/>
                <w:sz w:val="18"/>
                <w:szCs w:val="18"/>
              </w:rPr>
              <w:t>64.5</w:t>
            </w:r>
          </w:p>
        </w:tc>
        <w:tc>
          <w:tcPr>
            <w:tcW w:w="886" w:type="dxa"/>
            <w:tcBorders>
              <w:top w:val="nil"/>
              <w:left w:val="single" w:sz="4" w:space="0" w:color="auto"/>
              <w:bottom w:val="single" w:sz="4" w:space="0" w:color="auto"/>
              <w:right w:val="single" w:sz="4" w:space="0" w:color="auto"/>
            </w:tcBorders>
            <w:vAlign w:val="center"/>
          </w:tcPr>
          <w:p w:rsidR="000A522F" w:rsidRPr="00B2051C" w:rsidRDefault="000A522F">
            <w:pPr>
              <w:jc w:val="right"/>
              <w:rPr>
                <w:b/>
                <w:sz w:val="18"/>
                <w:szCs w:val="18"/>
              </w:rPr>
            </w:pPr>
            <w:r w:rsidRPr="00B2051C">
              <w:rPr>
                <w:b/>
                <w:sz w:val="18"/>
                <w:szCs w:val="18"/>
              </w:rPr>
              <w:t>57.7</w:t>
            </w:r>
          </w:p>
        </w:tc>
        <w:tc>
          <w:tcPr>
            <w:tcW w:w="887" w:type="dxa"/>
            <w:tcBorders>
              <w:top w:val="nil"/>
              <w:left w:val="single" w:sz="4" w:space="0" w:color="auto"/>
              <w:bottom w:val="single" w:sz="4" w:space="0" w:color="auto"/>
              <w:right w:val="single" w:sz="4" w:space="0" w:color="auto"/>
            </w:tcBorders>
            <w:vAlign w:val="center"/>
          </w:tcPr>
          <w:p w:rsidR="000A522F" w:rsidRPr="00B2051C" w:rsidRDefault="000A522F">
            <w:pPr>
              <w:jc w:val="right"/>
              <w:rPr>
                <w:b/>
                <w:sz w:val="18"/>
                <w:szCs w:val="18"/>
              </w:rPr>
            </w:pPr>
            <w:r w:rsidRPr="00B2051C">
              <w:rPr>
                <w:b/>
                <w:sz w:val="18"/>
                <w:szCs w:val="18"/>
              </w:rPr>
              <w:t>13.6</w:t>
            </w:r>
          </w:p>
        </w:tc>
        <w:tc>
          <w:tcPr>
            <w:tcW w:w="886" w:type="dxa"/>
            <w:tcBorders>
              <w:top w:val="nil"/>
              <w:left w:val="single" w:sz="4" w:space="0" w:color="auto"/>
              <w:bottom w:val="single" w:sz="4" w:space="0" w:color="auto"/>
              <w:right w:val="single" w:sz="4" w:space="0" w:color="auto"/>
            </w:tcBorders>
            <w:vAlign w:val="center"/>
          </w:tcPr>
          <w:p w:rsidR="000A522F" w:rsidRPr="00B2051C" w:rsidRDefault="000A522F">
            <w:pPr>
              <w:jc w:val="right"/>
              <w:rPr>
                <w:b/>
                <w:sz w:val="18"/>
                <w:szCs w:val="18"/>
              </w:rPr>
            </w:pPr>
            <w:r w:rsidRPr="00B2051C">
              <w:rPr>
                <w:b/>
                <w:sz w:val="18"/>
                <w:szCs w:val="18"/>
              </w:rPr>
              <w:t>21.1</w:t>
            </w:r>
          </w:p>
        </w:tc>
        <w:tc>
          <w:tcPr>
            <w:tcW w:w="887" w:type="dxa"/>
            <w:tcBorders>
              <w:top w:val="nil"/>
              <w:left w:val="single" w:sz="4" w:space="0" w:color="auto"/>
              <w:bottom w:val="single" w:sz="4" w:space="0" w:color="auto"/>
              <w:right w:val="single" w:sz="4" w:space="0" w:color="auto"/>
            </w:tcBorders>
            <w:vAlign w:val="center"/>
          </w:tcPr>
          <w:p w:rsidR="000A522F" w:rsidRPr="00B2051C" w:rsidRDefault="000A522F">
            <w:pPr>
              <w:jc w:val="right"/>
              <w:rPr>
                <w:b/>
                <w:sz w:val="18"/>
                <w:szCs w:val="18"/>
              </w:rPr>
            </w:pPr>
            <w:r w:rsidRPr="00B2051C">
              <w:rPr>
                <w:b/>
                <w:sz w:val="18"/>
                <w:szCs w:val="18"/>
              </w:rPr>
              <w:t>29.1</w:t>
            </w:r>
          </w:p>
        </w:tc>
      </w:tr>
      <w:tr w:rsidR="00000000" w:rsidRPr="00B2051C">
        <w:tc>
          <w:tcPr>
            <w:tcW w:w="2228" w:type="dxa"/>
            <w:tcBorders>
              <w:top w:val="single" w:sz="4" w:space="0" w:color="auto"/>
              <w:left w:val="single" w:sz="4" w:space="0" w:color="auto"/>
              <w:bottom w:val="nil"/>
              <w:right w:val="single" w:sz="4" w:space="0" w:color="auto"/>
            </w:tcBorders>
            <w:vAlign w:val="center"/>
          </w:tcPr>
          <w:p w:rsidR="000A522F" w:rsidRPr="00B2051C" w:rsidRDefault="000A522F">
            <w:pPr>
              <w:rPr>
                <w:b/>
                <w:sz w:val="18"/>
                <w:szCs w:val="18"/>
              </w:rPr>
            </w:pPr>
            <w:r w:rsidRPr="00B2051C">
              <w:rPr>
                <w:b/>
                <w:sz w:val="18"/>
                <w:szCs w:val="18"/>
              </w:rPr>
              <w:t>Belgium</w:t>
            </w:r>
          </w:p>
        </w:tc>
        <w:tc>
          <w:tcPr>
            <w:tcW w:w="886" w:type="dxa"/>
            <w:tcBorders>
              <w:top w:val="single" w:sz="4" w:space="0" w:color="auto"/>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17.3</w:t>
            </w:r>
          </w:p>
        </w:tc>
        <w:tc>
          <w:tcPr>
            <w:tcW w:w="886" w:type="dxa"/>
            <w:tcBorders>
              <w:top w:val="single" w:sz="4" w:space="0" w:color="auto"/>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15.6</w:t>
            </w:r>
          </w:p>
        </w:tc>
        <w:tc>
          <w:tcPr>
            <w:tcW w:w="887" w:type="dxa"/>
            <w:tcBorders>
              <w:top w:val="single" w:sz="4" w:space="0" w:color="auto"/>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14.7</w:t>
            </w:r>
          </w:p>
        </w:tc>
        <w:tc>
          <w:tcPr>
            <w:tcW w:w="886" w:type="dxa"/>
            <w:tcBorders>
              <w:top w:val="single" w:sz="4" w:space="0" w:color="auto"/>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65.6</w:t>
            </w:r>
          </w:p>
        </w:tc>
        <w:tc>
          <w:tcPr>
            <w:tcW w:w="887" w:type="dxa"/>
            <w:tcBorders>
              <w:top w:val="single" w:sz="4" w:space="0" w:color="auto"/>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61.9</w:t>
            </w:r>
          </w:p>
        </w:tc>
        <w:tc>
          <w:tcPr>
            <w:tcW w:w="886" w:type="dxa"/>
            <w:tcBorders>
              <w:top w:val="single" w:sz="4" w:space="0" w:color="auto"/>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57.6</w:t>
            </w:r>
          </w:p>
        </w:tc>
        <w:tc>
          <w:tcPr>
            <w:tcW w:w="887" w:type="dxa"/>
            <w:tcBorders>
              <w:top w:val="single" w:sz="4" w:space="0" w:color="auto"/>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17.1</w:t>
            </w:r>
          </w:p>
        </w:tc>
        <w:tc>
          <w:tcPr>
            <w:tcW w:w="886" w:type="dxa"/>
            <w:tcBorders>
              <w:top w:val="single" w:sz="4" w:space="0" w:color="auto"/>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22.5</w:t>
            </w:r>
          </w:p>
        </w:tc>
        <w:tc>
          <w:tcPr>
            <w:tcW w:w="887" w:type="dxa"/>
            <w:tcBorders>
              <w:top w:val="single" w:sz="4" w:space="0" w:color="auto"/>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27.7</w:t>
            </w:r>
          </w:p>
        </w:tc>
      </w:tr>
      <w:tr w:rsidR="00000000" w:rsidRPr="00B2051C">
        <w:tc>
          <w:tcPr>
            <w:tcW w:w="2228" w:type="dxa"/>
            <w:tcBorders>
              <w:top w:val="nil"/>
              <w:left w:val="single" w:sz="4" w:space="0" w:color="auto"/>
              <w:bottom w:val="nil"/>
              <w:right w:val="single" w:sz="4" w:space="0" w:color="auto"/>
            </w:tcBorders>
            <w:vAlign w:val="center"/>
          </w:tcPr>
          <w:p w:rsidR="000A522F" w:rsidRPr="00B2051C" w:rsidRDefault="000A522F">
            <w:pPr>
              <w:rPr>
                <w:b/>
                <w:sz w:val="18"/>
                <w:szCs w:val="18"/>
              </w:rPr>
            </w:pPr>
            <w:r w:rsidRPr="00B2051C">
              <w:rPr>
                <w:b/>
                <w:sz w:val="18"/>
                <w:szCs w:val="18"/>
              </w:rPr>
              <w:t>Czech Republic</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15.2</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13.5</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12.6</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70.8</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64.1</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56.5</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14.0</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22.4</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30.9</w:t>
            </w:r>
          </w:p>
        </w:tc>
      </w:tr>
      <w:tr w:rsidR="00000000" w:rsidRPr="00B2051C">
        <w:tc>
          <w:tcPr>
            <w:tcW w:w="2228" w:type="dxa"/>
            <w:tcBorders>
              <w:top w:val="nil"/>
              <w:left w:val="single" w:sz="4" w:space="0" w:color="auto"/>
              <w:bottom w:val="nil"/>
              <w:right w:val="single" w:sz="4" w:space="0" w:color="auto"/>
            </w:tcBorders>
            <w:vAlign w:val="center"/>
          </w:tcPr>
          <w:p w:rsidR="000A522F" w:rsidRPr="00B2051C" w:rsidRDefault="000A522F">
            <w:pPr>
              <w:rPr>
                <w:b/>
                <w:sz w:val="18"/>
                <w:szCs w:val="18"/>
              </w:rPr>
            </w:pPr>
            <w:r w:rsidRPr="00B2051C">
              <w:rPr>
                <w:b/>
                <w:sz w:val="18"/>
                <w:szCs w:val="18"/>
              </w:rPr>
              <w:t>Denmark</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18.9</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15.9</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15.7</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66.2</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62.9</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60.2</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14.9</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21.2</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24.1</w:t>
            </w:r>
          </w:p>
        </w:tc>
      </w:tr>
      <w:tr w:rsidR="00000000" w:rsidRPr="00B2051C">
        <w:tc>
          <w:tcPr>
            <w:tcW w:w="2228" w:type="dxa"/>
            <w:tcBorders>
              <w:top w:val="nil"/>
              <w:left w:val="single" w:sz="4" w:space="0" w:color="auto"/>
              <w:bottom w:val="nil"/>
              <w:right w:val="single" w:sz="4" w:space="0" w:color="auto"/>
            </w:tcBorders>
            <w:vAlign w:val="center"/>
          </w:tcPr>
          <w:p w:rsidR="000A522F" w:rsidRPr="00B2051C" w:rsidRDefault="000A522F">
            <w:pPr>
              <w:rPr>
                <w:b/>
                <w:sz w:val="18"/>
                <w:szCs w:val="18"/>
              </w:rPr>
            </w:pPr>
            <w:r w:rsidRPr="00B2051C">
              <w:rPr>
                <w:b/>
                <w:sz w:val="18"/>
                <w:szCs w:val="18"/>
              </w:rPr>
              <w:t>Germany</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14.7</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12.9</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11.9</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67.3</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62.5</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56.5</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18.0</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24.6</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31.6</w:t>
            </w:r>
          </w:p>
        </w:tc>
      </w:tr>
      <w:tr w:rsidR="00000000" w:rsidRPr="00B2051C">
        <w:tc>
          <w:tcPr>
            <w:tcW w:w="2228" w:type="dxa"/>
            <w:tcBorders>
              <w:top w:val="nil"/>
              <w:left w:val="single" w:sz="4" w:space="0" w:color="auto"/>
              <w:bottom w:val="nil"/>
              <w:right w:val="single" w:sz="4" w:space="0" w:color="auto"/>
            </w:tcBorders>
            <w:vAlign w:val="center"/>
          </w:tcPr>
          <w:p w:rsidR="000A522F" w:rsidRPr="00B2051C" w:rsidRDefault="000A522F">
            <w:pPr>
              <w:rPr>
                <w:b/>
                <w:sz w:val="18"/>
                <w:szCs w:val="18"/>
              </w:rPr>
            </w:pPr>
            <w:r w:rsidRPr="00B2051C">
              <w:rPr>
                <w:b/>
                <w:sz w:val="18"/>
                <w:szCs w:val="18"/>
              </w:rPr>
              <w:t>Estonia</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16.0</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16.2</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14.8</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67.9</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63.9</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59.6</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16.1</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19.9</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25.6</w:t>
            </w:r>
          </w:p>
        </w:tc>
      </w:tr>
      <w:tr w:rsidR="00000000" w:rsidRPr="00B2051C">
        <w:tc>
          <w:tcPr>
            <w:tcW w:w="2228" w:type="dxa"/>
            <w:tcBorders>
              <w:top w:val="nil"/>
              <w:left w:val="single" w:sz="4" w:space="0" w:color="auto"/>
              <w:bottom w:val="nil"/>
              <w:right w:val="single" w:sz="4" w:space="0" w:color="auto"/>
            </w:tcBorders>
            <w:vAlign w:val="center"/>
          </w:tcPr>
          <w:p w:rsidR="000A522F" w:rsidRPr="00B2051C" w:rsidRDefault="000A522F">
            <w:pPr>
              <w:rPr>
                <w:b/>
                <w:sz w:val="18"/>
                <w:szCs w:val="18"/>
              </w:rPr>
            </w:pPr>
            <w:r w:rsidRPr="00B2051C">
              <w:rPr>
                <w:b/>
                <w:sz w:val="18"/>
                <w:szCs w:val="18"/>
              </w:rPr>
              <w:t>Greece</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14.5</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13.3</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12.3</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67.7</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63.9</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55.2</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17.8</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22.8</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32.5</w:t>
            </w:r>
          </w:p>
        </w:tc>
      </w:tr>
      <w:tr w:rsidR="00000000" w:rsidRPr="00B2051C">
        <w:tc>
          <w:tcPr>
            <w:tcW w:w="2228" w:type="dxa"/>
            <w:tcBorders>
              <w:top w:val="nil"/>
              <w:left w:val="single" w:sz="4" w:space="0" w:color="auto"/>
              <w:bottom w:val="nil"/>
              <w:right w:val="single" w:sz="4" w:space="0" w:color="auto"/>
            </w:tcBorders>
            <w:vAlign w:val="center"/>
          </w:tcPr>
          <w:p w:rsidR="000A522F" w:rsidRPr="00B2051C" w:rsidRDefault="000A522F">
            <w:pPr>
              <w:rPr>
                <w:b/>
                <w:sz w:val="18"/>
                <w:szCs w:val="18"/>
              </w:rPr>
            </w:pPr>
            <w:r w:rsidRPr="00B2051C">
              <w:rPr>
                <w:b/>
                <w:sz w:val="18"/>
                <w:szCs w:val="18"/>
              </w:rPr>
              <w:t>Spain</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14.5</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12.8</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11.5</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68.6</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65.2</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52.9</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16.9</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22.0</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35.6</w:t>
            </w:r>
          </w:p>
        </w:tc>
      </w:tr>
      <w:tr w:rsidR="00000000" w:rsidRPr="00B2051C">
        <w:tc>
          <w:tcPr>
            <w:tcW w:w="2228" w:type="dxa"/>
            <w:tcBorders>
              <w:top w:val="nil"/>
              <w:left w:val="single" w:sz="4" w:space="0" w:color="auto"/>
              <w:bottom w:val="nil"/>
              <w:right w:val="single" w:sz="4" w:space="0" w:color="auto"/>
            </w:tcBorders>
            <w:vAlign w:val="center"/>
          </w:tcPr>
          <w:p w:rsidR="000A522F" w:rsidRPr="00B2051C" w:rsidRDefault="000A522F">
            <w:pPr>
              <w:rPr>
                <w:b/>
                <w:sz w:val="18"/>
                <w:szCs w:val="18"/>
                <w:vertAlign w:val="superscript"/>
              </w:rPr>
            </w:pPr>
            <w:r w:rsidRPr="00B2051C">
              <w:rPr>
                <w:b/>
                <w:sz w:val="18"/>
                <w:szCs w:val="18"/>
              </w:rPr>
              <w:t>France</w:t>
            </w:r>
            <w:r w:rsidRPr="00B2051C">
              <w:rPr>
                <w:sz w:val="18"/>
                <w:szCs w:val="18"/>
                <w:vertAlign w:val="superscript"/>
              </w:rPr>
              <w:t>5</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18.6</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16.7</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15.8</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65.1</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60.9</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57.0</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16.3</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22.4</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27.2</w:t>
            </w:r>
          </w:p>
        </w:tc>
      </w:tr>
      <w:tr w:rsidR="00000000" w:rsidRPr="00B2051C">
        <w:tc>
          <w:tcPr>
            <w:tcW w:w="2228" w:type="dxa"/>
            <w:tcBorders>
              <w:top w:val="nil"/>
              <w:left w:val="single" w:sz="4" w:space="0" w:color="auto"/>
              <w:bottom w:val="nil"/>
              <w:right w:val="single" w:sz="4" w:space="0" w:color="auto"/>
            </w:tcBorders>
            <w:vAlign w:val="center"/>
          </w:tcPr>
          <w:p w:rsidR="000A522F" w:rsidRPr="00B2051C" w:rsidRDefault="000A522F">
            <w:pPr>
              <w:rPr>
                <w:b/>
                <w:sz w:val="18"/>
                <w:szCs w:val="18"/>
              </w:rPr>
            </w:pPr>
            <w:r w:rsidRPr="00B2051C">
              <w:rPr>
                <w:b/>
                <w:sz w:val="18"/>
                <w:szCs w:val="18"/>
              </w:rPr>
              <w:t>Ireland</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20.9</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18.2</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16.0</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68.0</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65.3</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57.8</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11.1</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16.5</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26.2</w:t>
            </w:r>
          </w:p>
        </w:tc>
      </w:tr>
      <w:tr w:rsidR="00000000" w:rsidRPr="00B2051C">
        <w:tc>
          <w:tcPr>
            <w:tcW w:w="2228" w:type="dxa"/>
            <w:tcBorders>
              <w:top w:val="nil"/>
              <w:left w:val="single" w:sz="4" w:space="0" w:color="auto"/>
              <w:bottom w:val="nil"/>
              <w:right w:val="single" w:sz="4" w:space="0" w:color="auto"/>
            </w:tcBorders>
            <w:vAlign w:val="center"/>
          </w:tcPr>
          <w:p w:rsidR="000A522F" w:rsidRPr="00B2051C" w:rsidRDefault="000A522F">
            <w:pPr>
              <w:rPr>
                <w:b/>
                <w:sz w:val="18"/>
                <w:szCs w:val="18"/>
              </w:rPr>
            </w:pPr>
            <w:r w:rsidRPr="00B2051C">
              <w:rPr>
                <w:b/>
                <w:sz w:val="18"/>
                <w:szCs w:val="18"/>
              </w:rPr>
              <w:t>Italy</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14.2</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12.1</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11.2</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66.6</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62.9</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53.5</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19.2</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25.0</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35.3</w:t>
            </w:r>
          </w:p>
        </w:tc>
      </w:tr>
      <w:tr w:rsidR="00000000" w:rsidRPr="00B2051C">
        <w:tc>
          <w:tcPr>
            <w:tcW w:w="2228" w:type="dxa"/>
            <w:tcBorders>
              <w:top w:val="nil"/>
              <w:left w:val="single" w:sz="4" w:space="0" w:color="auto"/>
              <w:bottom w:val="nil"/>
              <w:right w:val="single" w:sz="4" w:space="0" w:color="auto"/>
            </w:tcBorders>
            <w:vAlign w:val="center"/>
          </w:tcPr>
          <w:p w:rsidR="000A522F" w:rsidRPr="00B2051C" w:rsidRDefault="000A522F">
            <w:pPr>
              <w:rPr>
                <w:b/>
                <w:sz w:val="18"/>
                <w:szCs w:val="18"/>
              </w:rPr>
            </w:pPr>
            <w:r w:rsidRPr="00B2051C">
              <w:rPr>
                <w:b/>
                <w:sz w:val="18"/>
                <w:szCs w:val="18"/>
              </w:rPr>
              <w:t>Cyprus</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20.0</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15.6</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13.3</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68.1</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65.2</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60.5</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11.9</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19.2</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26.2</w:t>
            </w:r>
          </w:p>
        </w:tc>
      </w:tr>
      <w:tr w:rsidR="00000000" w:rsidRPr="00B2051C">
        <w:tc>
          <w:tcPr>
            <w:tcW w:w="2228" w:type="dxa"/>
            <w:tcBorders>
              <w:top w:val="nil"/>
              <w:left w:val="single" w:sz="4" w:space="0" w:color="auto"/>
              <w:bottom w:val="nil"/>
              <w:right w:val="single" w:sz="4" w:space="0" w:color="auto"/>
            </w:tcBorders>
            <w:vAlign w:val="center"/>
          </w:tcPr>
          <w:p w:rsidR="000A522F" w:rsidRPr="00B2051C" w:rsidRDefault="000A522F">
            <w:pPr>
              <w:rPr>
                <w:b/>
                <w:sz w:val="18"/>
                <w:szCs w:val="18"/>
              </w:rPr>
            </w:pPr>
            <w:r w:rsidRPr="00B2051C">
              <w:rPr>
                <w:b/>
                <w:sz w:val="18"/>
                <w:szCs w:val="18"/>
              </w:rPr>
              <w:t>Latvia</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15.4</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16.2</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14.8</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68.4</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64.1</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59.1</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16.2</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19.7</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26.1</w:t>
            </w:r>
          </w:p>
        </w:tc>
      </w:tr>
      <w:tr w:rsidR="00000000" w:rsidRPr="00B2051C">
        <w:tc>
          <w:tcPr>
            <w:tcW w:w="2228" w:type="dxa"/>
            <w:tcBorders>
              <w:top w:val="nil"/>
              <w:left w:val="single" w:sz="4" w:space="0" w:color="auto"/>
              <w:bottom w:val="nil"/>
              <w:right w:val="single" w:sz="4" w:space="0" w:color="auto"/>
            </w:tcBorders>
            <w:vAlign w:val="center"/>
          </w:tcPr>
          <w:p w:rsidR="000A522F" w:rsidRPr="00B2051C" w:rsidRDefault="000A522F">
            <w:pPr>
              <w:rPr>
                <w:b/>
                <w:sz w:val="18"/>
                <w:szCs w:val="18"/>
              </w:rPr>
            </w:pPr>
            <w:r w:rsidRPr="00B2051C">
              <w:rPr>
                <w:b/>
                <w:sz w:val="18"/>
                <w:szCs w:val="18"/>
              </w:rPr>
              <w:t>Lithuania</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17.7</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15.1</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13.7</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67.3</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65.7</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59.6</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15.0</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19.2</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26.7</w:t>
            </w:r>
          </w:p>
        </w:tc>
      </w:tr>
      <w:tr w:rsidR="00000000" w:rsidRPr="00B2051C">
        <w:tc>
          <w:tcPr>
            <w:tcW w:w="2228" w:type="dxa"/>
            <w:tcBorders>
              <w:top w:val="nil"/>
              <w:left w:val="single" w:sz="4" w:space="0" w:color="auto"/>
              <w:bottom w:val="nil"/>
              <w:right w:val="single" w:sz="4" w:space="0" w:color="auto"/>
            </w:tcBorders>
            <w:vAlign w:val="center"/>
          </w:tcPr>
          <w:p w:rsidR="000A522F" w:rsidRPr="00B2051C" w:rsidRDefault="000A522F">
            <w:pPr>
              <w:rPr>
                <w:b/>
                <w:sz w:val="18"/>
                <w:szCs w:val="18"/>
              </w:rPr>
            </w:pPr>
            <w:r w:rsidRPr="00B2051C">
              <w:rPr>
                <w:b/>
                <w:sz w:val="18"/>
                <w:szCs w:val="18"/>
              </w:rPr>
              <w:t>Luxembourg</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18.8</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17.1</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16.6</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67.1</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64.9</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61.3</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14.1</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18.0</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22.1</w:t>
            </w:r>
          </w:p>
        </w:tc>
      </w:tr>
      <w:tr w:rsidR="00000000" w:rsidRPr="00B2051C">
        <w:tc>
          <w:tcPr>
            <w:tcW w:w="2228" w:type="dxa"/>
            <w:tcBorders>
              <w:top w:val="nil"/>
              <w:left w:val="single" w:sz="4" w:space="0" w:color="auto"/>
              <w:bottom w:val="nil"/>
              <w:right w:val="single" w:sz="4" w:space="0" w:color="auto"/>
            </w:tcBorders>
            <w:vAlign w:val="center"/>
          </w:tcPr>
          <w:p w:rsidR="000A522F" w:rsidRPr="00B2051C" w:rsidRDefault="000A522F">
            <w:pPr>
              <w:rPr>
                <w:b/>
                <w:sz w:val="18"/>
                <w:szCs w:val="18"/>
              </w:rPr>
            </w:pPr>
            <w:r w:rsidRPr="00B2051C">
              <w:rPr>
                <w:b/>
                <w:sz w:val="18"/>
                <w:szCs w:val="18"/>
              </w:rPr>
              <w:t>Hungary</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15.9</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14.3</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13.8</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68.6</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63.7</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58.1</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15.5</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22.0</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28.1</w:t>
            </w:r>
          </w:p>
        </w:tc>
      </w:tr>
      <w:tr w:rsidR="00000000" w:rsidRPr="00B2051C">
        <w:tc>
          <w:tcPr>
            <w:tcW w:w="2228" w:type="dxa"/>
            <w:tcBorders>
              <w:top w:val="nil"/>
              <w:left w:val="single" w:sz="4" w:space="0" w:color="auto"/>
              <w:bottom w:val="nil"/>
              <w:right w:val="single" w:sz="4" w:space="0" w:color="auto"/>
            </w:tcBorders>
            <w:vAlign w:val="center"/>
          </w:tcPr>
          <w:p w:rsidR="000A522F" w:rsidRPr="00B2051C" w:rsidRDefault="000A522F">
            <w:pPr>
              <w:rPr>
                <w:b/>
                <w:sz w:val="18"/>
                <w:szCs w:val="18"/>
              </w:rPr>
            </w:pPr>
            <w:r w:rsidRPr="00B2051C">
              <w:rPr>
                <w:b/>
                <w:sz w:val="18"/>
                <w:szCs w:val="18"/>
              </w:rPr>
              <w:t>Malta</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18.2</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15.6</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14.5</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68.7</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63.1</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60.8</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13.1</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21.3</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24.7</w:t>
            </w:r>
          </w:p>
        </w:tc>
      </w:tr>
      <w:tr w:rsidR="00000000" w:rsidRPr="00B2051C">
        <w:tc>
          <w:tcPr>
            <w:tcW w:w="2228" w:type="dxa"/>
            <w:tcBorders>
              <w:top w:val="nil"/>
              <w:left w:val="single" w:sz="4" w:space="0" w:color="auto"/>
              <w:bottom w:val="nil"/>
              <w:right w:val="single" w:sz="4" w:space="0" w:color="auto"/>
            </w:tcBorders>
            <w:vAlign w:val="center"/>
          </w:tcPr>
          <w:p w:rsidR="000A522F" w:rsidRPr="00B2051C" w:rsidRDefault="000A522F">
            <w:pPr>
              <w:rPr>
                <w:b/>
                <w:sz w:val="18"/>
                <w:szCs w:val="18"/>
              </w:rPr>
            </w:pPr>
            <w:r w:rsidRPr="00B2051C">
              <w:rPr>
                <w:b/>
                <w:sz w:val="18"/>
                <w:szCs w:val="18"/>
              </w:rPr>
              <w:t>Netherlands</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18.5</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16.1</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15.8</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67.6</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63.3</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60.7</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13.9</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20.6</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23.5</w:t>
            </w:r>
          </w:p>
        </w:tc>
      </w:tr>
      <w:tr w:rsidR="00000000" w:rsidRPr="00B2051C">
        <w:tc>
          <w:tcPr>
            <w:tcW w:w="2228" w:type="dxa"/>
            <w:tcBorders>
              <w:top w:val="nil"/>
              <w:left w:val="single" w:sz="4" w:space="0" w:color="auto"/>
              <w:bottom w:val="nil"/>
              <w:right w:val="single" w:sz="4" w:space="0" w:color="auto"/>
            </w:tcBorders>
            <w:vAlign w:val="center"/>
          </w:tcPr>
          <w:p w:rsidR="000A522F" w:rsidRPr="00B2051C" w:rsidRDefault="000A522F">
            <w:pPr>
              <w:rPr>
                <w:b/>
                <w:sz w:val="18"/>
                <w:szCs w:val="18"/>
              </w:rPr>
            </w:pPr>
            <w:r w:rsidRPr="00B2051C">
              <w:rPr>
                <w:b/>
                <w:sz w:val="18"/>
                <w:szCs w:val="18"/>
              </w:rPr>
              <w:t>Austria</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16.3</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13.8</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12.3</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68.2</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64.1</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57.3</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15.5</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22.1</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30.4</w:t>
            </w:r>
          </w:p>
        </w:tc>
      </w:tr>
      <w:tr w:rsidR="00000000" w:rsidRPr="00B2051C">
        <w:tc>
          <w:tcPr>
            <w:tcW w:w="2228" w:type="dxa"/>
            <w:tcBorders>
              <w:top w:val="nil"/>
              <w:left w:val="single" w:sz="4" w:space="0" w:color="auto"/>
              <w:bottom w:val="nil"/>
              <w:right w:val="single" w:sz="4" w:space="0" w:color="auto"/>
            </w:tcBorders>
            <w:vAlign w:val="center"/>
          </w:tcPr>
          <w:p w:rsidR="000A522F" w:rsidRPr="00B2051C" w:rsidRDefault="000A522F">
            <w:pPr>
              <w:rPr>
                <w:b/>
                <w:sz w:val="18"/>
                <w:szCs w:val="18"/>
              </w:rPr>
            </w:pPr>
            <w:r w:rsidRPr="00B2051C">
              <w:rPr>
                <w:b/>
                <w:sz w:val="18"/>
                <w:szCs w:val="18"/>
              </w:rPr>
              <w:t>Poland</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17.2</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14.6</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13.0</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69.8</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64.3</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57.6</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13.0</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21.1</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29.4</w:t>
            </w:r>
          </w:p>
        </w:tc>
      </w:tr>
      <w:tr w:rsidR="00000000" w:rsidRPr="00B2051C">
        <w:tc>
          <w:tcPr>
            <w:tcW w:w="2228" w:type="dxa"/>
            <w:tcBorders>
              <w:top w:val="nil"/>
              <w:left w:val="single" w:sz="4" w:space="0" w:color="auto"/>
              <w:bottom w:val="nil"/>
              <w:right w:val="single" w:sz="4" w:space="0" w:color="auto"/>
            </w:tcBorders>
            <w:vAlign w:val="center"/>
          </w:tcPr>
          <w:p w:rsidR="000A522F" w:rsidRPr="00B2051C" w:rsidRDefault="000A522F">
            <w:pPr>
              <w:rPr>
                <w:b/>
                <w:sz w:val="18"/>
                <w:szCs w:val="18"/>
              </w:rPr>
            </w:pPr>
            <w:r w:rsidRPr="00B2051C">
              <w:rPr>
                <w:b/>
                <w:sz w:val="18"/>
                <w:szCs w:val="18"/>
              </w:rPr>
              <w:t>Portugal</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15.7</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14.2</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13.1</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67.4</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63.7</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55.0</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16.9</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22.1</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31.9</w:t>
            </w:r>
          </w:p>
        </w:tc>
      </w:tr>
      <w:tr w:rsidR="00000000" w:rsidRPr="00B2051C">
        <w:tc>
          <w:tcPr>
            <w:tcW w:w="2228" w:type="dxa"/>
            <w:tcBorders>
              <w:top w:val="nil"/>
              <w:left w:val="single" w:sz="4" w:space="0" w:color="auto"/>
              <w:bottom w:val="nil"/>
              <w:right w:val="single" w:sz="4" w:space="0" w:color="auto"/>
            </w:tcBorders>
            <w:vAlign w:val="center"/>
          </w:tcPr>
          <w:p w:rsidR="000A522F" w:rsidRPr="00B2051C" w:rsidRDefault="000A522F">
            <w:pPr>
              <w:rPr>
                <w:b/>
                <w:sz w:val="18"/>
                <w:szCs w:val="18"/>
              </w:rPr>
            </w:pPr>
            <w:r w:rsidRPr="00B2051C">
              <w:rPr>
                <w:b/>
                <w:sz w:val="18"/>
                <w:szCs w:val="18"/>
              </w:rPr>
              <w:t>Slovenia</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14.6</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13.4</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12.8</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70.4</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63.8</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56.0</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15.0</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22.8</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31.2</w:t>
            </w:r>
          </w:p>
        </w:tc>
      </w:tr>
      <w:tr w:rsidR="00000000" w:rsidRPr="00B2051C">
        <w:tc>
          <w:tcPr>
            <w:tcW w:w="2228" w:type="dxa"/>
            <w:tcBorders>
              <w:top w:val="nil"/>
              <w:left w:val="single" w:sz="4" w:space="0" w:color="auto"/>
              <w:bottom w:val="nil"/>
              <w:right w:val="single" w:sz="4" w:space="0" w:color="auto"/>
            </w:tcBorders>
            <w:vAlign w:val="center"/>
          </w:tcPr>
          <w:p w:rsidR="000A522F" w:rsidRPr="00B2051C" w:rsidRDefault="000A522F">
            <w:pPr>
              <w:rPr>
                <w:b/>
                <w:sz w:val="18"/>
                <w:szCs w:val="18"/>
              </w:rPr>
            </w:pPr>
            <w:r w:rsidRPr="00B2051C">
              <w:rPr>
                <w:b/>
                <w:sz w:val="18"/>
                <w:szCs w:val="18"/>
              </w:rPr>
              <w:t>Slovakia</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17.6</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14.0</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12.8</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70.9</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67.1</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57.9</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11.5</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18.9</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29.3</w:t>
            </w:r>
          </w:p>
        </w:tc>
      </w:tr>
      <w:tr w:rsidR="00000000" w:rsidRPr="00B2051C">
        <w:tc>
          <w:tcPr>
            <w:tcW w:w="2228" w:type="dxa"/>
            <w:tcBorders>
              <w:top w:val="nil"/>
              <w:left w:val="single" w:sz="4" w:space="0" w:color="auto"/>
              <w:bottom w:val="nil"/>
              <w:right w:val="single" w:sz="4" w:space="0" w:color="auto"/>
            </w:tcBorders>
            <w:vAlign w:val="center"/>
          </w:tcPr>
          <w:p w:rsidR="000A522F" w:rsidRPr="00B2051C" w:rsidRDefault="000A522F">
            <w:pPr>
              <w:rPr>
                <w:b/>
                <w:sz w:val="18"/>
                <w:szCs w:val="18"/>
              </w:rPr>
            </w:pPr>
            <w:r w:rsidRPr="00B2051C">
              <w:rPr>
                <w:b/>
                <w:sz w:val="18"/>
                <w:szCs w:val="18"/>
              </w:rPr>
              <w:t>Finland</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17.6</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16.0</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15.3</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66.8</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59.4</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57.8</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15.6</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24.6</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26.9</w:t>
            </w:r>
          </w:p>
        </w:tc>
      </w:tr>
      <w:tr w:rsidR="00000000" w:rsidRPr="00B2051C">
        <w:tc>
          <w:tcPr>
            <w:tcW w:w="2228" w:type="dxa"/>
            <w:tcBorders>
              <w:top w:val="nil"/>
              <w:left w:val="single" w:sz="4" w:space="0" w:color="auto"/>
              <w:bottom w:val="nil"/>
              <w:right w:val="single" w:sz="4" w:space="0" w:color="auto"/>
            </w:tcBorders>
            <w:vAlign w:val="center"/>
          </w:tcPr>
          <w:p w:rsidR="000A522F" w:rsidRPr="00B2051C" w:rsidRDefault="000A522F">
            <w:pPr>
              <w:rPr>
                <w:b/>
                <w:sz w:val="18"/>
                <w:szCs w:val="18"/>
              </w:rPr>
            </w:pPr>
            <w:r w:rsidRPr="00B2051C">
              <w:rPr>
                <w:b/>
                <w:sz w:val="18"/>
                <w:szCs w:val="18"/>
              </w:rPr>
              <w:t>Sweden</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17.8</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17.1</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16.3</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65.0</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60.7</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59.4</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17.2</w:t>
            </w:r>
          </w:p>
        </w:tc>
        <w:tc>
          <w:tcPr>
            <w:tcW w:w="886"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22.2</w:t>
            </w:r>
          </w:p>
        </w:tc>
        <w:tc>
          <w:tcPr>
            <w:tcW w:w="887" w:type="dxa"/>
            <w:tcBorders>
              <w:top w:val="nil"/>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24.3</w:t>
            </w:r>
          </w:p>
        </w:tc>
      </w:tr>
      <w:tr w:rsidR="00000000" w:rsidRPr="00B2051C">
        <w:tc>
          <w:tcPr>
            <w:tcW w:w="2228" w:type="dxa"/>
            <w:tcBorders>
              <w:top w:val="nil"/>
              <w:left w:val="single" w:sz="4" w:space="0" w:color="auto"/>
              <w:bottom w:val="single" w:sz="4" w:space="0" w:color="auto"/>
              <w:right w:val="single" w:sz="4" w:space="0" w:color="auto"/>
            </w:tcBorders>
            <w:vAlign w:val="center"/>
          </w:tcPr>
          <w:p w:rsidR="000A522F" w:rsidRPr="00B2051C" w:rsidRDefault="000A522F">
            <w:pPr>
              <w:rPr>
                <w:b/>
                <w:sz w:val="18"/>
                <w:szCs w:val="18"/>
              </w:rPr>
            </w:pPr>
            <w:r w:rsidRPr="00B2051C">
              <w:rPr>
                <w:b/>
                <w:sz w:val="18"/>
                <w:szCs w:val="18"/>
              </w:rPr>
              <w:t>United Kingdom</w:t>
            </w:r>
          </w:p>
        </w:tc>
        <w:tc>
          <w:tcPr>
            <w:tcW w:w="886" w:type="dxa"/>
            <w:tcBorders>
              <w:top w:val="nil"/>
              <w:left w:val="single" w:sz="4" w:space="0" w:color="auto"/>
              <w:bottom w:val="single" w:sz="4" w:space="0" w:color="auto"/>
              <w:right w:val="single" w:sz="4" w:space="0" w:color="auto"/>
            </w:tcBorders>
            <w:vAlign w:val="center"/>
          </w:tcPr>
          <w:p w:rsidR="000A522F" w:rsidRPr="00B2051C" w:rsidRDefault="000A522F">
            <w:pPr>
              <w:jc w:val="right"/>
              <w:rPr>
                <w:sz w:val="18"/>
                <w:szCs w:val="18"/>
              </w:rPr>
            </w:pPr>
            <w:r w:rsidRPr="00B2051C">
              <w:rPr>
                <w:sz w:val="18"/>
                <w:szCs w:val="18"/>
              </w:rPr>
              <w:t>18.3</w:t>
            </w:r>
          </w:p>
        </w:tc>
        <w:tc>
          <w:tcPr>
            <w:tcW w:w="886" w:type="dxa"/>
            <w:tcBorders>
              <w:top w:val="nil"/>
              <w:left w:val="single" w:sz="4" w:space="0" w:color="auto"/>
              <w:bottom w:val="single" w:sz="4" w:space="0" w:color="auto"/>
              <w:right w:val="single" w:sz="4" w:space="0" w:color="auto"/>
            </w:tcBorders>
            <w:vAlign w:val="center"/>
          </w:tcPr>
          <w:p w:rsidR="000A522F" w:rsidRPr="00B2051C" w:rsidRDefault="000A522F">
            <w:pPr>
              <w:jc w:val="right"/>
              <w:rPr>
                <w:sz w:val="18"/>
                <w:szCs w:val="18"/>
              </w:rPr>
            </w:pPr>
            <w:r w:rsidRPr="00B2051C">
              <w:rPr>
                <w:sz w:val="18"/>
                <w:szCs w:val="18"/>
              </w:rPr>
              <w:t>16.1</w:t>
            </w:r>
          </w:p>
        </w:tc>
        <w:tc>
          <w:tcPr>
            <w:tcW w:w="887" w:type="dxa"/>
            <w:tcBorders>
              <w:top w:val="nil"/>
              <w:left w:val="single" w:sz="4" w:space="0" w:color="auto"/>
              <w:bottom w:val="single" w:sz="4" w:space="0" w:color="auto"/>
              <w:right w:val="single" w:sz="4" w:space="0" w:color="auto"/>
            </w:tcBorders>
            <w:vAlign w:val="center"/>
          </w:tcPr>
          <w:p w:rsidR="000A522F" w:rsidRPr="00B2051C" w:rsidRDefault="000A522F">
            <w:pPr>
              <w:jc w:val="right"/>
              <w:rPr>
                <w:sz w:val="18"/>
                <w:szCs w:val="18"/>
              </w:rPr>
            </w:pPr>
            <w:r w:rsidRPr="00B2051C">
              <w:rPr>
                <w:sz w:val="18"/>
                <w:szCs w:val="18"/>
              </w:rPr>
              <w:t>14.7</w:t>
            </w:r>
          </w:p>
        </w:tc>
        <w:tc>
          <w:tcPr>
            <w:tcW w:w="886" w:type="dxa"/>
            <w:tcBorders>
              <w:top w:val="nil"/>
              <w:left w:val="single" w:sz="4" w:space="0" w:color="auto"/>
              <w:bottom w:val="single" w:sz="4" w:space="0" w:color="auto"/>
              <w:right w:val="single" w:sz="4" w:space="0" w:color="auto"/>
            </w:tcBorders>
            <w:vAlign w:val="center"/>
          </w:tcPr>
          <w:p w:rsidR="000A522F" w:rsidRPr="00B2051C" w:rsidRDefault="000A522F">
            <w:pPr>
              <w:jc w:val="right"/>
              <w:rPr>
                <w:sz w:val="18"/>
                <w:szCs w:val="18"/>
              </w:rPr>
            </w:pPr>
            <w:r w:rsidRPr="00B2051C">
              <w:rPr>
                <w:sz w:val="18"/>
                <w:szCs w:val="18"/>
              </w:rPr>
              <w:t>65.7</w:t>
            </w:r>
          </w:p>
        </w:tc>
        <w:tc>
          <w:tcPr>
            <w:tcW w:w="887" w:type="dxa"/>
            <w:tcBorders>
              <w:top w:val="nil"/>
              <w:left w:val="single" w:sz="4" w:space="0" w:color="auto"/>
              <w:bottom w:val="single" w:sz="4" w:space="0" w:color="auto"/>
              <w:right w:val="single" w:sz="4" w:space="0" w:color="auto"/>
            </w:tcBorders>
            <w:vAlign w:val="center"/>
          </w:tcPr>
          <w:p w:rsidR="000A522F" w:rsidRPr="00B2051C" w:rsidRDefault="000A522F">
            <w:pPr>
              <w:jc w:val="right"/>
              <w:rPr>
                <w:sz w:val="18"/>
                <w:szCs w:val="18"/>
              </w:rPr>
            </w:pPr>
            <w:r w:rsidRPr="00B2051C">
              <w:rPr>
                <w:sz w:val="18"/>
                <w:szCs w:val="18"/>
              </w:rPr>
              <w:t>63.0</w:t>
            </w:r>
          </w:p>
        </w:tc>
        <w:tc>
          <w:tcPr>
            <w:tcW w:w="886" w:type="dxa"/>
            <w:tcBorders>
              <w:top w:val="nil"/>
              <w:left w:val="single" w:sz="4" w:space="0" w:color="auto"/>
              <w:bottom w:val="single" w:sz="4" w:space="0" w:color="auto"/>
              <w:right w:val="single" w:sz="4" w:space="0" w:color="auto"/>
            </w:tcBorders>
            <w:vAlign w:val="center"/>
          </w:tcPr>
          <w:p w:rsidR="000A522F" w:rsidRPr="00B2051C" w:rsidRDefault="000A522F">
            <w:pPr>
              <w:jc w:val="right"/>
              <w:rPr>
                <w:sz w:val="18"/>
                <w:szCs w:val="18"/>
              </w:rPr>
            </w:pPr>
            <w:r w:rsidRPr="00B2051C">
              <w:rPr>
                <w:sz w:val="18"/>
                <w:szCs w:val="18"/>
              </w:rPr>
              <w:t>58.7</w:t>
            </w:r>
          </w:p>
        </w:tc>
        <w:tc>
          <w:tcPr>
            <w:tcW w:w="887" w:type="dxa"/>
            <w:tcBorders>
              <w:top w:val="nil"/>
              <w:left w:val="single" w:sz="4" w:space="0" w:color="auto"/>
              <w:bottom w:val="single" w:sz="4" w:space="0" w:color="auto"/>
              <w:right w:val="single" w:sz="4" w:space="0" w:color="auto"/>
            </w:tcBorders>
            <w:vAlign w:val="center"/>
          </w:tcPr>
          <w:p w:rsidR="000A522F" w:rsidRPr="00B2051C" w:rsidRDefault="000A522F">
            <w:pPr>
              <w:jc w:val="right"/>
              <w:rPr>
                <w:sz w:val="18"/>
                <w:szCs w:val="18"/>
              </w:rPr>
            </w:pPr>
            <w:r w:rsidRPr="00B2051C">
              <w:rPr>
                <w:sz w:val="18"/>
                <w:szCs w:val="18"/>
              </w:rPr>
              <w:t>16.0</w:t>
            </w:r>
          </w:p>
        </w:tc>
        <w:tc>
          <w:tcPr>
            <w:tcW w:w="886" w:type="dxa"/>
            <w:tcBorders>
              <w:top w:val="nil"/>
              <w:left w:val="single" w:sz="4" w:space="0" w:color="auto"/>
              <w:bottom w:val="single" w:sz="4" w:space="0" w:color="auto"/>
              <w:right w:val="single" w:sz="4" w:space="0" w:color="auto"/>
            </w:tcBorders>
            <w:vAlign w:val="center"/>
          </w:tcPr>
          <w:p w:rsidR="000A522F" w:rsidRPr="00B2051C" w:rsidRDefault="000A522F">
            <w:pPr>
              <w:jc w:val="right"/>
              <w:rPr>
                <w:sz w:val="18"/>
                <w:szCs w:val="18"/>
              </w:rPr>
            </w:pPr>
            <w:r w:rsidRPr="00B2051C">
              <w:rPr>
                <w:sz w:val="18"/>
                <w:szCs w:val="18"/>
              </w:rPr>
              <w:t>20.9</w:t>
            </w:r>
          </w:p>
        </w:tc>
        <w:tc>
          <w:tcPr>
            <w:tcW w:w="887" w:type="dxa"/>
            <w:tcBorders>
              <w:top w:val="nil"/>
              <w:left w:val="single" w:sz="4" w:space="0" w:color="auto"/>
              <w:bottom w:val="single" w:sz="4" w:space="0" w:color="auto"/>
              <w:right w:val="single" w:sz="4" w:space="0" w:color="auto"/>
            </w:tcBorders>
            <w:vAlign w:val="center"/>
          </w:tcPr>
          <w:p w:rsidR="000A522F" w:rsidRPr="00B2051C" w:rsidRDefault="000A522F">
            <w:pPr>
              <w:jc w:val="right"/>
              <w:rPr>
                <w:sz w:val="18"/>
                <w:szCs w:val="18"/>
              </w:rPr>
            </w:pPr>
            <w:r w:rsidRPr="00B2051C">
              <w:rPr>
                <w:sz w:val="18"/>
                <w:szCs w:val="18"/>
              </w:rPr>
              <w:t>26.6</w:t>
            </w:r>
          </w:p>
        </w:tc>
      </w:tr>
      <w:tr w:rsidR="00000000" w:rsidRPr="00B2051C">
        <w:tc>
          <w:tcPr>
            <w:tcW w:w="2228" w:type="dxa"/>
            <w:tcBorders>
              <w:top w:val="single" w:sz="4" w:space="0" w:color="auto"/>
              <w:left w:val="single" w:sz="4" w:space="0" w:color="auto"/>
              <w:bottom w:val="nil"/>
              <w:right w:val="single" w:sz="4" w:space="0" w:color="auto"/>
            </w:tcBorders>
            <w:vAlign w:val="center"/>
          </w:tcPr>
          <w:p w:rsidR="000A522F" w:rsidRPr="00B2051C" w:rsidRDefault="000A522F">
            <w:pPr>
              <w:rPr>
                <w:b/>
                <w:sz w:val="18"/>
                <w:szCs w:val="18"/>
              </w:rPr>
            </w:pPr>
            <w:r w:rsidRPr="00B2051C">
              <w:rPr>
                <w:b/>
                <w:sz w:val="18"/>
                <w:szCs w:val="18"/>
              </w:rPr>
              <w:t>Bulgaria</w:t>
            </w:r>
          </w:p>
        </w:tc>
        <w:tc>
          <w:tcPr>
            <w:tcW w:w="886" w:type="dxa"/>
            <w:tcBorders>
              <w:top w:val="single" w:sz="4" w:space="0" w:color="auto"/>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14.2</w:t>
            </w:r>
          </w:p>
        </w:tc>
        <w:tc>
          <w:tcPr>
            <w:tcW w:w="886" w:type="dxa"/>
            <w:tcBorders>
              <w:top w:val="single" w:sz="4" w:space="0" w:color="auto"/>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11.7</w:t>
            </w:r>
          </w:p>
        </w:tc>
        <w:tc>
          <w:tcPr>
            <w:tcW w:w="887" w:type="dxa"/>
            <w:tcBorders>
              <w:top w:val="single" w:sz="4" w:space="0" w:color="auto"/>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11.5</w:t>
            </w:r>
          </w:p>
        </w:tc>
        <w:tc>
          <w:tcPr>
            <w:tcW w:w="886" w:type="dxa"/>
            <w:tcBorders>
              <w:top w:val="single" w:sz="4" w:space="0" w:color="auto"/>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68.7</w:t>
            </w:r>
          </w:p>
        </w:tc>
        <w:tc>
          <w:tcPr>
            <w:tcW w:w="887" w:type="dxa"/>
            <w:tcBorders>
              <w:top w:val="single" w:sz="4" w:space="0" w:color="auto"/>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64.5</w:t>
            </w:r>
          </w:p>
        </w:tc>
        <w:tc>
          <w:tcPr>
            <w:tcW w:w="886" w:type="dxa"/>
            <w:tcBorders>
              <w:top w:val="single" w:sz="4" w:space="0" w:color="auto"/>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55.0</w:t>
            </w:r>
          </w:p>
        </w:tc>
        <w:tc>
          <w:tcPr>
            <w:tcW w:w="887" w:type="dxa"/>
            <w:tcBorders>
              <w:top w:val="single" w:sz="4" w:space="0" w:color="auto"/>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17.1</w:t>
            </w:r>
          </w:p>
        </w:tc>
        <w:tc>
          <w:tcPr>
            <w:tcW w:w="886" w:type="dxa"/>
            <w:tcBorders>
              <w:top w:val="single" w:sz="4" w:space="0" w:color="auto"/>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23.8</w:t>
            </w:r>
          </w:p>
        </w:tc>
        <w:tc>
          <w:tcPr>
            <w:tcW w:w="887" w:type="dxa"/>
            <w:tcBorders>
              <w:top w:val="single" w:sz="4" w:space="0" w:color="auto"/>
              <w:left w:val="single" w:sz="4" w:space="0" w:color="auto"/>
              <w:bottom w:val="nil"/>
              <w:right w:val="single" w:sz="4" w:space="0" w:color="auto"/>
            </w:tcBorders>
            <w:vAlign w:val="center"/>
          </w:tcPr>
          <w:p w:rsidR="000A522F" w:rsidRPr="00B2051C" w:rsidRDefault="000A522F">
            <w:pPr>
              <w:jc w:val="right"/>
              <w:rPr>
                <w:sz w:val="18"/>
                <w:szCs w:val="18"/>
              </w:rPr>
            </w:pPr>
            <w:r w:rsidRPr="00B2051C">
              <w:rPr>
                <w:sz w:val="18"/>
                <w:szCs w:val="18"/>
              </w:rPr>
              <w:t>33.5</w:t>
            </w:r>
          </w:p>
        </w:tc>
      </w:tr>
      <w:tr w:rsidR="00000000" w:rsidRPr="00B2051C">
        <w:tc>
          <w:tcPr>
            <w:tcW w:w="2228" w:type="dxa"/>
            <w:tcBorders>
              <w:top w:val="nil"/>
              <w:left w:val="single" w:sz="4" w:space="0" w:color="auto"/>
              <w:bottom w:val="single" w:sz="4" w:space="0" w:color="auto"/>
              <w:right w:val="single" w:sz="4" w:space="0" w:color="auto"/>
            </w:tcBorders>
            <w:vAlign w:val="center"/>
          </w:tcPr>
          <w:p w:rsidR="000A522F" w:rsidRPr="00B2051C" w:rsidRDefault="000A522F">
            <w:pPr>
              <w:rPr>
                <w:b/>
                <w:sz w:val="18"/>
                <w:szCs w:val="18"/>
              </w:rPr>
            </w:pPr>
            <w:r w:rsidRPr="00B2051C">
              <w:rPr>
                <w:b/>
                <w:sz w:val="18"/>
                <w:szCs w:val="18"/>
              </w:rPr>
              <w:t>Romania</w:t>
            </w:r>
          </w:p>
        </w:tc>
        <w:tc>
          <w:tcPr>
            <w:tcW w:w="886" w:type="dxa"/>
            <w:tcBorders>
              <w:top w:val="nil"/>
              <w:left w:val="single" w:sz="4" w:space="0" w:color="auto"/>
              <w:bottom w:val="single" w:sz="4" w:space="0" w:color="auto"/>
              <w:right w:val="single" w:sz="4" w:space="0" w:color="auto"/>
            </w:tcBorders>
            <w:vAlign w:val="center"/>
          </w:tcPr>
          <w:p w:rsidR="000A522F" w:rsidRPr="00B2051C" w:rsidRDefault="000A522F">
            <w:pPr>
              <w:jc w:val="right"/>
              <w:rPr>
                <w:sz w:val="18"/>
                <w:szCs w:val="18"/>
              </w:rPr>
            </w:pPr>
            <w:r w:rsidRPr="00B2051C">
              <w:rPr>
                <w:sz w:val="18"/>
                <w:szCs w:val="18"/>
              </w:rPr>
              <w:t>16.4</w:t>
            </w:r>
          </w:p>
        </w:tc>
        <w:tc>
          <w:tcPr>
            <w:tcW w:w="886" w:type="dxa"/>
            <w:tcBorders>
              <w:top w:val="nil"/>
              <w:left w:val="single" w:sz="4" w:space="0" w:color="auto"/>
              <w:bottom w:val="single" w:sz="4" w:space="0" w:color="auto"/>
              <w:right w:val="single" w:sz="4" w:space="0" w:color="auto"/>
            </w:tcBorders>
            <w:vAlign w:val="center"/>
          </w:tcPr>
          <w:p w:rsidR="000A522F" w:rsidRPr="00B2051C" w:rsidRDefault="000A522F">
            <w:pPr>
              <w:jc w:val="right"/>
              <w:rPr>
                <w:sz w:val="18"/>
                <w:szCs w:val="18"/>
              </w:rPr>
            </w:pPr>
            <w:r w:rsidRPr="00B2051C">
              <w:rPr>
                <w:sz w:val="18"/>
                <w:szCs w:val="18"/>
              </w:rPr>
              <w:t>14.1</w:t>
            </w:r>
          </w:p>
        </w:tc>
        <w:tc>
          <w:tcPr>
            <w:tcW w:w="887" w:type="dxa"/>
            <w:tcBorders>
              <w:top w:val="nil"/>
              <w:left w:val="single" w:sz="4" w:space="0" w:color="auto"/>
              <w:bottom w:val="single" w:sz="4" w:space="0" w:color="auto"/>
              <w:right w:val="single" w:sz="4" w:space="0" w:color="auto"/>
            </w:tcBorders>
            <w:vAlign w:val="center"/>
          </w:tcPr>
          <w:p w:rsidR="000A522F" w:rsidRPr="00B2051C" w:rsidRDefault="000A522F">
            <w:pPr>
              <w:jc w:val="right"/>
              <w:rPr>
                <w:sz w:val="18"/>
                <w:szCs w:val="18"/>
              </w:rPr>
            </w:pPr>
            <w:r w:rsidRPr="00B2051C">
              <w:rPr>
                <w:sz w:val="18"/>
                <w:szCs w:val="18"/>
              </w:rPr>
              <w:t>12.5</w:t>
            </w:r>
          </w:p>
        </w:tc>
        <w:tc>
          <w:tcPr>
            <w:tcW w:w="886" w:type="dxa"/>
            <w:tcBorders>
              <w:top w:val="nil"/>
              <w:left w:val="single" w:sz="4" w:space="0" w:color="auto"/>
              <w:bottom w:val="single" w:sz="4" w:space="0" w:color="auto"/>
              <w:right w:val="single" w:sz="4" w:space="0" w:color="auto"/>
            </w:tcBorders>
            <w:vAlign w:val="center"/>
          </w:tcPr>
          <w:p w:rsidR="000A522F" w:rsidRPr="00B2051C" w:rsidRDefault="000A522F">
            <w:pPr>
              <w:jc w:val="right"/>
              <w:rPr>
                <w:sz w:val="18"/>
                <w:szCs w:val="18"/>
              </w:rPr>
            </w:pPr>
            <w:r w:rsidRPr="00B2051C">
              <w:rPr>
                <w:sz w:val="18"/>
                <w:szCs w:val="18"/>
              </w:rPr>
              <w:t>69.1</w:t>
            </w:r>
          </w:p>
        </w:tc>
        <w:tc>
          <w:tcPr>
            <w:tcW w:w="887" w:type="dxa"/>
            <w:tcBorders>
              <w:top w:val="nil"/>
              <w:left w:val="single" w:sz="4" w:space="0" w:color="auto"/>
              <w:bottom w:val="single" w:sz="4" w:space="0" w:color="auto"/>
              <w:right w:val="single" w:sz="4" w:space="0" w:color="auto"/>
            </w:tcBorders>
            <w:vAlign w:val="center"/>
          </w:tcPr>
          <w:p w:rsidR="000A522F" w:rsidRPr="00B2051C" w:rsidRDefault="000A522F">
            <w:pPr>
              <w:jc w:val="right"/>
              <w:rPr>
                <w:sz w:val="18"/>
                <w:szCs w:val="18"/>
              </w:rPr>
            </w:pPr>
            <w:r w:rsidRPr="00B2051C">
              <w:rPr>
                <w:sz w:val="18"/>
                <w:szCs w:val="18"/>
              </w:rPr>
              <w:t>66.9</w:t>
            </w:r>
          </w:p>
        </w:tc>
        <w:tc>
          <w:tcPr>
            <w:tcW w:w="886" w:type="dxa"/>
            <w:tcBorders>
              <w:top w:val="nil"/>
              <w:left w:val="single" w:sz="4" w:space="0" w:color="auto"/>
              <w:bottom w:val="single" w:sz="4" w:space="0" w:color="auto"/>
              <w:right w:val="single" w:sz="4" w:space="0" w:color="auto"/>
            </w:tcBorders>
            <w:vAlign w:val="center"/>
          </w:tcPr>
          <w:p w:rsidR="000A522F" w:rsidRPr="00B2051C" w:rsidRDefault="000A522F">
            <w:pPr>
              <w:jc w:val="right"/>
              <w:rPr>
                <w:sz w:val="18"/>
                <w:szCs w:val="18"/>
              </w:rPr>
            </w:pPr>
            <w:r w:rsidRPr="00B2051C">
              <w:rPr>
                <w:sz w:val="18"/>
                <w:szCs w:val="18"/>
              </w:rPr>
              <w:t>57.9</w:t>
            </w:r>
          </w:p>
        </w:tc>
        <w:tc>
          <w:tcPr>
            <w:tcW w:w="887" w:type="dxa"/>
            <w:tcBorders>
              <w:top w:val="nil"/>
              <w:left w:val="single" w:sz="4" w:space="0" w:color="auto"/>
              <w:bottom w:val="single" w:sz="4" w:space="0" w:color="auto"/>
              <w:right w:val="single" w:sz="4" w:space="0" w:color="auto"/>
            </w:tcBorders>
            <w:vAlign w:val="center"/>
          </w:tcPr>
          <w:p w:rsidR="000A522F" w:rsidRPr="00B2051C" w:rsidRDefault="000A522F">
            <w:pPr>
              <w:jc w:val="right"/>
              <w:rPr>
                <w:sz w:val="18"/>
                <w:szCs w:val="18"/>
              </w:rPr>
            </w:pPr>
            <w:r w:rsidRPr="00B2051C">
              <w:rPr>
                <w:sz w:val="18"/>
                <w:szCs w:val="18"/>
              </w:rPr>
              <w:t>14.5</w:t>
            </w:r>
          </w:p>
        </w:tc>
        <w:tc>
          <w:tcPr>
            <w:tcW w:w="886" w:type="dxa"/>
            <w:tcBorders>
              <w:top w:val="nil"/>
              <w:left w:val="single" w:sz="4" w:space="0" w:color="auto"/>
              <w:bottom w:val="single" w:sz="4" w:space="0" w:color="auto"/>
              <w:right w:val="single" w:sz="4" w:space="0" w:color="auto"/>
            </w:tcBorders>
            <w:vAlign w:val="center"/>
          </w:tcPr>
          <w:p w:rsidR="000A522F" w:rsidRPr="00B2051C" w:rsidRDefault="000A522F">
            <w:pPr>
              <w:jc w:val="right"/>
              <w:rPr>
                <w:sz w:val="18"/>
                <w:szCs w:val="18"/>
              </w:rPr>
            </w:pPr>
            <w:r w:rsidRPr="00B2051C">
              <w:rPr>
                <w:sz w:val="18"/>
                <w:szCs w:val="18"/>
              </w:rPr>
              <w:t>19.0</w:t>
            </w:r>
          </w:p>
        </w:tc>
        <w:tc>
          <w:tcPr>
            <w:tcW w:w="887" w:type="dxa"/>
            <w:tcBorders>
              <w:top w:val="nil"/>
              <w:left w:val="single" w:sz="4" w:space="0" w:color="auto"/>
              <w:bottom w:val="single" w:sz="4" w:space="0" w:color="auto"/>
              <w:right w:val="single" w:sz="4" w:space="0" w:color="auto"/>
            </w:tcBorders>
            <w:vAlign w:val="center"/>
          </w:tcPr>
          <w:p w:rsidR="000A522F" w:rsidRPr="00B2051C" w:rsidRDefault="000A522F">
            <w:pPr>
              <w:jc w:val="right"/>
              <w:rPr>
                <w:sz w:val="18"/>
                <w:szCs w:val="18"/>
              </w:rPr>
            </w:pPr>
            <w:r w:rsidRPr="00B2051C">
              <w:rPr>
                <w:sz w:val="18"/>
                <w:szCs w:val="18"/>
              </w:rPr>
              <w:t>29.6</w:t>
            </w:r>
          </w:p>
        </w:tc>
      </w:tr>
    </w:tbl>
    <w:p w:rsidR="000A522F" w:rsidRPr="00B2051C" w:rsidRDefault="000A522F">
      <w:pPr>
        <w:rPr>
          <w:sz w:val="18"/>
          <w:szCs w:val="18"/>
        </w:rPr>
      </w:pPr>
      <w:r w:rsidRPr="00B2051C">
        <w:rPr>
          <w:sz w:val="18"/>
          <w:szCs w:val="18"/>
        </w:rPr>
        <w:t>Source: Eurostat</w:t>
      </w:r>
    </w:p>
    <w:p w:rsidR="000A522F" w:rsidRPr="00B2051C" w:rsidRDefault="000A522F">
      <w:pPr>
        <w:rPr>
          <w:b/>
        </w:rPr>
      </w:pPr>
      <w:r w:rsidRPr="00B2051C">
        <w:rPr>
          <w:rFonts w:ascii="Arial" w:hAnsi="Arial" w:cs="Arial"/>
          <w:sz w:val="20"/>
        </w:rPr>
        <w:t xml:space="preserve">The share of the population of working age (between 15 and 64) in the total population is expected to decrease strongly in the </w:t>
      </w:r>
      <w:r w:rsidRPr="00B2051C">
        <w:rPr>
          <w:rFonts w:ascii="Arial" w:hAnsi="Arial" w:cs="Arial"/>
          <w:b/>
          <w:sz w:val="20"/>
        </w:rPr>
        <w:t>EU25</w:t>
      </w:r>
      <w:r w:rsidRPr="00B2051C">
        <w:rPr>
          <w:rFonts w:ascii="Arial" w:hAnsi="Arial" w:cs="Arial"/>
          <w:sz w:val="20"/>
        </w:rPr>
        <w:t>, from 67.2% in 2004 to 56.7% in 2050, that is a fall of 52 million inhabitants of working age. The share of the population aged between 0 and 14 will also be reduced, from 16.4% in 2004 to 13.4% in 2050, while the proportion of elderly people (aged 65 and more) is expected to almost double over this period, from 16.4% in 2004 to 29.9% in 2050.</w:t>
      </w:r>
    </w:p>
    <w:p w:rsidR="000A522F" w:rsidRPr="00B2051C" w:rsidRDefault="000A522F">
      <w:pPr>
        <w:rPr>
          <w:b/>
        </w:rPr>
        <w:sectPr w:rsidR="00000000" w:rsidRPr="00B2051C">
          <w:pgSz w:w="11907" w:h="16839"/>
          <w:pgMar w:top="1134" w:right="1417" w:bottom="1134" w:left="1417" w:header="720" w:footer="720" w:gutter="0"/>
          <w:cols w:space="720"/>
          <w:docGrid w:linePitch="326"/>
        </w:sectPr>
      </w:pPr>
    </w:p>
    <w:p w:rsidR="000A522F" w:rsidRPr="00B2051C" w:rsidRDefault="000A522F">
      <w:pPr>
        <w:rPr>
          <w:b/>
        </w:rPr>
      </w:pPr>
      <w:r w:rsidRPr="00B2051C">
        <w:rPr>
          <w:b/>
          <w:u w:val="single"/>
        </w:rPr>
        <w:t>Table 3 – Net migration, including corrections (in thousands)</w:t>
      </w:r>
    </w:p>
    <w:tbl>
      <w:tblPr>
        <w:tblpPr w:leftFromText="180" w:rightFromText="180" w:vertAnchor="page" w:horzAnchor="margin" w:tblpXSpec="center" w:tblpY="3038"/>
        <w:tblW w:w="0" w:type="auto"/>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CellMar>
          <w:left w:w="0" w:type="dxa"/>
          <w:right w:w="0" w:type="dxa"/>
        </w:tblCellMar>
        <w:tblLook w:val="0000" w:firstRow="0" w:lastRow="0" w:firstColumn="0" w:lastColumn="0" w:noHBand="0" w:noVBand="0"/>
      </w:tblPr>
      <w:tblGrid>
        <w:gridCol w:w="1670"/>
        <w:gridCol w:w="36"/>
        <w:gridCol w:w="642"/>
        <w:gridCol w:w="531"/>
        <w:gridCol w:w="531"/>
        <w:gridCol w:w="531"/>
        <w:gridCol w:w="531"/>
        <w:gridCol w:w="531"/>
        <w:gridCol w:w="531"/>
        <w:gridCol w:w="531"/>
        <w:gridCol w:w="642"/>
        <w:gridCol w:w="642"/>
        <w:gridCol w:w="642"/>
        <w:gridCol w:w="637"/>
      </w:tblGrid>
      <w:tr w:rsidR="00000000" w:rsidRPr="00B2051C">
        <w:trPr>
          <w:tblCellSpacing w:w="0" w:type="dxa"/>
        </w:trPr>
        <w:tc>
          <w:tcPr>
            <w:tcW w:w="0" w:type="auto"/>
            <w:shd w:val="clear" w:color="auto" w:fill="FFFFFF"/>
            <w:vAlign w:val="center"/>
          </w:tcPr>
          <w:p w:rsidR="000A522F" w:rsidRPr="00B2051C" w:rsidRDefault="000A522F">
            <w:pPr>
              <w:rPr>
                <w:rFonts w:ascii="Arial" w:hAnsi="Arial" w:cs="Arial"/>
                <w:sz w:val="20"/>
              </w:rPr>
            </w:pPr>
          </w:p>
        </w:tc>
        <w:tc>
          <w:tcPr>
            <w:tcW w:w="0" w:type="auto"/>
            <w:shd w:val="clear" w:color="auto" w:fill="CCCCFF"/>
            <w:vAlign w:val="center"/>
          </w:tcPr>
          <w:p w:rsidR="000A522F" w:rsidRPr="00B2051C" w:rsidRDefault="000A522F">
            <w:pPr>
              <w:jc w:val="right"/>
              <w:rPr>
                <w:rFonts w:ascii="Arial" w:hAnsi="Arial" w:cs="Arial"/>
                <w:sz w:val="20"/>
              </w:rPr>
            </w:pPr>
          </w:p>
        </w:tc>
        <w:tc>
          <w:tcPr>
            <w:tcW w:w="0" w:type="auto"/>
            <w:shd w:val="clear" w:color="auto" w:fill="FFFFFF"/>
            <w:vAlign w:val="center"/>
          </w:tcPr>
          <w:p w:rsidR="000A522F" w:rsidRPr="00B2051C" w:rsidRDefault="000A522F">
            <w:pPr>
              <w:jc w:val="right"/>
              <w:rPr>
                <w:rFonts w:ascii="Arial" w:hAnsi="Arial" w:cs="Arial"/>
                <w:b/>
                <w:sz w:val="20"/>
              </w:rPr>
            </w:pPr>
            <w:r w:rsidRPr="00B2051C">
              <w:rPr>
                <w:rFonts w:ascii="Arial" w:hAnsi="Arial" w:cs="Arial"/>
                <w:b/>
                <w:sz w:val="20"/>
              </w:rPr>
              <w:t>1992</w:t>
            </w:r>
          </w:p>
        </w:tc>
        <w:tc>
          <w:tcPr>
            <w:tcW w:w="0" w:type="auto"/>
            <w:shd w:val="clear" w:color="auto" w:fill="FFFFFF"/>
            <w:vAlign w:val="center"/>
          </w:tcPr>
          <w:p w:rsidR="000A522F" w:rsidRPr="00B2051C" w:rsidRDefault="000A522F">
            <w:pPr>
              <w:jc w:val="right"/>
              <w:rPr>
                <w:rFonts w:ascii="Arial" w:hAnsi="Arial" w:cs="Arial"/>
                <w:b/>
                <w:sz w:val="20"/>
              </w:rPr>
            </w:pPr>
            <w:r w:rsidRPr="00B2051C">
              <w:rPr>
                <w:rFonts w:ascii="Arial" w:hAnsi="Arial" w:cs="Arial"/>
                <w:b/>
                <w:sz w:val="20"/>
              </w:rPr>
              <w:t>1993</w:t>
            </w:r>
          </w:p>
        </w:tc>
        <w:tc>
          <w:tcPr>
            <w:tcW w:w="0" w:type="auto"/>
            <w:shd w:val="clear" w:color="auto" w:fill="FFFFFF"/>
            <w:vAlign w:val="center"/>
          </w:tcPr>
          <w:p w:rsidR="000A522F" w:rsidRPr="00B2051C" w:rsidRDefault="000A522F">
            <w:pPr>
              <w:jc w:val="right"/>
              <w:rPr>
                <w:rFonts w:ascii="Arial" w:hAnsi="Arial" w:cs="Arial"/>
                <w:b/>
                <w:sz w:val="20"/>
              </w:rPr>
            </w:pPr>
            <w:r w:rsidRPr="00B2051C">
              <w:rPr>
                <w:rFonts w:ascii="Arial" w:hAnsi="Arial" w:cs="Arial"/>
                <w:b/>
                <w:sz w:val="20"/>
              </w:rPr>
              <w:t>1994</w:t>
            </w:r>
          </w:p>
        </w:tc>
        <w:tc>
          <w:tcPr>
            <w:tcW w:w="0" w:type="auto"/>
            <w:shd w:val="clear" w:color="auto" w:fill="FFFFFF"/>
            <w:vAlign w:val="center"/>
          </w:tcPr>
          <w:p w:rsidR="000A522F" w:rsidRPr="00B2051C" w:rsidRDefault="000A522F">
            <w:pPr>
              <w:jc w:val="right"/>
              <w:rPr>
                <w:rFonts w:ascii="Arial" w:hAnsi="Arial" w:cs="Arial"/>
                <w:b/>
                <w:sz w:val="20"/>
              </w:rPr>
            </w:pPr>
            <w:r w:rsidRPr="00B2051C">
              <w:rPr>
                <w:rFonts w:ascii="Arial" w:hAnsi="Arial" w:cs="Arial"/>
                <w:b/>
                <w:sz w:val="20"/>
              </w:rPr>
              <w:t>1995</w:t>
            </w:r>
          </w:p>
        </w:tc>
        <w:tc>
          <w:tcPr>
            <w:tcW w:w="0" w:type="auto"/>
            <w:shd w:val="clear" w:color="auto" w:fill="FFFFFF"/>
            <w:vAlign w:val="center"/>
          </w:tcPr>
          <w:p w:rsidR="000A522F" w:rsidRPr="00B2051C" w:rsidRDefault="000A522F">
            <w:pPr>
              <w:jc w:val="right"/>
              <w:rPr>
                <w:rFonts w:ascii="Arial" w:hAnsi="Arial" w:cs="Arial"/>
                <w:b/>
                <w:sz w:val="20"/>
              </w:rPr>
            </w:pPr>
            <w:r w:rsidRPr="00B2051C">
              <w:rPr>
                <w:rFonts w:ascii="Arial" w:hAnsi="Arial" w:cs="Arial"/>
                <w:b/>
                <w:sz w:val="20"/>
              </w:rPr>
              <w:t>1996</w:t>
            </w:r>
          </w:p>
        </w:tc>
        <w:tc>
          <w:tcPr>
            <w:tcW w:w="0" w:type="auto"/>
            <w:shd w:val="clear" w:color="auto" w:fill="FFFFFF"/>
            <w:vAlign w:val="center"/>
          </w:tcPr>
          <w:p w:rsidR="000A522F" w:rsidRPr="00B2051C" w:rsidRDefault="000A522F">
            <w:pPr>
              <w:jc w:val="right"/>
              <w:rPr>
                <w:rFonts w:ascii="Arial" w:hAnsi="Arial" w:cs="Arial"/>
                <w:b/>
                <w:sz w:val="20"/>
              </w:rPr>
            </w:pPr>
            <w:r w:rsidRPr="00B2051C">
              <w:rPr>
                <w:rFonts w:ascii="Arial" w:hAnsi="Arial" w:cs="Arial"/>
                <w:b/>
                <w:sz w:val="20"/>
              </w:rPr>
              <w:t>1997</w:t>
            </w:r>
          </w:p>
        </w:tc>
        <w:tc>
          <w:tcPr>
            <w:tcW w:w="0" w:type="auto"/>
            <w:shd w:val="clear" w:color="auto" w:fill="FFFFFF"/>
            <w:vAlign w:val="center"/>
          </w:tcPr>
          <w:p w:rsidR="000A522F" w:rsidRPr="00B2051C" w:rsidRDefault="000A522F">
            <w:pPr>
              <w:jc w:val="right"/>
              <w:rPr>
                <w:rFonts w:ascii="Arial" w:hAnsi="Arial" w:cs="Arial"/>
                <w:b/>
                <w:sz w:val="20"/>
              </w:rPr>
            </w:pPr>
            <w:r w:rsidRPr="00B2051C">
              <w:rPr>
                <w:rFonts w:ascii="Arial" w:hAnsi="Arial" w:cs="Arial"/>
                <w:b/>
                <w:sz w:val="20"/>
              </w:rPr>
              <w:t>1998</w:t>
            </w:r>
          </w:p>
        </w:tc>
        <w:tc>
          <w:tcPr>
            <w:tcW w:w="0" w:type="auto"/>
            <w:shd w:val="clear" w:color="auto" w:fill="FFFFFF"/>
            <w:vAlign w:val="center"/>
          </w:tcPr>
          <w:p w:rsidR="000A522F" w:rsidRPr="00B2051C" w:rsidRDefault="000A522F">
            <w:pPr>
              <w:jc w:val="right"/>
              <w:rPr>
                <w:rFonts w:ascii="Arial" w:hAnsi="Arial" w:cs="Arial"/>
                <w:b/>
                <w:sz w:val="20"/>
              </w:rPr>
            </w:pPr>
            <w:r w:rsidRPr="00B2051C">
              <w:rPr>
                <w:rFonts w:ascii="Arial" w:hAnsi="Arial" w:cs="Arial"/>
                <w:b/>
                <w:sz w:val="20"/>
              </w:rPr>
              <w:t>1999</w:t>
            </w:r>
          </w:p>
        </w:tc>
        <w:tc>
          <w:tcPr>
            <w:tcW w:w="0" w:type="auto"/>
            <w:shd w:val="clear" w:color="auto" w:fill="FFFFFF"/>
            <w:vAlign w:val="center"/>
          </w:tcPr>
          <w:p w:rsidR="000A522F" w:rsidRPr="00B2051C" w:rsidRDefault="000A522F">
            <w:pPr>
              <w:jc w:val="right"/>
              <w:rPr>
                <w:rFonts w:ascii="Arial" w:hAnsi="Arial" w:cs="Arial"/>
                <w:b/>
                <w:sz w:val="20"/>
              </w:rPr>
            </w:pPr>
            <w:r w:rsidRPr="00B2051C">
              <w:rPr>
                <w:rFonts w:ascii="Arial" w:hAnsi="Arial" w:cs="Arial"/>
                <w:b/>
                <w:sz w:val="20"/>
              </w:rPr>
              <w:t>2000</w:t>
            </w:r>
          </w:p>
        </w:tc>
        <w:tc>
          <w:tcPr>
            <w:tcW w:w="0" w:type="auto"/>
            <w:shd w:val="clear" w:color="auto" w:fill="FFFFFF"/>
            <w:vAlign w:val="center"/>
          </w:tcPr>
          <w:p w:rsidR="000A522F" w:rsidRPr="00B2051C" w:rsidRDefault="000A522F">
            <w:pPr>
              <w:jc w:val="right"/>
              <w:rPr>
                <w:rFonts w:ascii="Arial" w:hAnsi="Arial" w:cs="Arial"/>
                <w:b/>
                <w:sz w:val="20"/>
              </w:rPr>
            </w:pPr>
            <w:r w:rsidRPr="00B2051C">
              <w:rPr>
                <w:rFonts w:ascii="Arial" w:hAnsi="Arial" w:cs="Arial"/>
                <w:b/>
                <w:sz w:val="20"/>
              </w:rPr>
              <w:t>2001</w:t>
            </w:r>
          </w:p>
        </w:tc>
        <w:tc>
          <w:tcPr>
            <w:tcW w:w="0" w:type="auto"/>
            <w:shd w:val="clear" w:color="auto" w:fill="FFFFFF"/>
            <w:vAlign w:val="center"/>
          </w:tcPr>
          <w:p w:rsidR="000A522F" w:rsidRPr="00B2051C" w:rsidRDefault="000A522F">
            <w:pPr>
              <w:jc w:val="right"/>
              <w:rPr>
                <w:rFonts w:ascii="Arial" w:hAnsi="Arial" w:cs="Arial"/>
                <w:b/>
                <w:sz w:val="20"/>
              </w:rPr>
            </w:pPr>
            <w:r w:rsidRPr="00B2051C">
              <w:rPr>
                <w:rFonts w:ascii="Arial" w:hAnsi="Arial" w:cs="Arial"/>
                <w:b/>
                <w:sz w:val="20"/>
              </w:rPr>
              <w:t>2002</w:t>
            </w:r>
          </w:p>
        </w:tc>
        <w:tc>
          <w:tcPr>
            <w:tcW w:w="0" w:type="auto"/>
            <w:shd w:val="clear" w:color="auto" w:fill="FFFFFF"/>
            <w:vAlign w:val="center"/>
          </w:tcPr>
          <w:p w:rsidR="000A522F" w:rsidRPr="00B2051C" w:rsidRDefault="000A522F">
            <w:pPr>
              <w:jc w:val="right"/>
              <w:rPr>
                <w:rFonts w:ascii="Arial" w:hAnsi="Arial" w:cs="Arial"/>
                <w:b/>
                <w:sz w:val="20"/>
              </w:rPr>
            </w:pPr>
            <w:r w:rsidRPr="00B2051C">
              <w:rPr>
                <w:rFonts w:ascii="Arial" w:hAnsi="Arial" w:cs="Arial"/>
                <w:b/>
                <w:sz w:val="20"/>
              </w:rPr>
              <w:t>2003</w:t>
            </w:r>
          </w:p>
        </w:tc>
      </w:tr>
      <w:tr w:rsidR="00000000" w:rsidRPr="00B2051C">
        <w:trPr>
          <w:tblCellSpacing w:w="0" w:type="dxa"/>
        </w:trPr>
        <w:tc>
          <w:tcPr>
            <w:tcW w:w="0" w:type="auto"/>
            <w:shd w:val="clear" w:color="auto" w:fill="FFFFFF"/>
            <w:vAlign w:val="center"/>
          </w:tcPr>
          <w:p w:rsidR="000A522F" w:rsidRPr="00B2051C" w:rsidRDefault="000A522F">
            <w:pPr>
              <w:rPr>
                <w:rFonts w:ascii="Arial" w:hAnsi="Arial" w:cs="Arial"/>
                <w:b/>
                <w:sz w:val="20"/>
              </w:rPr>
            </w:pPr>
            <w:r w:rsidRPr="00B2051C">
              <w:rPr>
                <w:rFonts w:ascii="Arial" w:hAnsi="Arial" w:cs="Arial"/>
                <w:b/>
                <w:sz w:val="20"/>
              </w:rPr>
              <w:t>EU (25 countries)</w:t>
            </w:r>
          </w:p>
        </w:tc>
        <w:tc>
          <w:tcPr>
            <w:tcW w:w="0" w:type="auto"/>
            <w:shd w:val="clear" w:color="auto" w:fill="CCCCFF"/>
            <w:vAlign w:val="center"/>
          </w:tcPr>
          <w:p w:rsidR="000A522F" w:rsidRPr="00B2051C" w:rsidRDefault="000A522F">
            <w:pPr>
              <w:jc w:val="right"/>
              <w:rPr>
                <w:rFonts w:ascii="Arial" w:hAnsi="Arial" w:cs="Arial"/>
                <w:sz w:val="20"/>
              </w:rPr>
            </w:pP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1118.4</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826.0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632.5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732.7</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658.0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468.5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644.6</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905.7</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993.2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1311.5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1707.3</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2091.5</w:t>
            </w:r>
          </w:p>
        </w:tc>
      </w:tr>
      <w:tr w:rsidR="00000000" w:rsidRPr="00B2051C">
        <w:trPr>
          <w:tblCellSpacing w:w="0" w:type="dxa"/>
        </w:trPr>
        <w:tc>
          <w:tcPr>
            <w:tcW w:w="0" w:type="auto"/>
            <w:shd w:val="clear" w:color="auto" w:fill="FFFFFF"/>
            <w:vAlign w:val="center"/>
          </w:tcPr>
          <w:p w:rsidR="000A522F" w:rsidRPr="00B2051C" w:rsidRDefault="000A522F">
            <w:pPr>
              <w:rPr>
                <w:rFonts w:ascii="Arial" w:hAnsi="Arial" w:cs="Arial"/>
                <w:b/>
                <w:sz w:val="20"/>
              </w:rPr>
            </w:pPr>
            <w:r w:rsidRPr="00B2051C">
              <w:rPr>
                <w:rFonts w:ascii="Arial" w:hAnsi="Arial" w:cs="Arial"/>
                <w:b/>
                <w:sz w:val="20"/>
              </w:rPr>
              <w:t>EU (15 countries)</w:t>
            </w:r>
          </w:p>
        </w:tc>
        <w:tc>
          <w:tcPr>
            <w:tcW w:w="0" w:type="auto"/>
            <w:shd w:val="clear" w:color="auto" w:fill="CCCCFF"/>
            <w:vAlign w:val="center"/>
          </w:tcPr>
          <w:p w:rsidR="000A522F" w:rsidRPr="00B2051C" w:rsidRDefault="000A522F">
            <w:pPr>
              <w:jc w:val="right"/>
              <w:rPr>
                <w:rFonts w:ascii="Arial" w:hAnsi="Arial" w:cs="Arial"/>
                <w:sz w:val="20"/>
              </w:rPr>
            </w:pP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1216.1</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896.9</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678.8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765.9</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684.2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482.8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665.1</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903.2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1055.6</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1321.8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1701.2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2052.1</w:t>
            </w:r>
          </w:p>
        </w:tc>
      </w:tr>
      <w:tr w:rsidR="00000000" w:rsidRPr="00B2051C">
        <w:trPr>
          <w:tblCellSpacing w:w="0" w:type="dxa"/>
        </w:trPr>
        <w:tc>
          <w:tcPr>
            <w:tcW w:w="0" w:type="auto"/>
            <w:shd w:val="clear" w:color="auto" w:fill="FFFFFF"/>
            <w:vAlign w:val="center"/>
          </w:tcPr>
          <w:p w:rsidR="000A522F" w:rsidRPr="00B2051C" w:rsidRDefault="000A522F">
            <w:pPr>
              <w:rPr>
                <w:rFonts w:ascii="Arial" w:hAnsi="Arial" w:cs="Arial"/>
                <w:b/>
                <w:sz w:val="20"/>
              </w:rPr>
            </w:pPr>
            <w:r w:rsidRPr="00B2051C">
              <w:rPr>
                <w:rFonts w:ascii="Arial" w:hAnsi="Arial" w:cs="Arial"/>
                <w:b/>
                <w:sz w:val="20"/>
              </w:rPr>
              <w:t>Euro-zone</w:t>
            </w:r>
          </w:p>
        </w:tc>
        <w:tc>
          <w:tcPr>
            <w:tcW w:w="0" w:type="auto"/>
            <w:shd w:val="clear" w:color="auto" w:fill="CCCCFF"/>
            <w:vAlign w:val="center"/>
          </w:tcPr>
          <w:p w:rsidR="000A522F" w:rsidRPr="00B2051C" w:rsidRDefault="000A522F">
            <w:pPr>
              <w:jc w:val="right"/>
              <w:rPr>
                <w:rFonts w:ascii="Arial" w:hAnsi="Arial" w:cs="Arial"/>
                <w:sz w:val="20"/>
              </w:rPr>
            </w:pP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1139.9</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763.0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533.2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608.6</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556.8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377.4</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429.3</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716.1</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852.6</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1096.9</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1534.2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1755.9</w:t>
            </w:r>
          </w:p>
        </w:tc>
      </w:tr>
      <w:tr w:rsidR="00000000" w:rsidRPr="00B2051C">
        <w:trPr>
          <w:tblCellSpacing w:w="0" w:type="dxa"/>
        </w:trPr>
        <w:tc>
          <w:tcPr>
            <w:tcW w:w="0" w:type="auto"/>
            <w:shd w:val="clear" w:color="auto" w:fill="FFFFFF"/>
            <w:vAlign w:val="center"/>
          </w:tcPr>
          <w:p w:rsidR="000A522F" w:rsidRPr="00B2051C" w:rsidRDefault="000A522F">
            <w:pPr>
              <w:rPr>
                <w:rFonts w:ascii="Arial" w:hAnsi="Arial" w:cs="Arial"/>
                <w:b/>
                <w:sz w:val="20"/>
              </w:rPr>
            </w:pPr>
            <w:r w:rsidRPr="00B2051C">
              <w:rPr>
                <w:rFonts w:ascii="Arial" w:hAnsi="Arial" w:cs="Arial"/>
                <w:b/>
                <w:sz w:val="20"/>
              </w:rPr>
              <w:t>Belgium</w:t>
            </w:r>
          </w:p>
        </w:tc>
        <w:tc>
          <w:tcPr>
            <w:tcW w:w="0" w:type="auto"/>
            <w:shd w:val="clear" w:color="auto" w:fill="CCCCFF"/>
            <w:vAlign w:val="center"/>
          </w:tcPr>
          <w:p w:rsidR="000A522F" w:rsidRPr="00B2051C" w:rsidRDefault="000A522F">
            <w:pPr>
              <w:jc w:val="right"/>
              <w:rPr>
                <w:rFonts w:ascii="Arial" w:hAnsi="Arial" w:cs="Arial"/>
                <w:sz w:val="20"/>
              </w:rPr>
            </w:pP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25.7</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18.3</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17.3</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15.1</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9.8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11.6</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16.7</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12.9</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35.7</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40.5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35.6</w:t>
            </w:r>
          </w:p>
        </w:tc>
      </w:tr>
      <w:tr w:rsidR="00000000" w:rsidRPr="00B2051C">
        <w:trPr>
          <w:tblCellSpacing w:w="0" w:type="dxa"/>
        </w:trPr>
        <w:tc>
          <w:tcPr>
            <w:tcW w:w="0" w:type="auto"/>
            <w:shd w:val="clear" w:color="auto" w:fill="FFFFFF"/>
            <w:vAlign w:val="center"/>
          </w:tcPr>
          <w:p w:rsidR="000A522F" w:rsidRPr="00B2051C" w:rsidRDefault="000A522F">
            <w:pPr>
              <w:rPr>
                <w:rFonts w:ascii="Arial" w:hAnsi="Arial" w:cs="Arial"/>
                <w:b/>
                <w:sz w:val="20"/>
              </w:rPr>
            </w:pPr>
            <w:r w:rsidRPr="00B2051C">
              <w:rPr>
                <w:rFonts w:ascii="Arial" w:hAnsi="Arial" w:cs="Arial"/>
                <w:b/>
                <w:sz w:val="20"/>
              </w:rPr>
              <w:t>Czech Republic</w:t>
            </w:r>
          </w:p>
        </w:tc>
        <w:tc>
          <w:tcPr>
            <w:tcW w:w="0" w:type="auto"/>
            <w:shd w:val="clear" w:color="auto" w:fill="CCCCFF"/>
            <w:vAlign w:val="center"/>
          </w:tcPr>
          <w:p w:rsidR="000A522F" w:rsidRPr="00B2051C" w:rsidRDefault="000A522F">
            <w:pPr>
              <w:jc w:val="right"/>
              <w:rPr>
                <w:rFonts w:ascii="Arial" w:hAnsi="Arial" w:cs="Arial"/>
                <w:sz w:val="20"/>
              </w:rPr>
            </w:pP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11.8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5.5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10.0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9.9</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10.2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12.0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9.5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8.8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-28.0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-8.5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12.3</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25.8</w:t>
            </w:r>
          </w:p>
        </w:tc>
      </w:tr>
      <w:tr w:rsidR="00000000" w:rsidRPr="00B2051C">
        <w:trPr>
          <w:tblCellSpacing w:w="0" w:type="dxa"/>
        </w:trPr>
        <w:tc>
          <w:tcPr>
            <w:tcW w:w="0" w:type="auto"/>
            <w:shd w:val="clear" w:color="auto" w:fill="FFFFFF"/>
            <w:vAlign w:val="center"/>
          </w:tcPr>
          <w:p w:rsidR="000A522F" w:rsidRPr="00B2051C" w:rsidRDefault="000A522F">
            <w:pPr>
              <w:rPr>
                <w:rFonts w:ascii="Arial" w:hAnsi="Arial" w:cs="Arial"/>
                <w:b/>
                <w:sz w:val="20"/>
              </w:rPr>
            </w:pPr>
            <w:r w:rsidRPr="00B2051C">
              <w:rPr>
                <w:rFonts w:ascii="Arial" w:hAnsi="Arial" w:cs="Arial"/>
                <w:b/>
                <w:sz w:val="20"/>
              </w:rPr>
              <w:t>Denmark</w:t>
            </w:r>
          </w:p>
        </w:tc>
        <w:tc>
          <w:tcPr>
            <w:tcW w:w="0" w:type="auto"/>
            <w:shd w:val="clear" w:color="auto" w:fill="CCCCFF"/>
            <w:vAlign w:val="center"/>
          </w:tcPr>
          <w:p w:rsidR="000A522F" w:rsidRPr="00B2051C" w:rsidRDefault="000A522F">
            <w:pPr>
              <w:jc w:val="right"/>
              <w:rPr>
                <w:rFonts w:ascii="Arial" w:hAnsi="Arial" w:cs="Arial"/>
                <w:sz w:val="20"/>
              </w:rPr>
            </w:pP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11.6</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11.4</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10.5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28.6</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17.5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12.1</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11.0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9.4</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10.1</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12.0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9.6</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7.0</w:t>
            </w:r>
          </w:p>
        </w:tc>
      </w:tr>
      <w:tr w:rsidR="00000000" w:rsidRPr="00B2051C">
        <w:trPr>
          <w:tblCellSpacing w:w="0" w:type="dxa"/>
        </w:trPr>
        <w:tc>
          <w:tcPr>
            <w:tcW w:w="0" w:type="auto"/>
            <w:shd w:val="clear" w:color="auto" w:fill="FFFFFF"/>
            <w:vAlign w:val="center"/>
          </w:tcPr>
          <w:p w:rsidR="000A522F" w:rsidRPr="00B2051C" w:rsidRDefault="000A522F">
            <w:pPr>
              <w:rPr>
                <w:rFonts w:ascii="Arial" w:hAnsi="Arial" w:cs="Arial"/>
                <w:b/>
                <w:sz w:val="20"/>
              </w:rPr>
            </w:pPr>
            <w:r w:rsidRPr="00B2051C">
              <w:rPr>
                <w:rFonts w:ascii="Arial" w:hAnsi="Arial" w:cs="Arial"/>
                <w:b/>
                <w:sz w:val="20"/>
              </w:rPr>
              <w:t>Germany</w:t>
            </w:r>
          </w:p>
        </w:tc>
        <w:tc>
          <w:tcPr>
            <w:tcW w:w="0" w:type="auto"/>
            <w:shd w:val="clear" w:color="auto" w:fill="CCCCFF"/>
            <w:vAlign w:val="center"/>
          </w:tcPr>
          <w:p w:rsidR="000A522F" w:rsidRPr="00B2051C" w:rsidRDefault="000A522F">
            <w:pPr>
              <w:jc w:val="right"/>
              <w:rPr>
                <w:rFonts w:ascii="Arial" w:hAnsi="Arial" w:cs="Arial"/>
                <w:sz w:val="20"/>
              </w:rPr>
            </w:pP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776.3</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462.4</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315.6</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398.3</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281.5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93.4</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47.0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202.1</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167.8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274.8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218.8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142.2</w:t>
            </w:r>
          </w:p>
        </w:tc>
      </w:tr>
      <w:tr w:rsidR="00000000" w:rsidRPr="00B2051C">
        <w:trPr>
          <w:tblCellSpacing w:w="0" w:type="dxa"/>
        </w:trPr>
        <w:tc>
          <w:tcPr>
            <w:tcW w:w="0" w:type="auto"/>
            <w:shd w:val="clear" w:color="auto" w:fill="FFFFFF"/>
            <w:vAlign w:val="center"/>
          </w:tcPr>
          <w:p w:rsidR="000A522F" w:rsidRPr="00B2051C" w:rsidRDefault="000A522F">
            <w:pPr>
              <w:rPr>
                <w:rFonts w:ascii="Arial" w:hAnsi="Arial" w:cs="Arial"/>
                <w:b/>
                <w:sz w:val="20"/>
              </w:rPr>
            </w:pPr>
            <w:r w:rsidRPr="00B2051C">
              <w:rPr>
                <w:rFonts w:ascii="Arial" w:hAnsi="Arial" w:cs="Arial"/>
                <w:b/>
                <w:sz w:val="20"/>
              </w:rPr>
              <w:t>Estonia</w:t>
            </w:r>
          </w:p>
        </w:tc>
        <w:tc>
          <w:tcPr>
            <w:tcW w:w="0" w:type="auto"/>
            <w:shd w:val="clear" w:color="auto" w:fill="CCCCFF"/>
            <w:vAlign w:val="center"/>
          </w:tcPr>
          <w:p w:rsidR="000A522F" w:rsidRPr="00B2051C" w:rsidRDefault="000A522F">
            <w:pPr>
              <w:jc w:val="right"/>
              <w:rPr>
                <w:rFonts w:ascii="Arial" w:hAnsi="Arial" w:cs="Arial"/>
                <w:sz w:val="20"/>
              </w:rPr>
            </w:pP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-41.5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-28.3</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-20.9</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-15.6</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-13.4</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-6.9</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-6.7</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-1.1</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0.2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0.1</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0.2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0.0</w:t>
            </w:r>
          </w:p>
        </w:tc>
      </w:tr>
      <w:tr w:rsidR="00000000" w:rsidRPr="00B2051C">
        <w:trPr>
          <w:tblCellSpacing w:w="0" w:type="dxa"/>
        </w:trPr>
        <w:tc>
          <w:tcPr>
            <w:tcW w:w="0" w:type="auto"/>
            <w:shd w:val="clear" w:color="auto" w:fill="FFFFFF"/>
            <w:vAlign w:val="center"/>
          </w:tcPr>
          <w:p w:rsidR="000A522F" w:rsidRPr="00B2051C" w:rsidRDefault="000A522F">
            <w:pPr>
              <w:rPr>
                <w:rFonts w:ascii="Arial" w:hAnsi="Arial" w:cs="Arial"/>
                <w:b/>
                <w:sz w:val="20"/>
              </w:rPr>
            </w:pPr>
            <w:r w:rsidRPr="00B2051C">
              <w:rPr>
                <w:rFonts w:ascii="Arial" w:hAnsi="Arial" w:cs="Arial"/>
                <w:b/>
                <w:sz w:val="20"/>
              </w:rPr>
              <w:t>Greece</w:t>
            </w:r>
          </w:p>
        </w:tc>
        <w:tc>
          <w:tcPr>
            <w:tcW w:w="0" w:type="auto"/>
            <w:shd w:val="clear" w:color="auto" w:fill="CCCCFF"/>
            <w:vAlign w:val="center"/>
          </w:tcPr>
          <w:p w:rsidR="000A522F" w:rsidRPr="00B2051C" w:rsidRDefault="000A522F">
            <w:pPr>
              <w:jc w:val="right"/>
              <w:rPr>
                <w:rFonts w:ascii="Arial" w:hAnsi="Arial" w:cs="Arial"/>
                <w:sz w:val="20"/>
              </w:rPr>
            </w:pP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94.5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86.5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78.1</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77.3</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70.9</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61.5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54.8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45.1</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29.3</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37.8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38.0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35.8</w:t>
            </w:r>
          </w:p>
        </w:tc>
      </w:tr>
      <w:tr w:rsidR="00000000" w:rsidRPr="00B2051C">
        <w:trPr>
          <w:tblCellSpacing w:w="0" w:type="dxa"/>
        </w:trPr>
        <w:tc>
          <w:tcPr>
            <w:tcW w:w="0" w:type="auto"/>
            <w:shd w:val="clear" w:color="auto" w:fill="FFFFFF"/>
            <w:vAlign w:val="center"/>
          </w:tcPr>
          <w:p w:rsidR="000A522F" w:rsidRPr="00B2051C" w:rsidRDefault="000A522F">
            <w:pPr>
              <w:rPr>
                <w:rFonts w:ascii="Arial" w:hAnsi="Arial" w:cs="Arial"/>
                <w:b/>
                <w:sz w:val="20"/>
              </w:rPr>
            </w:pPr>
            <w:r w:rsidRPr="00B2051C">
              <w:rPr>
                <w:rFonts w:ascii="Arial" w:hAnsi="Arial" w:cs="Arial"/>
                <w:b/>
                <w:sz w:val="20"/>
              </w:rPr>
              <w:t>Spain</w:t>
            </w:r>
          </w:p>
        </w:tc>
        <w:tc>
          <w:tcPr>
            <w:tcW w:w="0" w:type="auto"/>
            <w:shd w:val="clear" w:color="auto" w:fill="CCCCFF"/>
            <w:vAlign w:val="center"/>
          </w:tcPr>
          <w:p w:rsidR="000A522F" w:rsidRPr="00B2051C" w:rsidRDefault="000A522F">
            <w:pPr>
              <w:jc w:val="right"/>
              <w:rPr>
                <w:rFonts w:ascii="Arial" w:hAnsi="Arial" w:cs="Arial"/>
                <w:sz w:val="20"/>
              </w:rPr>
            </w:pP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54.2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59.2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54.7</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60.4</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73.5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83.6</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148.8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227.3</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378.5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427.8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649.9</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738.5</w:t>
            </w:r>
          </w:p>
        </w:tc>
      </w:tr>
      <w:tr w:rsidR="00000000" w:rsidRPr="00B2051C">
        <w:trPr>
          <w:tblCellSpacing w:w="0" w:type="dxa"/>
        </w:trPr>
        <w:tc>
          <w:tcPr>
            <w:tcW w:w="0" w:type="auto"/>
            <w:shd w:val="clear" w:color="auto" w:fill="FFFFFF"/>
            <w:vAlign w:val="center"/>
          </w:tcPr>
          <w:p w:rsidR="000A522F" w:rsidRPr="00B2051C" w:rsidRDefault="000A522F">
            <w:pPr>
              <w:rPr>
                <w:rFonts w:ascii="Arial" w:hAnsi="Arial" w:cs="Arial"/>
                <w:b/>
                <w:sz w:val="20"/>
              </w:rPr>
            </w:pPr>
            <w:r w:rsidRPr="00B2051C">
              <w:rPr>
                <w:rFonts w:ascii="Arial" w:hAnsi="Arial" w:cs="Arial"/>
                <w:b/>
                <w:sz w:val="20"/>
              </w:rPr>
              <w:t>France</w:t>
            </w:r>
          </w:p>
        </w:tc>
        <w:tc>
          <w:tcPr>
            <w:tcW w:w="0" w:type="auto"/>
            <w:shd w:val="clear" w:color="auto" w:fill="CCCCFF"/>
            <w:vAlign w:val="center"/>
          </w:tcPr>
          <w:p w:rsidR="000A522F" w:rsidRPr="00B2051C" w:rsidRDefault="000A522F">
            <w:pPr>
              <w:jc w:val="right"/>
              <w:rPr>
                <w:rFonts w:ascii="Arial" w:hAnsi="Arial" w:cs="Arial"/>
                <w:sz w:val="20"/>
              </w:rPr>
            </w:pP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36.5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16.5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-14.5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-18.5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-13.5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-6.5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45.0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50.1</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60.4</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65.1</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55.0</w:t>
            </w:r>
          </w:p>
        </w:tc>
      </w:tr>
      <w:tr w:rsidR="00000000" w:rsidRPr="00B2051C">
        <w:trPr>
          <w:tblCellSpacing w:w="0" w:type="dxa"/>
        </w:trPr>
        <w:tc>
          <w:tcPr>
            <w:tcW w:w="0" w:type="auto"/>
            <w:shd w:val="clear" w:color="auto" w:fill="FFFFFF"/>
            <w:vAlign w:val="center"/>
          </w:tcPr>
          <w:p w:rsidR="000A522F" w:rsidRPr="00B2051C" w:rsidRDefault="000A522F">
            <w:pPr>
              <w:rPr>
                <w:rFonts w:ascii="Arial" w:hAnsi="Arial" w:cs="Arial"/>
                <w:b/>
                <w:sz w:val="20"/>
              </w:rPr>
            </w:pPr>
            <w:r w:rsidRPr="00B2051C">
              <w:rPr>
                <w:rFonts w:ascii="Arial" w:hAnsi="Arial" w:cs="Arial"/>
                <w:b/>
                <w:sz w:val="20"/>
              </w:rPr>
              <w:t>Ireland</w:t>
            </w:r>
          </w:p>
        </w:tc>
        <w:tc>
          <w:tcPr>
            <w:tcW w:w="0" w:type="auto"/>
            <w:shd w:val="clear" w:color="auto" w:fill="CCCCFF"/>
            <w:vAlign w:val="center"/>
          </w:tcPr>
          <w:p w:rsidR="000A522F" w:rsidRPr="00B2051C" w:rsidRDefault="000A522F">
            <w:pPr>
              <w:jc w:val="right"/>
              <w:rPr>
                <w:rFonts w:ascii="Arial" w:hAnsi="Arial" w:cs="Arial"/>
                <w:sz w:val="20"/>
              </w:rPr>
            </w:pP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1.7</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-3.4</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6.0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15.9</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17.4</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16.2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24.3</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31.5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38.8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32.7</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31.3</w:t>
            </w:r>
          </w:p>
        </w:tc>
      </w:tr>
      <w:tr w:rsidR="00000000" w:rsidRPr="00B2051C">
        <w:trPr>
          <w:tblCellSpacing w:w="0" w:type="dxa"/>
        </w:trPr>
        <w:tc>
          <w:tcPr>
            <w:tcW w:w="0" w:type="auto"/>
            <w:shd w:val="clear" w:color="auto" w:fill="FFFFFF"/>
            <w:vAlign w:val="center"/>
          </w:tcPr>
          <w:p w:rsidR="000A522F" w:rsidRPr="00B2051C" w:rsidRDefault="000A522F">
            <w:pPr>
              <w:rPr>
                <w:rFonts w:ascii="Arial" w:hAnsi="Arial" w:cs="Arial"/>
                <w:b/>
                <w:sz w:val="20"/>
              </w:rPr>
            </w:pPr>
            <w:r w:rsidRPr="00B2051C">
              <w:rPr>
                <w:rFonts w:ascii="Arial" w:hAnsi="Arial" w:cs="Arial"/>
                <w:b/>
                <w:sz w:val="20"/>
              </w:rPr>
              <w:t>Italy</w:t>
            </w:r>
          </w:p>
        </w:tc>
        <w:tc>
          <w:tcPr>
            <w:tcW w:w="0" w:type="auto"/>
            <w:shd w:val="clear" w:color="auto" w:fill="CCCCFF"/>
            <w:vAlign w:val="center"/>
          </w:tcPr>
          <w:p w:rsidR="000A522F" w:rsidRPr="00B2051C" w:rsidRDefault="000A522F">
            <w:pPr>
              <w:jc w:val="right"/>
              <w:rPr>
                <w:rFonts w:ascii="Arial" w:hAnsi="Arial" w:cs="Arial"/>
                <w:sz w:val="20"/>
              </w:rPr>
            </w:pP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27.8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24.2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25.7</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31.5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59.5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55.7</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64.1</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46.4</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55.2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47.6</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349.3</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600.6</w:t>
            </w:r>
          </w:p>
        </w:tc>
      </w:tr>
      <w:tr w:rsidR="00000000" w:rsidRPr="00B2051C">
        <w:trPr>
          <w:tblCellSpacing w:w="0" w:type="dxa"/>
        </w:trPr>
        <w:tc>
          <w:tcPr>
            <w:tcW w:w="0" w:type="auto"/>
            <w:shd w:val="clear" w:color="auto" w:fill="FFFFFF"/>
            <w:vAlign w:val="center"/>
          </w:tcPr>
          <w:p w:rsidR="000A522F" w:rsidRPr="00B2051C" w:rsidRDefault="000A522F">
            <w:pPr>
              <w:rPr>
                <w:rFonts w:ascii="Arial" w:hAnsi="Arial" w:cs="Arial"/>
                <w:b/>
                <w:sz w:val="20"/>
              </w:rPr>
            </w:pPr>
            <w:r w:rsidRPr="00B2051C">
              <w:rPr>
                <w:rFonts w:ascii="Arial" w:hAnsi="Arial" w:cs="Arial"/>
                <w:b/>
                <w:sz w:val="20"/>
              </w:rPr>
              <w:t>Cyprus</w:t>
            </w:r>
          </w:p>
        </w:tc>
        <w:tc>
          <w:tcPr>
            <w:tcW w:w="0" w:type="auto"/>
            <w:shd w:val="clear" w:color="auto" w:fill="CCCCFF"/>
            <w:vAlign w:val="center"/>
          </w:tcPr>
          <w:p w:rsidR="000A522F" w:rsidRPr="00B2051C" w:rsidRDefault="000A522F">
            <w:pPr>
              <w:jc w:val="right"/>
              <w:rPr>
                <w:rFonts w:ascii="Arial" w:hAnsi="Arial" w:cs="Arial"/>
                <w:sz w:val="20"/>
              </w:rPr>
            </w:pP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10.7</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8.7</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7.0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6.6</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6.0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5.5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4.6</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6.9</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12.4</w:t>
            </w:r>
          </w:p>
        </w:tc>
      </w:tr>
      <w:tr w:rsidR="00000000" w:rsidRPr="00B2051C">
        <w:trPr>
          <w:tblCellSpacing w:w="0" w:type="dxa"/>
        </w:trPr>
        <w:tc>
          <w:tcPr>
            <w:tcW w:w="0" w:type="auto"/>
            <w:shd w:val="clear" w:color="auto" w:fill="FFFFFF"/>
            <w:vAlign w:val="center"/>
          </w:tcPr>
          <w:p w:rsidR="000A522F" w:rsidRPr="00B2051C" w:rsidRDefault="000A522F">
            <w:pPr>
              <w:rPr>
                <w:rFonts w:ascii="Arial" w:hAnsi="Arial" w:cs="Arial"/>
                <w:b/>
                <w:sz w:val="20"/>
              </w:rPr>
            </w:pPr>
            <w:r w:rsidRPr="00B2051C">
              <w:rPr>
                <w:rFonts w:ascii="Arial" w:hAnsi="Arial" w:cs="Arial"/>
                <w:b/>
                <w:sz w:val="20"/>
              </w:rPr>
              <w:t>Latvia</w:t>
            </w:r>
          </w:p>
        </w:tc>
        <w:tc>
          <w:tcPr>
            <w:tcW w:w="0" w:type="auto"/>
            <w:shd w:val="clear" w:color="auto" w:fill="CCCCFF"/>
            <w:vAlign w:val="center"/>
          </w:tcPr>
          <w:p w:rsidR="000A522F" w:rsidRPr="00B2051C" w:rsidRDefault="000A522F">
            <w:pPr>
              <w:jc w:val="right"/>
              <w:rPr>
                <w:rFonts w:ascii="Arial" w:hAnsi="Arial" w:cs="Arial"/>
                <w:sz w:val="20"/>
              </w:rPr>
            </w:pP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-53.5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-32.4</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-22.8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-13.8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-10.1</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-9.4</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-5.8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-4.1</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-5.4</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-5.2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-0.9</w:t>
            </w:r>
          </w:p>
        </w:tc>
      </w:tr>
      <w:tr w:rsidR="00000000" w:rsidRPr="00B2051C">
        <w:trPr>
          <w:tblCellSpacing w:w="0" w:type="dxa"/>
        </w:trPr>
        <w:tc>
          <w:tcPr>
            <w:tcW w:w="0" w:type="auto"/>
            <w:shd w:val="clear" w:color="auto" w:fill="FFFFFF"/>
            <w:vAlign w:val="center"/>
          </w:tcPr>
          <w:p w:rsidR="000A522F" w:rsidRPr="00B2051C" w:rsidRDefault="000A522F">
            <w:pPr>
              <w:rPr>
                <w:rFonts w:ascii="Arial" w:hAnsi="Arial" w:cs="Arial"/>
                <w:b/>
                <w:sz w:val="20"/>
              </w:rPr>
            </w:pPr>
            <w:r w:rsidRPr="00B2051C">
              <w:rPr>
                <w:rFonts w:ascii="Arial" w:hAnsi="Arial" w:cs="Arial"/>
                <w:b/>
                <w:sz w:val="20"/>
              </w:rPr>
              <w:t>Lithuania</w:t>
            </w:r>
          </w:p>
        </w:tc>
        <w:tc>
          <w:tcPr>
            <w:tcW w:w="0" w:type="auto"/>
            <w:shd w:val="clear" w:color="auto" w:fill="CCCCFF"/>
            <w:vAlign w:val="center"/>
          </w:tcPr>
          <w:p w:rsidR="000A522F" w:rsidRPr="00B2051C" w:rsidRDefault="000A522F">
            <w:pPr>
              <w:jc w:val="right"/>
              <w:rPr>
                <w:rFonts w:ascii="Arial" w:hAnsi="Arial" w:cs="Arial"/>
                <w:sz w:val="20"/>
              </w:rPr>
            </w:pP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-24.5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-24.0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-24.2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-23.7</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-23.4</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-22.4</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-22.1</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-20.7</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-20.3</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-1.9</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-6.3</w:t>
            </w:r>
          </w:p>
        </w:tc>
      </w:tr>
      <w:tr w:rsidR="00000000" w:rsidRPr="00B2051C">
        <w:trPr>
          <w:tblCellSpacing w:w="0" w:type="dxa"/>
        </w:trPr>
        <w:tc>
          <w:tcPr>
            <w:tcW w:w="0" w:type="auto"/>
            <w:shd w:val="clear" w:color="auto" w:fill="FFFFFF"/>
            <w:vAlign w:val="center"/>
          </w:tcPr>
          <w:p w:rsidR="000A522F" w:rsidRPr="00B2051C" w:rsidRDefault="000A522F">
            <w:pPr>
              <w:rPr>
                <w:rFonts w:ascii="Arial" w:hAnsi="Arial" w:cs="Arial"/>
                <w:b/>
                <w:sz w:val="20"/>
              </w:rPr>
            </w:pPr>
            <w:r w:rsidRPr="00B2051C">
              <w:rPr>
                <w:rFonts w:ascii="Arial" w:hAnsi="Arial" w:cs="Arial"/>
                <w:b/>
                <w:sz w:val="20"/>
              </w:rPr>
              <w:t>Luxembourg</w:t>
            </w:r>
          </w:p>
        </w:tc>
        <w:tc>
          <w:tcPr>
            <w:tcW w:w="0" w:type="auto"/>
            <w:shd w:val="clear" w:color="auto" w:fill="CCCCFF"/>
            <w:vAlign w:val="center"/>
          </w:tcPr>
          <w:p w:rsidR="000A522F" w:rsidRPr="00B2051C" w:rsidRDefault="000A522F">
            <w:pPr>
              <w:jc w:val="right"/>
              <w:rPr>
                <w:rFonts w:ascii="Arial" w:hAnsi="Arial" w:cs="Arial"/>
                <w:sz w:val="20"/>
              </w:rPr>
            </w:pP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4.1</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3.9</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4.3</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3.6</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4.4</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3.3</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2.6</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2.1</w:t>
            </w:r>
          </w:p>
        </w:tc>
      </w:tr>
      <w:tr w:rsidR="00000000" w:rsidRPr="00B2051C">
        <w:trPr>
          <w:tblCellSpacing w:w="0" w:type="dxa"/>
        </w:trPr>
        <w:tc>
          <w:tcPr>
            <w:tcW w:w="0" w:type="auto"/>
            <w:shd w:val="clear" w:color="auto" w:fill="FFFFFF"/>
            <w:vAlign w:val="center"/>
          </w:tcPr>
          <w:p w:rsidR="000A522F" w:rsidRPr="00B2051C" w:rsidRDefault="000A522F">
            <w:pPr>
              <w:rPr>
                <w:rFonts w:ascii="Arial" w:hAnsi="Arial" w:cs="Arial"/>
                <w:b/>
                <w:sz w:val="20"/>
              </w:rPr>
            </w:pPr>
            <w:r w:rsidRPr="00B2051C">
              <w:rPr>
                <w:rFonts w:ascii="Arial" w:hAnsi="Arial" w:cs="Arial"/>
                <w:b/>
                <w:sz w:val="20"/>
              </w:rPr>
              <w:t>Hungary</w:t>
            </w:r>
          </w:p>
        </w:tc>
        <w:tc>
          <w:tcPr>
            <w:tcW w:w="0" w:type="auto"/>
            <w:shd w:val="clear" w:color="auto" w:fill="CCCCFF"/>
            <w:vAlign w:val="center"/>
          </w:tcPr>
          <w:p w:rsidR="000A522F" w:rsidRPr="00B2051C" w:rsidRDefault="000A522F">
            <w:pPr>
              <w:jc w:val="right"/>
              <w:rPr>
                <w:rFonts w:ascii="Arial" w:hAnsi="Arial" w:cs="Arial"/>
                <w:sz w:val="20"/>
              </w:rPr>
            </w:pP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18.5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18.2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18.0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17.8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17.8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17.5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17.3</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16.8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16.7</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9.8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15.5</w:t>
            </w:r>
          </w:p>
        </w:tc>
      </w:tr>
      <w:tr w:rsidR="00000000" w:rsidRPr="00B2051C">
        <w:trPr>
          <w:tblCellSpacing w:w="0" w:type="dxa"/>
        </w:trPr>
        <w:tc>
          <w:tcPr>
            <w:tcW w:w="0" w:type="auto"/>
            <w:shd w:val="clear" w:color="auto" w:fill="FFFFFF"/>
            <w:vAlign w:val="center"/>
          </w:tcPr>
          <w:p w:rsidR="000A522F" w:rsidRPr="00B2051C" w:rsidRDefault="000A522F">
            <w:pPr>
              <w:rPr>
                <w:rFonts w:ascii="Arial" w:hAnsi="Arial" w:cs="Arial"/>
                <w:b/>
                <w:sz w:val="20"/>
              </w:rPr>
            </w:pPr>
            <w:r w:rsidRPr="00B2051C">
              <w:rPr>
                <w:rFonts w:ascii="Arial" w:hAnsi="Arial" w:cs="Arial"/>
                <w:b/>
                <w:sz w:val="20"/>
              </w:rPr>
              <w:t>Malta</w:t>
            </w:r>
          </w:p>
        </w:tc>
        <w:tc>
          <w:tcPr>
            <w:tcW w:w="0" w:type="auto"/>
            <w:shd w:val="clear" w:color="auto" w:fill="CCCCFF"/>
            <w:vAlign w:val="center"/>
          </w:tcPr>
          <w:p w:rsidR="000A522F" w:rsidRPr="00B2051C" w:rsidRDefault="000A522F">
            <w:pPr>
              <w:jc w:val="right"/>
              <w:rPr>
                <w:rFonts w:ascii="Arial" w:hAnsi="Arial" w:cs="Arial"/>
                <w:sz w:val="20"/>
              </w:rPr>
            </w:pP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0.9</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-0.2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0.7</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0.6</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0.4</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0.5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9.9</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1.8</w:t>
            </w:r>
          </w:p>
        </w:tc>
      </w:tr>
      <w:tr w:rsidR="00000000" w:rsidRPr="00B2051C">
        <w:trPr>
          <w:tblCellSpacing w:w="0" w:type="dxa"/>
        </w:trPr>
        <w:tc>
          <w:tcPr>
            <w:tcW w:w="0" w:type="auto"/>
            <w:shd w:val="clear" w:color="auto" w:fill="FFFFFF"/>
            <w:vAlign w:val="center"/>
          </w:tcPr>
          <w:p w:rsidR="000A522F" w:rsidRPr="00B2051C" w:rsidRDefault="000A522F">
            <w:pPr>
              <w:rPr>
                <w:rFonts w:ascii="Arial" w:hAnsi="Arial" w:cs="Arial"/>
                <w:b/>
                <w:sz w:val="20"/>
              </w:rPr>
            </w:pPr>
            <w:r w:rsidRPr="00B2051C">
              <w:rPr>
                <w:rFonts w:ascii="Arial" w:hAnsi="Arial" w:cs="Arial"/>
                <w:b/>
                <w:sz w:val="20"/>
              </w:rPr>
              <w:t>Netherlands</w:t>
            </w:r>
          </w:p>
        </w:tc>
        <w:tc>
          <w:tcPr>
            <w:tcW w:w="0" w:type="auto"/>
            <w:shd w:val="clear" w:color="auto" w:fill="CCCCFF"/>
            <w:vAlign w:val="center"/>
          </w:tcPr>
          <w:p w:rsidR="000A522F" w:rsidRPr="00B2051C" w:rsidRDefault="000A522F">
            <w:pPr>
              <w:jc w:val="right"/>
              <w:rPr>
                <w:rFonts w:ascii="Arial" w:hAnsi="Arial" w:cs="Arial"/>
                <w:sz w:val="20"/>
              </w:rPr>
            </w:pP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43.2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44.5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20.4</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15.0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21.3</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30.5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44.1</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43.9</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57.0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56.0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27.6</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7.0</w:t>
            </w:r>
          </w:p>
        </w:tc>
      </w:tr>
      <w:tr w:rsidR="00000000" w:rsidRPr="00B2051C">
        <w:trPr>
          <w:tblCellSpacing w:w="0" w:type="dxa"/>
        </w:trPr>
        <w:tc>
          <w:tcPr>
            <w:tcW w:w="0" w:type="auto"/>
            <w:shd w:val="clear" w:color="auto" w:fill="FFFFFF"/>
            <w:vAlign w:val="center"/>
          </w:tcPr>
          <w:p w:rsidR="000A522F" w:rsidRPr="00B2051C" w:rsidRDefault="000A522F">
            <w:pPr>
              <w:rPr>
                <w:rFonts w:ascii="Arial" w:hAnsi="Arial" w:cs="Arial"/>
                <w:b/>
                <w:sz w:val="20"/>
              </w:rPr>
            </w:pPr>
            <w:r w:rsidRPr="00B2051C">
              <w:rPr>
                <w:rFonts w:ascii="Arial" w:hAnsi="Arial" w:cs="Arial"/>
                <w:b/>
                <w:sz w:val="20"/>
              </w:rPr>
              <w:t>Austria</w:t>
            </w:r>
          </w:p>
        </w:tc>
        <w:tc>
          <w:tcPr>
            <w:tcW w:w="0" w:type="auto"/>
            <w:shd w:val="clear" w:color="auto" w:fill="CCCCFF"/>
            <w:vAlign w:val="center"/>
          </w:tcPr>
          <w:p w:rsidR="000A522F" w:rsidRPr="00B2051C" w:rsidRDefault="000A522F">
            <w:pPr>
              <w:jc w:val="right"/>
              <w:rPr>
                <w:rFonts w:ascii="Arial" w:hAnsi="Arial" w:cs="Arial"/>
                <w:sz w:val="20"/>
              </w:rPr>
            </w:pP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71.5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33.5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3.1</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2.1</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3.9</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8.5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19.8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17.2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43.5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34.8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38.2</w:t>
            </w:r>
          </w:p>
        </w:tc>
      </w:tr>
      <w:tr w:rsidR="00000000" w:rsidRPr="00B2051C">
        <w:trPr>
          <w:tblCellSpacing w:w="0" w:type="dxa"/>
        </w:trPr>
        <w:tc>
          <w:tcPr>
            <w:tcW w:w="0" w:type="auto"/>
            <w:shd w:val="clear" w:color="auto" w:fill="FFFFFF"/>
            <w:vAlign w:val="center"/>
          </w:tcPr>
          <w:p w:rsidR="000A522F" w:rsidRPr="00B2051C" w:rsidRDefault="000A522F">
            <w:pPr>
              <w:rPr>
                <w:rFonts w:ascii="Arial" w:hAnsi="Arial" w:cs="Arial"/>
                <w:b/>
                <w:sz w:val="20"/>
              </w:rPr>
            </w:pPr>
            <w:r w:rsidRPr="00B2051C">
              <w:rPr>
                <w:rFonts w:ascii="Arial" w:hAnsi="Arial" w:cs="Arial"/>
                <w:b/>
                <w:sz w:val="20"/>
              </w:rPr>
              <w:t>Poland</w:t>
            </w:r>
          </w:p>
        </w:tc>
        <w:tc>
          <w:tcPr>
            <w:tcW w:w="0" w:type="auto"/>
            <w:shd w:val="clear" w:color="auto" w:fill="CCCCFF"/>
            <w:vAlign w:val="center"/>
          </w:tcPr>
          <w:p w:rsidR="000A522F" w:rsidRPr="00B2051C" w:rsidRDefault="000A522F">
            <w:pPr>
              <w:jc w:val="right"/>
              <w:rPr>
                <w:rFonts w:ascii="Arial" w:hAnsi="Arial" w:cs="Arial"/>
                <w:sz w:val="20"/>
              </w:rPr>
            </w:pP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-11.6</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-16.8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-19.0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-18.2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-12.8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-11.7</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-13.2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-14.0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-19.6</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-16.8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-18.0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-13.8</w:t>
            </w:r>
          </w:p>
        </w:tc>
      </w:tr>
      <w:tr w:rsidR="00000000" w:rsidRPr="00B2051C">
        <w:trPr>
          <w:tblCellSpacing w:w="0" w:type="dxa"/>
        </w:trPr>
        <w:tc>
          <w:tcPr>
            <w:tcW w:w="0" w:type="auto"/>
            <w:shd w:val="clear" w:color="auto" w:fill="FFFFFF"/>
            <w:vAlign w:val="center"/>
          </w:tcPr>
          <w:p w:rsidR="000A522F" w:rsidRPr="00B2051C" w:rsidRDefault="000A522F">
            <w:pPr>
              <w:rPr>
                <w:rFonts w:ascii="Arial" w:hAnsi="Arial" w:cs="Arial"/>
                <w:b/>
                <w:sz w:val="20"/>
              </w:rPr>
            </w:pPr>
            <w:r w:rsidRPr="00B2051C">
              <w:rPr>
                <w:rFonts w:ascii="Arial" w:hAnsi="Arial" w:cs="Arial"/>
                <w:b/>
                <w:sz w:val="20"/>
              </w:rPr>
              <w:t>Portugal</w:t>
            </w:r>
          </w:p>
        </w:tc>
        <w:tc>
          <w:tcPr>
            <w:tcW w:w="0" w:type="auto"/>
            <w:shd w:val="clear" w:color="auto" w:fill="CCCCFF"/>
            <w:vAlign w:val="center"/>
          </w:tcPr>
          <w:p w:rsidR="000A522F" w:rsidRPr="00B2051C" w:rsidRDefault="000A522F">
            <w:pPr>
              <w:jc w:val="right"/>
              <w:rPr>
                <w:rFonts w:ascii="Arial" w:hAnsi="Arial" w:cs="Arial"/>
                <w:sz w:val="20"/>
              </w:rPr>
            </w:pP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8.4</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17.3</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22.3</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26.2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29.4</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32.3</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38.0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47.1</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64.9</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70.1</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63.5</w:t>
            </w:r>
          </w:p>
        </w:tc>
      </w:tr>
      <w:tr w:rsidR="00000000" w:rsidRPr="00B2051C">
        <w:trPr>
          <w:tblCellSpacing w:w="0" w:type="dxa"/>
        </w:trPr>
        <w:tc>
          <w:tcPr>
            <w:tcW w:w="0" w:type="auto"/>
            <w:shd w:val="clear" w:color="auto" w:fill="FFFFFF"/>
            <w:vAlign w:val="center"/>
          </w:tcPr>
          <w:p w:rsidR="000A522F" w:rsidRPr="00B2051C" w:rsidRDefault="000A522F">
            <w:pPr>
              <w:rPr>
                <w:rFonts w:ascii="Arial" w:hAnsi="Arial" w:cs="Arial"/>
                <w:b/>
                <w:sz w:val="20"/>
              </w:rPr>
            </w:pPr>
            <w:r w:rsidRPr="00B2051C">
              <w:rPr>
                <w:rFonts w:ascii="Arial" w:hAnsi="Arial" w:cs="Arial"/>
                <w:b/>
                <w:sz w:val="20"/>
              </w:rPr>
              <w:t>Slovenia</w:t>
            </w:r>
          </w:p>
        </w:tc>
        <w:tc>
          <w:tcPr>
            <w:tcW w:w="0" w:type="auto"/>
            <w:shd w:val="clear" w:color="auto" w:fill="CCCCFF"/>
            <w:vAlign w:val="center"/>
          </w:tcPr>
          <w:p w:rsidR="000A522F" w:rsidRPr="00B2051C" w:rsidRDefault="000A522F">
            <w:pPr>
              <w:jc w:val="right"/>
              <w:rPr>
                <w:rFonts w:ascii="Arial" w:hAnsi="Arial" w:cs="Arial"/>
                <w:sz w:val="20"/>
              </w:rPr>
            </w:pP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-5.5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0.0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0.8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-1.4</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-5.5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10.9</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2.7</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4.9</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3.6</w:t>
            </w:r>
          </w:p>
        </w:tc>
      </w:tr>
      <w:tr w:rsidR="00000000" w:rsidRPr="00B2051C">
        <w:trPr>
          <w:tblCellSpacing w:w="0" w:type="dxa"/>
        </w:trPr>
        <w:tc>
          <w:tcPr>
            <w:tcW w:w="0" w:type="auto"/>
            <w:shd w:val="clear" w:color="auto" w:fill="FFFFFF"/>
            <w:vAlign w:val="center"/>
          </w:tcPr>
          <w:p w:rsidR="000A522F" w:rsidRPr="00B2051C" w:rsidRDefault="000A522F">
            <w:pPr>
              <w:rPr>
                <w:rFonts w:ascii="Arial" w:hAnsi="Arial" w:cs="Arial"/>
                <w:b/>
                <w:sz w:val="20"/>
              </w:rPr>
            </w:pPr>
            <w:r w:rsidRPr="00B2051C">
              <w:rPr>
                <w:rFonts w:ascii="Arial" w:hAnsi="Arial" w:cs="Arial"/>
                <w:b/>
                <w:sz w:val="20"/>
              </w:rPr>
              <w:t>Slovakia</w:t>
            </w:r>
          </w:p>
        </w:tc>
        <w:tc>
          <w:tcPr>
            <w:tcW w:w="0" w:type="auto"/>
            <w:shd w:val="clear" w:color="auto" w:fill="CCCCFF"/>
            <w:vAlign w:val="center"/>
          </w:tcPr>
          <w:p w:rsidR="000A522F" w:rsidRPr="00B2051C" w:rsidRDefault="000A522F">
            <w:pPr>
              <w:jc w:val="right"/>
              <w:rPr>
                <w:rFonts w:ascii="Arial" w:hAnsi="Arial" w:cs="Arial"/>
                <w:sz w:val="20"/>
              </w:rPr>
            </w:pP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-2.9</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1.7</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4.7</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2.9</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1.3</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-22.4</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1.1</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0.9</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1.4</w:t>
            </w:r>
          </w:p>
        </w:tc>
      </w:tr>
      <w:tr w:rsidR="00000000" w:rsidRPr="00B2051C">
        <w:trPr>
          <w:tblCellSpacing w:w="0" w:type="dxa"/>
        </w:trPr>
        <w:tc>
          <w:tcPr>
            <w:tcW w:w="0" w:type="auto"/>
            <w:shd w:val="clear" w:color="auto" w:fill="FFFFFF"/>
            <w:vAlign w:val="center"/>
          </w:tcPr>
          <w:p w:rsidR="000A522F" w:rsidRPr="00B2051C" w:rsidRDefault="000A522F">
            <w:pPr>
              <w:rPr>
                <w:rFonts w:ascii="Arial" w:hAnsi="Arial" w:cs="Arial"/>
                <w:b/>
                <w:sz w:val="20"/>
              </w:rPr>
            </w:pPr>
            <w:r w:rsidRPr="00B2051C">
              <w:rPr>
                <w:rFonts w:ascii="Arial" w:hAnsi="Arial" w:cs="Arial"/>
                <w:b/>
                <w:sz w:val="20"/>
              </w:rPr>
              <w:t>Finland</w:t>
            </w:r>
          </w:p>
        </w:tc>
        <w:tc>
          <w:tcPr>
            <w:tcW w:w="0" w:type="auto"/>
            <w:shd w:val="clear" w:color="auto" w:fill="CCCCFF"/>
            <w:vAlign w:val="center"/>
          </w:tcPr>
          <w:p w:rsidR="000A522F" w:rsidRPr="00B2051C" w:rsidRDefault="000A522F">
            <w:pPr>
              <w:jc w:val="right"/>
              <w:rPr>
                <w:rFonts w:ascii="Arial" w:hAnsi="Arial" w:cs="Arial"/>
                <w:sz w:val="20"/>
              </w:rPr>
            </w:pP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9.1</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9.1</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3.7</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3.4</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2.4</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6.1</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5.2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5.8</w:t>
            </w:r>
          </w:p>
        </w:tc>
      </w:tr>
      <w:tr w:rsidR="00000000" w:rsidRPr="00B2051C">
        <w:trPr>
          <w:tblCellSpacing w:w="0" w:type="dxa"/>
        </w:trPr>
        <w:tc>
          <w:tcPr>
            <w:tcW w:w="0" w:type="auto"/>
            <w:shd w:val="clear" w:color="auto" w:fill="FFFFFF"/>
            <w:vAlign w:val="center"/>
          </w:tcPr>
          <w:p w:rsidR="000A522F" w:rsidRPr="00B2051C" w:rsidRDefault="000A522F">
            <w:pPr>
              <w:rPr>
                <w:rFonts w:ascii="Arial" w:hAnsi="Arial" w:cs="Arial"/>
                <w:b/>
                <w:sz w:val="20"/>
              </w:rPr>
            </w:pPr>
            <w:r w:rsidRPr="00B2051C">
              <w:rPr>
                <w:rFonts w:ascii="Arial" w:hAnsi="Arial" w:cs="Arial"/>
                <w:b/>
                <w:sz w:val="20"/>
              </w:rPr>
              <w:t>Sweden</w:t>
            </w:r>
          </w:p>
        </w:tc>
        <w:tc>
          <w:tcPr>
            <w:tcW w:w="0" w:type="auto"/>
            <w:shd w:val="clear" w:color="auto" w:fill="CCCCFF"/>
            <w:vAlign w:val="center"/>
          </w:tcPr>
          <w:p w:rsidR="000A522F" w:rsidRPr="00B2051C" w:rsidRDefault="000A522F">
            <w:pPr>
              <w:jc w:val="right"/>
              <w:rPr>
                <w:rFonts w:ascii="Arial" w:hAnsi="Arial" w:cs="Arial"/>
                <w:sz w:val="20"/>
              </w:rPr>
            </w:pP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19.8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32.1</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50.8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11.7</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5.8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5.9</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11.0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13.6</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24.5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28.6</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30.9</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28.7</w:t>
            </w:r>
          </w:p>
        </w:tc>
      </w:tr>
      <w:tr w:rsidR="00000000" w:rsidRPr="00B2051C">
        <w:trPr>
          <w:tblCellSpacing w:w="0" w:type="dxa"/>
        </w:trPr>
        <w:tc>
          <w:tcPr>
            <w:tcW w:w="0" w:type="auto"/>
            <w:shd w:val="clear" w:color="auto" w:fill="FFFFFF"/>
            <w:vAlign w:val="center"/>
          </w:tcPr>
          <w:p w:rsidR="000A522F" w:rsidRPr="00B2051C" w:rsidRDefault="000A522F">
            <w:pPr>
              <w:rPr>
                <w:rFonts w:ascii="Arial" w:hAnsi="Arial" w:cs="Arial"/>
                <w:b/>
                <w:sz w:val="20"/>
              </w:rPr>
            </w:pPr>
            <w:r w:rsidRPr="00B2051C">
              <w:rPr>
                <w:rFonts w:ascii="Arial" w:hAnsi="Arial" w:cs="Arial"/>
                <w:b/>
                <w:sz w:val="20"/>
              </w:rPr>
              <w:t>United Kingdom</w:t>
            </w:r>
          </w:p>
        </w:tc>
        <w:tc>
          <w:tcPr>
            <w:tcW w:w="0" w:type="auto"/>
            <w:shd w:val="clear" w:color="auto" w:fill="CCCCFF"/>
            <w:vAlign w:val="center"/>
          </w:tcPr>
          <w:p w:rsidR="000A522F" w:rsidRPr="00B2051C" w:rsidRDefault="000A522F">
            <w:pPr>
              <w:jc w:val="right"/>
              <w:rPr>
                <w:rFonts w:ascii="Arial" w:hAnsi="Arial" w:cs="Arial"/>
                <w:sz w:val="20"/>
              </w:rPr>
            </w:pP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44.8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90.2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84.2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117.0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104.0</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87.4</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213.8</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164.2</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168.5</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184.3</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126.4</w:t>
            </w:r>
          </w:p>
        </w:tc>
        <w:tc>
          <w:tcPr>
            <w:tcW w:w="0" w:type="auto"/>
            <w:shd w:val="clear" w:color="auto" w:fill="FFFFFF"/>
            <w:vAlign w:val="center"/>
          </w:tcPr>
          <w:p w:rsidR="000A522F" w:rsidRPr="00B2051C" w:rsidRDefault="000A522F">
            <w:pPr>
              <w:jc w:val="right"/>
              <w:rPr>
                <w:rFonts w:ascii="Arial" w:hAnsi="Arial" w:cs="Arial"/>
                <w:sz w:val="20"/>
              </w:rPr>
            </w:pPr>
            <w:r w:rsidRPr="00B2051C">
              <w:rPr>
                <w:rFonts w:ascii="Arial" w:hAnsi="Arial" w:cs="Arial"/>
                <w:sz w:val="20"/>
              </w:rPr>
              <w:t>260.5</w:t>
            </w:r>
          </w:p>
        </w:tc>
      </w:tr>
    </w:tbl>
    <w:p w:rsidR="000A522F" w:rsidRPr="00B2051C" w:rsidRDefault="000A522F">
      <w:pPr>
        <w:rPr>
          <w:sz w:val="18"/>
          <w:szCs w:val="18"/>
        </w:rPr>
      </w:pPr>
      <w:r w:rsidRPr="00B2051C">
        <w:rPr>
          <w:sz w:val="18"/>
          <w:szCs w:val="18"/>
        </w:rPr>
        <w:t>Source: Eurostat estimates</w:t>
      </w:r>
    </w:p>
    <w:p w:rsidR="000A522F" w:rsidRPr="00B2051C" w:rsidRDefault="000A522F">
      <w:r w:rsidRPr="00B2051C">
        <w:rPr>
          <w:b/>
        </w:rPr>
        <w:t>Net migration</w:t>
      </w:r>
      <w:r w:rsidRPr="00B2051C">
        <w:t xml:space="preserve"> is the difference between immigration into and emigration from the area during the year (net migration is therefore negative when the number of emigrants exceeds the number of immigrants). Since most countries either do not have accurate figures on immigration and emigration or have no figures at all, net migration is estimated on the basis of the difference between population change and natural increase between two dates. The statistics on net migration are therefore affected by all the statistical inaccu</w:t>
      </w:r>
      <w:r w:rsidRPr="00B2051C">
        <w:t xml:space="preserve">racies in the two components of this equation, especially population change. </w:t>
      </w:r>
    </w:p>
    <w:p w:rsidR="000A522F" w:rsidRPr="00B2051C" w:rsidRDefault="000A522F">
      <w:r w:rsidRPr="00B2051C">
        <w:t>The table above shows that most EU Member States are now immigration countries and that even those which are still emigration countries (Latvia, Lithuania and Poland) are in the path towards becoming immigration countries as well, as negative net migration is gradually evolving towards migratory balance.</w:t>
      </w:r>
    </w:p>
    <w:p w:rsidR="000A522F" w:rsidRPr="00B2051C" w:rsidRDefault="000A522F">
      <w:pPr>
        <w:rPr>
          <w:b/>
          <w:u w:val="single"/>
        </w:rPr>
        <w:sectPr w:rsidR="00000000" w:rsidRPr="00B2051C">
          <w:pgSz w:w="11907" w:h="16839"/>
          <w:pgMar w:top="1134" w:right="1417" w:bottom="1134" w:left="1417" w:header="720" w:footer="720" w:gutter="0"/>
          <w:cols w:space="720"/>
          <w:docGrid w:linePitch="326"/>
        </w:sectPr>
      </w:pPr>
    </w:p>
    <w:p w:rsidR="000A522F" w:rsidRPr="00B2051C" w:rsidRDefault="000A522F">
      <w:pPr>
        <w:rPr>
          <w:b/>
          <w:bCs/>
          <w:u w:val="single"/>
        </w:rPr>
      </w:pPr>
      <w:r w:rsidRPr="00B2051C">
        <w:rPr>
          <w:b/>
          <w:u w:val="single"/>
        </w:rPr>
        <w:t xml:space="preserve">Table 4: </w:t>
      </w:r>
      <w:r w:rsidRPr="00B2051C">
        <w:rPr>
          <w:b/>
          <w:bCs/>
          <w:u w:val="single"/>
        </w:rPr>
        <w:t>Estimates of Annual Inflows of Work Permit Holders in 16 EU Countries</w:t>
      </w:r>
    </w:p>
    <w:tbl>
      <w:tblPr>
        <w:tblW w:w="93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67"/>
        <w:gridCol w:w="1173"/>
        <w:gridCol w:w="1263"/>
        <w:gridCol w:w="1413"/>
        <w:gridCol w:w="4680"/>
      </w:tblGrid>
      <w:tr w:rsidR="00000000" w:rsidRPr="00B2051C">
        <w:trPr>
          <w:trHeight w:val="300"/>
        </w:trPr>
        <w:tc>
          <w:tcPr>
            <w:tcW w:w="867" w:type="dxa"/>
            <w:noWrap/>
          </w:tcPr>
          <w:p w:rsidR="000A522F" w:rsidRPr="00B2051C" w:rsidRDefault="000A522F">
            <w:pPr>
              <w:jc w:val="center"/>
              <w:rPr>
                <w:b/>
                <w:sz w:val="18"/>
                <w:szCs w:val="18"/>
              </w:rPr>
            </w:pPr>
            <w:r w:rsidRPr="00B2051C">
              <w:rPr>
                <w:b/>
                <w:sz w:val="18"/>
                <w:szCs w:val="18"/>
              </w:rPr>
              <w:t>Country</w:t>
            </w:r>
          </w:p>
        </w:tc>
        <w:tc>
          <w:tcPr>
            <w:tcW w:w="1173" w:type="dxa"/>
            <w:noWrap/>
          </w:tcPr>
          <w:p w:rsidR="000A522F" w:rsidRPr="00B2051C" w:rsidRDefault="000A522F">
            <w:pPr>
              <w:jc w:val="center"/>
              <w:rPr>
                <w:b/>
                <w:sz w:val="18"/>
                <w:szCs w:val="18"/>
              </w:rPr>
            </w:pPr>
            <w:r w:rsidRPr="00B2051C">
              <w:rPr>
                <w:b/>
                <w:sz w:val="18"/>
                <w:szCs w:val="18"/>
              </w:rPr>
              <w:t>All Work Permit Holders</w:t>
            </w:r>
          </w:p>
        </w:tc>
        <w:tc>
          <w:tcPr>
            <w:tcW w:w="1263" w:type="dxa"/>
            <w:noWrap/>
          </w:tcPr>
          <w:p w:rsidR="000A522F" w:rsidRPr="00B2051C" w:rsidRDefault="000A522F">
            <w:pPr>
              <w:jc w:val="center"/>
              <w:rPr>
                <w:b/>
                <w:sz w:val="18"/>
                <w:szCs w:val="18"/>
              </w:rPr>
            </w:pPr>
            <w:r w:rsidRPr="00B2051C">
              <w:rPr>
                <w:b/>
                <w:sz w:val="18"/>
                <w:szCs w:val="18"/>
              </w:rPr>
              <w:t>Professionals with Work Permits</w:t>
            </w:r>
          </w:p>
        </w:tc>
        <w:tc>
          <w:tcPr>
            <w:tcW w:w="1413" w:type="dxa"/>
            <w:noWrap/>
          </w:tcPr>
          <w:p w:rsidR="000A522F" w:rsidRPr="00B2051C" w:rsidRDefault="000A522F">
            <w:pPr>
              <w:jc w:val="center"/>
              <w:rPr>
                <w:b/>
                <w:sz w:val="18"/>
                <w:szCs w:val="18"/>
              </w:rPr>
            </w:pPr>
            <w:r w:rsidRPr="00B2051C">
              <w:rPr>
                <w:b/>
                <w:sz w:val="18"/>
                <w:szCs w:val="18"/>
              </w:rPr>
              <w:t>Total Employment 2002</w:t>
            </w:r>
          </w:p>
        </w:tc>
        <w:tc>
          <w:tcPr>
            <w:tcW w:w="4680" w:type="dxa"/>
            <w:noWrap/>
          </w:tcPr>
          <w:p w:rsidR="000A522F" w:rsidRPr="00B2051C" w:rsidRDefault="000A522F">
            <w:pPr>
              <w:jc w:val="center"/>
              <w:rPr>
                <w:b/>
                <w:sz w:val="18"/>
                <w:szCs w:val="18"/>
              </w:rPr>
            </w:pPr>
            <w:r w:rsidRPr="00B2051C">
              <w:rPr>
                <w:b/>
                <w:sz w:val="18"/>
                <w:szCs w:val="18"/>
              </w:rPr>
              <w:t>Comments</w:t>
            </w:r>
          </w:p>
        </w:tc>
      </w:tr>
      <w:tr w:rsidR="00000000" w:rsidRPr="00B2051C">
        <w:trPr>
          <w:trHeight w:val="300"/>
        </w:trPr>
        <w:tc>
          <w:tcPr>
            <w:tcW w:w="867" w:type="dxa"/>
            <w:noWrap/>
          </w:tcPr>
          <w:p w:rsidR="000A522F" w:rsidRPr="00B2051C" w:rsidRDefault="000A522F">
            <w:pPr>
              <w:rPr>
                <w:b/>
                <w:sz w:val="18"/>
                <w:szCs w:val="18"/>
              </w:rPr>
            </w:pPr>
            <w:r w:rsidRPr="00B2051C">
              <w:rPr>
                <w:b/>
                <w:sz w:val="18"/>
                <w:szCs w:val="18"/>
              </w:rPr>
              <w:t>DK</w:t>
            </w:r>
          </w:p>
        </w:tc>
        <w:tc>
          <w:tcPr>
            <w:tcW w:w="1173" w:type="dxa"/>
            <w:noWrap/>
          </w:tcPr>
          <w:p w:rsidR="000A522F" w:rsidRPr="00B2051C" w:rsidRDefault="000A522F">
            <w:pPr>
              <w:jc w:val="right"/>
              <w:rPr>
                <w:sz w:val="18"/>
                <w:szCs w:val="18"/>
              </w:rPr>
            </w:pPr>
            <w:r w:rsidRPr="00B2051C">
              <w:rPr>
                <w:sz w:val="18"/>
                <w:szCs w:val="18"/>
              </w:rPr>
              <w:t>1600</w:t>
            </w:r>
          </w:p>
        </w:tc>
        <w:tc>
          <w:tcPr>
            <w:tcW w:w="1263" w:type="dxa"/>
            <w:noWrap/>
          </w:tcPr>
          <w:p w:rsidR="000A522F" w:rsidRPr="00B2051C" w:rsidRDefault="000A522F">
            <w:pPr>
              <w:jc w:val="right"/>
              <w:rPr>
                <w:sz w:val="18"/>
                <w:szCs w:val="18"/>
              </w:rPr>
            </w:pPr>
            <w:r w:rsidRPr="00B2051C">
              <w:rPr>
                <w:sz w:val="18"/>
                <w:szCs w:val="18"/>
              </w:rPr>
              <w:t>500</w:t>
            </w:r>
          </w:p>
        </w:tc>
        <w:tc>
          <w:tcPr>
            <w:tcW w:w="1413" w:type="dxa"/>
            <w:noWrap/>
          </w:tcPr>
          <w:p w:rsidR="000A522F" w:rsidRPr="00B2051C" w:rsidRDefault="000A522F">
            <w:pPr>
              <w:jc w:val="right"/>
              <w:rPr>
                <w:sz w:val="18"/>
                <w:szCs w:val="18"/>
              </w:rPr>
            </w:pPr>
            <w:r w:rsidRPr="00B2051C">
              <w:rPr>
                <w:sz w:val="18"/>
                <w:szCs w:val="18"/>
              </w:rPr>
              <w:t>2741000</w:t>
            </w:r>
          </w:p>
        </w:tc>
        <w:tc>
          <w:tcPr>
            <w:tcW w:w="4680" w:type="dxa"/>
            <w:noWrap/>
          </w:tcPr>
          <w:p w:rsidR="000A522F" w:rsidRPr="00B2051C" w:rsidRDefault="000A522F">
            <w:pPr>
              <w:rPr>
                <w:sz w:val="18"/>
                <w:szCs w:val="18"/>
              </w:rPr>
            </w:pPr>
            <w:r w:rsidRPr="00B2051C">
              <w:rPr>
                <w:sz w:val="18"/>
                <w:szCs w:val="18"/>
              </w:rPr>
              <w:t xml:space="preserve">2003. Professionals relate to occupations requiring special skills which are in demand </w:t>
            </w:r>
          </w:p>
        </w:tc>
      </w:tr>
      <w:tr w:rsidR="00000000" w:rsidRPr="00B2051C">
        <w:trPr>
          <w:trHeight w:val="300"/>
        </w:trPr>
        <w:tc>
          <w:tcPr>
            <w:tcW w:w="867" w:type="dxa"/>
            <w:noWrap/>
          </w:tcPr>
          <w:p w:rsidR="000A522F" w:rsidRPr="00B2051C" w:rsidRDefault="000A522F">
            <w:pPr>
              <w:rPr>
                <w:b/>
                <w:sz w:val="18"/>
                <w:szCs w:val="18"/>
              </w:rPr>
            </w:pPr>
            <w:r w:rsidRPr="00B2051C">
              <w:rPr>
                <w:b/>
                <w:sz w:val="18"/>
                <w:szCs w:val="18"/>
              </w:rPr>
              <w:t>DE</w:t>
            </w:r>
          </w:p>
        </w:tc>
        <w:tc>
          <w:tcPr>
            <w:tcW w:w="1173" w:type="dxa"/>
            <w:noWrap/>
          </w:tcPr>
          <w:p w:rsidR="000A522F" w:rsidRPr="00B2051C" w:rsidRDefault="000A522F">
            <w:pPr>
              <w:jc w:val="right"/>
              <w:rPr>
                <w:sz w:val="18"/>
                <w:szCs w:val="18"/>
              </w:rPr>
            </w:pPr>
            <w:r w:rsidRPr="00B2051C">
              <w:rPr>
                <w:sz w:val="18"/>
                <w:szCs w:val="18"/>
              </w:rPr>
              <w:t>165000</w:t>
            </w:r>
          </w:p>
        </w:tc>
        <w:tc>
          <w:tcPr>
            <w:tcW w:w="1263" w:type="dxa"/>
            <w:noWrap/>
          </w:tcPr>
          <w:p w:rsidR="000A522F" w:rsidRPr="00B2051C" w:rsidRDefault="000A522F">
            <w:pPr>
              <w:jc w:val="right"/>
              <w:rPr>
                <w:sz w:val="18"/>
                <w:szCs w:val="18"/>
              </w:rPr>
            </w:pPr>
            <w:r w:rsidRPr="00B2051C">
              <w:rPr>
                <w:sz w:val="18"/>
                <w:szCs w:val="18"/>
              </w:rPr>
              <w:t>3300</w:t>
            </w:r>
          </w:p>
        </w:tc>
        <w:tc>
          <w:tcPr>
            <w:tcW w:w="1413" w:type="dxa"/>
            <w:noWrap/>
          </w:tcPr>
          <w:p w:rsidR="000A522F" w:rsidRPr="00B2051C" w:rsidRDefault="000A522F">
            <w:pPr>
              <w:jc w:val="right"/>
              <w:rPr>
                <w:sz w:val="18"/>
                <w:szCs w:val="18"/>
              </w:rPr>
            </w:pPr>
            <w:r w:rsidRPr="00B2051C">
              <w:rPr>
                <w:sz w:val="18"/>
                <w:szCs w:val="18"/>
              </w:rPr>
              <w:t>36275000</w:t>
            </w:r>
          </w:p>
        </w:tc>
        <w:tc>
          <w:tcPr>
            <w:tcW w:w="4680" w:type="dxa"/>
            <w:noWrap/>
          </w:tcPr>
          <w:p w:rsidR="000A522F" w:rsidRPr="00B2051C" w:rsidRDefault="000A522F">
            <w:pPr>
              <w:rPr>
                <w:sz w:val="18"/>
                <w:szCs w:val="18"/>
              </w:rPr>
            </w:pPr>
            <w:r w:rsidRPr="00B2051C">
              <w:rPr>
                <w:sz w:val="18"/>
                <w:szCs w:val="18"/>
              </w:rPr>
              <w:t>2003. Figures relate to non-EU persons arriving in Germany. The total includes multiple entries, the vast majority of whom are unskilled. Professional category relates only to “Green Card” scheme for IT specialists</w:t>
            </w:r>
          </w:p>
        </w:tc>
      </w:tr>
      <w:tr w:rsidR="00000000" w:rsidRPr="00B2051C">
        <w:trPr>
          <w:trHeight w:val="300"/>
        </w:trPr>
        <w:tc>
          <w:tcPr>
            <w:tcW w:w="867" w:type="dxa"/>
            <w:noWrap/>
          </w:tcPr>
          <w:p w:rsidR="000A522F" w:rsidRPr="00B2051C" w:rsidRDefault="000A522F">
            <w:pPr>
              <w:rPr>
                <w:b/>
                <w:sz w:val="18"/>
                <w:szCs w:val="18"/>
              </w:rPr>
            </w:pPr>
            <w:r w:rsidRPr="00B2051C">
              <w:rPr>
                <w:b/>
                <w:sz w:val="18"/>
                <w:szCs w:val="18"/>
              </w:rPr>
              <w:t>ES</w:t>
            </w:r>
          </w:p>
        </w:tc>
        <w:tc>
          <w:tcPr>
            <w:tcW w:w="1173" w:type="dxa"/>
            <w:noWrap/>
          </w:tcPr>
          <w:p w:rsidR="000A522F" w:rsidRPr="00B2051C" w:rsidRDefault="000A522F">
            <w:pPr>
              <w:jc w:val="right"/>
              <w:rPr>
                <w:sz w:val="18"/>
                <w:szCs w:val="18"/>
              </w:rPr>
            </w:pPr>
            <w:r w:rsidRPr="00B2051C">
              <w:rPr>
                <w:sz w:val="18"/>
                <w:szCs w:val="18"/>
              </w:rPr>
              <w:t>65000</w:t>
            </w:r>
          </w:p>
        </w:tc>
        <w:tc>
          <w:tcPr>
            <w:tcW w:w="1263" w:type="dxa"/>
            <w:noWrap/>
          </w:tcPr>
          <w:p w:rsidR="000A522F" w:rsidRPr="00B2051C" w:rsidRDefault="000A522F">
            <w:pPr>
              <w:jc w:val="right"/>
              <w:rPr>
                <w:sz w:val="18"/>
                <w:szCs w:val="18"/>
              </w:rPr>
            </w:pPr>
            <w:r w:rsidRPr="00B2051C">
              <w:rPr>
                <w:sz w:val="18"/>
                <w:szCs w:val="18"/>
              </w:rPr>
              <w:t>-</w:t>
            </w:r>
          </w:p>
        </w:tc>
        <w:tc>
          <w:tcPr>
            <w:tcW w:w="1413" w:type="dxa"/>
            <w:noWrap/>
          </w:tcPr>
          <w:p w:rsidR="000A522F" w:rsidRPr="00B2051C" w:rsidRDefault="000A522F">
            <w:pPr>
              <w:jc w:val="right"/>
              <w:rPr>
                <w:sz w:val="18"/>
                <w:szCs w:val="18"/>
              </w:rPr>
            </w:pPr>
            <w:r w:rsidRPr="00B2051C">
              <w:rPr>
                <w:sz w:val="18"/>
                <w:szCs w:val="18"/>
              </w:rPr>
              <w:t>16241000</w:t>
            </w:r>
          </w:p>
        </w:tc>
        <w:tc>
          <w:tcPr>
            <w:tcW w:w="4680" w:type="dxa"/>
            <w:noWrap/>
          </w:tcPr>
          <w:p w:rsidR="000A522F" w:rsidRPr="00B2051C" w:rsidRDefault="000A522F">
            <w:pPr>
              <w:rPr>
                <w:sz w:val="18"/>
                <w:szCs w:val="18"/>
              </w:rPr>
            </w:pPr>
            <w:r w:rsidRPr="00B2051C">
              <w:rPr>
                <w:sz w:val="18"/>
                <w:szCs w:val="18"/>
              </w:rPr>
              <w:t>Approximate net estimate for 2002/2003 for the rise in the numbers in the SI system (excluding EU nationals)</w:t>
            </w:r>
          </w:p>
        </w:tc>
      </w:tr>
      <w:tr w:rsidR="00000000" w:rsidRPr="00B2051C">
        <w:trPr>
          <w:trHeight w:val="300"/>
        </w:trPr>
        <w:tc>
          <w:tcPr>
            <w:tcW w:w="867" w:type="dxa"/>
            <w:noWrap/>
          </w:tcPr>
          <w:p w:rsidR="000A522F" w:rsidRPr="00B2051C" w:rsidRDefault="000A522F">
            <w:pPr>
              <w:rPr>
                <w:b/>
                <w:sz w:val="18"/>
                <w:szCs w:val="18"/>
              </w:rPr>
            </w:pPr>
            <w:r w:rsidRPr="00B2051C">
              <w:rPr>
                <w:b/>
                <w:sz w:val="18"/>
                <w:szCs w:val="18"/>
              </w:rPr>
              <w:t>FR</w:t>
            </w:r>
          </w:p>
        </w:tc>
        <w:tc>
          <w:tcPr>
            <w:tcW w:w="1173" w:type="dxa"/>
            <w:noWrap/>
          </w:tcPr>
          <w:p w:rsidR="000A522F" w:rsidRPr="00B2051C" w:rsidRDefault="000A522F">
            <w:pPr>
              <w:jc w:val="right"/>
              <w:rPr>
                <w:sz w:val="18"/>
                <w:szCs w:val="18"/>
              </w:rPr>
            </w:pPr>
            <w:r w:rsidRPr="00B2051C">
              <w:rPr>
                <w:sz w:val="18"/>
                <w:szCs w:val="18"/>
              </w:rPr>
              <w:t>31200</w:t>
            </w:r>
          </w:p>
        </w:tc>
        <w:tc>
          <w:tcPr>
            <w:tcW w:w="1263" w:type="dxa"/>
            <w:noWrap/>
          </w:tcPr>
          <w:p w:rsidR="000A522F" w:rsidRPr="00B2051C" w:rsidRDefault="000A522F">
            <w:pPr>
              <w:jc w:val="right"/>
              <w:rPr>
                <w:sz w:val="18"/>
                <w:szCs w:val="18"/>
              </w:rPr>
            </w:pPr>
            <w:r w:rsidRPr="00B2051C">
              <w:rPr>
                <w:sz w:val="18"/>
                <w:szCs w:val="18"/>
              </w:rPr>
              <w:t>12400</w:t>
            </w:r>
          </w:p>
        </w:tc>
        <w:tc>
          <w:tcPr>
            <w:tcW w:w="1413" w:type="dxa"/>
            <w:noWrap/>
          </w:tcPr>
          <w:p w:rsidR="000A522F" w:rsidRPr="00B2051C" w:rsidRDefault="000A522F">
            <w:pPr>
              <w:jc w:val="right"/>
              <w:rPr>
                <w:sz w:val="18"/>
                <w:szCs w:val="18"/>
              </w:rPr>
            </w:pPr>
            <w:r w:rsidRPr="00B2051C">
              <w:rPr>
                <w:sz w:val="18"/>
                <w:szCs w:val="18"/>
              </w:rPr>
              <w:t>23885000</w:t>
            </w:r>
          </w:p>
        </w:tc>
        <w:tc>
          <w:tcPr>
            <w:tcW w:w="4680" w:type="dxa"/>
            <w:noWrap/>
          </w:tcPr>
          <w:p w:rsidR="000A522F" w:rsidRPr="00B2051C" w:rsidRDefault="000A522F">
            <w:pPr>
              <w:rPr>
                <w:sz w:val="18"/>
                <w:szCs w:val="18"/>
              </w:rPr>
            </w:pPr>
            <w:r w:rsidRPr="00B2051C">
              <w:rPr>
                <w:sz w:val="18"/>
                <w:szCs w:val="18"/>
              </w:rPr>
              <w:t>Professionals covers the inflows of those with Autorisations Provisoire de Travail (APTs) and qualified “travailleurs permanents” in 2003.</w:t>
            </w:r>
          </w:p>
        </w:tc>
      </w:tr>
      <w:tr w:rsidR="00000000" w:rsidRPr="00B2051C">
        <w:trPr>
          <w:trHeight w:val="375"/>
        </w:trPr>
        <w:tc>
          <w:tcPr>
            <w:tcW w:w="867" w:type="dxa"/>
            <w:noWrap/>
          </w:tcPr>
          <w:p w:rsidR="000A522F" w:rsidRPr="00B2051C" w:rsidRDefault="000A522F">
            <w:pPr>
              <w:rPr>
                <w:b/>
                <w:sz w:val="18"/>
                <w:szCs w:val="18"/>
              </w:rPr>
            </w:pPr>
            <w:r w:rsidRPr="00B2051C">
              <w:rPr>
                <w:b/>
                <w:sz w:val="18"/>
                <w:szCs w:val="18"/>
              </w:rPr>
              <w:t>IE</w:t>
            </w:r>
          </w:p>
        </w:tc>
        <w:tc>
          <w:tcPr>
            <w:tcW w:w="1173" w:type="dxa"/>
            <w:noWrap/>
          </w:tcPr>
          <w:p w:rsidR="000A522F" w:rsidRPr="00B2051C" w:rsidRDefault="000A522F">
            <w:pPr>
              <w:jc w:val="right"/>
              <w:rPr>
                <w:sz w:val="18"/>
                <w:szCs w:val="18"/>
              </w:rPr>
            </w:pPr>
            <w:r w:rsidRPr="00B2051C">
              <w:rPr>
                <w:sz w:val="18"/>
                <w:szCs w:val="18"/>
              </w:rPr>
              <w:t>16100</w:t>
            </w:r>
          </w:p>
        </w:tc>
        <w:tc>
          <w:tcPr>
            <w:tcW w:w="1263" w:type="dxa"/>
            <w:noWrap/>
          </w:tcPr>
          <w:p w:rsidR="000A522F" w:rsidRPr="00B2051C" w:rsidRDefault="000A522F">
            <w:pPr>
              <w:jc w:val="right"/>
              <w:rPr>
                <w:sz w:val="18"/>
                <w:szCs w:val="18"/>
              </w:rPr>
            </w:pPr>
            <w:r w:rsidRPr="00B2051C">
              <w:rPr>
                <w:sz w:val="18"/>
                <w:szCs w:val="18"/>
              </w:rPr>
              <w:t>2000</w:t>
            </w:r>
          </w:p>
        </w:tc>
        <w:tc>
          <w:tcPr>
            <w:tcW w:w="1413" w:type="dxa"/>
            <w:noWrap/>
          </w:tcPr>
          <w:p w:rsidR="000A522F" w:rsidRPr="00B2051C" w:rsidRDefault="000A522F">
            <w:pPr>
              <w:jc w:val="right"/>
              <w:rPr>
                <w:sz w:val="18"/>
                <w:szCs w:val="18"/>
              </w:rPr>
            </w:pPr>
            <w:r w:rsidRPr="00B2051C">
              <w:rPr>
                <w:sz w:val="18"/>
                <w:szCs w:val="18"/>
              </w:rPr>
              <w:t>1750000</w:t>
            </w:r>
          </w:p>
        </w:tc>
        <w:tc>
          <w:tcPr>
            <w:tcW w:w="4680" w:type="dxa"/>
            <w:noWrap/>
          </w:tcPr>
          <w:p w:rsidR="000A522F" w:rsidRPr="00B2051C" w:rsidRDefault="000A522F">
            <w:pPr>
              <w:rPr>
                <w:sz w:val="18"/>
                <w:szCs w:val="18"/>
              </w:rPr>
            </w:pPr>
            <w:r w:rsidRPr="00B2051C">
              <w:rPr>
                <w:sz w:val="18"/>
                <w:szCs w:val="18"/>
              </w:rPr>
              <w:t>2003 data. Professionals include WP holders with occupations defined as in ISCO88 and the highly skilled on Working Visas. New member States (EU10) are excluded.</w:t>
            </w:r>
          </w:p>
        </w:tc>
      </w:tr>
      <w:tr w:rsidR="00000000" w:rsidRPr="00B2051C">
        <w:trPr>
          <w:trHeight w:val="300"/>
        </w:trPr>
        <w:tc>
          <w:tcPr>
            <w:tcW w:w="867" w:type="dxa"/>
            <w:noWrap/>
          </w:tcPr>
          <w:p w:rsidR="000A522F" w:rsidRPr="00B2051C" w:rsidRDefault="000A522F">
            <w:pPr>
              <w:rPr>
                <w:b/>
                <w:sz w:val="18"/>
                <w:szCs w:val="18"/>
              </w:rPr>
            </w:pPr>
            <w:r w:rsidRPr="00B2051C">
              <w:rPr>
                <w:b/>
                <w:sz w:val="18"/>
                <w:szCs w:val="18"/>
              </w:rPr>
              <w:t>IT</w:t>
            </w:r>
          </w:p>
        </w:tc>
        <w:tc>
          <w:tcPr>
            <w:tcW w:w="1173" w:type="dxa"/>
            <w:noWrap/>
          </w:tcPr>
          <w:p w:rsidR="000A522F" w:rsidRPr="00B2051C" w:rsidRDefault="000A522F">
            <w:pPr>
              <w:jc w:val="right"/>
              <w:rPr>
                <w:sz w:val="18"/>
                <w:szCs w:val="18"/>
              </w:rPr>
            </w:pPr>
            <w:r w:rsidRPr="00B2051C">
              <w:rPr>
                <w:sz w:val="18"/>
                <w:szCs w:val="18"/>
              </w:rPr>
              <w:t>78800</w:t>
            </w:r>
          </w:p>
        </w:tc>
        <w:tc>
          <w:tcPr>
            <w:tcW w:w="1263" w:type="dxa"/>
            <w:noWrap/>
          </w:tcPr>
          <w:p w:rsidR="000A522F" w:rsidRPr="00B2051C" w:rsidRDefault="000A522F">
            <w:pPr>
              <w:jc w:val="right"/>
              <w:rPr>
                <w:sz w:val="18"/>
                <w:szCs w:val="18"/>
              </w:rPr>
            </w:pPr>
            <w:r w:rsidRPr="00B2051C">
              <w:rPr>
                <w:sz w:val="18"/>
                <w:szCs w:val="18"/>
              </w:rPr>
              <w:t>500</w:t>
            </w:r>
          </w:p>
        </w:tc>
        <w:tc>
          <w:tcPr>
            <w:tcW w:w="1413" w:type="dxa"/>
            <w:noWrap/>
          </w:tcPr>
          <w:p w:rsidR="000A522F" w:rsidRPr="00B2051C" w:rsidRDefault="000A522F">
            <w:pPr>
              <w:jc w:val="right"/>
              <w:rPr>
                <w:sz w:val="18"/>
                <w:szCs w:val="18"/>
              </w:rPr>
            </w:pPr>
            <w:r w:rsidRPr="00B2051C">
              <w:rPr>
                <w:sz w:val="18"/>
                <w:szCs w:val="18"/>
              </w:rPr>
              <w:t>21757000</w:t>
            </w:r>
          </w:p>
        </w:tc>
        <w:tc>
          <w:tcPr>
            <w:tcW w:w="4680" w:type="dxa"/>
            <w:noWrap/>
          </w:tcPr>
          <w:p w:rsidR="000A522F" w:rsidRPr="00B2051C" w:rsidRDefault="000A522F">
            <w:pPr>
              <w:rPr>
                <w:sz w:val="18"/>
                <w:szCs w:val="18"/>
              </w:rPr>
            </w:pPr>
            <w:r w:rsidRPr="00B2051C">
              <w:rPr>
                <w:sz w:val="18"/>
                <w:szCs w:val="18"/>
              </w:rPr>
              <w:t xml:space="preserve">Visas issued to non EU nationals in 2003 for self employment and contract work. Professional figure is reserved quota for highly skilled. </w:t>
            </w:r>
          </w:p>
        </w:tc>
      </w:tr>
      <w:tr w:rsidR="00000000" w:rsidRPr="00B2051C">
        <w:trPr>
          <w:trHeight w:val="300"/>
        </w:trPr>
        <w:tc>
          <w:tcPr>
            <w:tcW w:w="867" w:type="dxa"/>
            <w:noWrap/>
          </w:tcPr>
          <w:p w:rsidR="000A522F" w:rsidRPr="00B2051C" w:rsidRDefault="000A522F">
            <w:pPr>
              <w:rPr>
                <w:b/>
                <w:sz w:val="18"/>
                <w:szCs w:val="18"/>
              </w:rPr>
            </w:pPr>
            <w:r w:rsidRPr="00B2051C">
              <w:rPr>
                <w:b/>
                <w:sz w:val="18"/>
                <w:szCs w:val="18"/>
              </w:rPr>
              <w:t>LV</w:t>
            </w:r>
          </w:p>
        </w:tc>
        <w:tc>
          <w:tcPr>
            <w:tcW w:w="1173" w:type="dxa"/>
            <w:noWrap/>
          </w:tcPr>
          <w:p w:rsidR="000A522F" w:rsidRPr="00B2051C" w:rsidRDefault="000A522F">
            <w:pPr>
              <w:jc w:val="right"/>
              <w:rPr>
                <w:sz w:val="18"/>
                <w:szCs w:val="18"/>
              </w:rPr>
            </w:pPr>
            <w:r w:rsidRPr="00B2051C">
              <w:rPr>
                <w:sz w:val="18"/>
                <w:szCs w:val="18"/>
              </w:rPr>
              <w:t>2800</w:t>
            </w:r>
          </w:p>
        </w:tc>
        <w:tc>
          <w:tcPr>
            <w:tcW w:w="1263" w:type="dxa"/>
            <w:noWrap/>
          </w:tcPr>
          <w:p w:rsidR="000A522F" w:rsidRPr="00B2051C" w:rsidRDefault="000A522F">
            <w:pPr>
              <w:jc w:val="right"/>
              <w:rPr>
                <w:sz w:val="18"/>
                <w:szCs w:val="18"/>
              </w:rPr>
            </w:pPr>
            <w:r w:rsidRPr="00B2051C">
              <w:rPr>
                <w:sz w:val="18"/>
                <w:szCs w:val="18"/>
              </w:rPr>
              <w:t>-</w:t>
            </w:r>
          </w:p>
        </w:tc>
        <w:tc>
          <w:tcPr>
            <w:tcW w:w="1413" w:type="dxa"/>
            <w:noWrap/>
          </w:tcPr>
          <w:p w:rsidR="000A522F" w:rsidRPr="00B2051C" w:rsidRDefault="000A522F">
            <w:pPr>
              <w:jc w:val="right"/>
              <w:rPr>
                <w:sz w:val="18"/>
                <w:szCs w:val="18"/>
              </w:rPr>
            </w:pPr>
            <w:r w:rsidRPr="00B2051C">
              <w:rPr>
                <w:sz w:val="18"/>
                <w:szCs w:val="18"/>
              </w:rPr>
              <w:t>987000</w:t>
            </w:r>
          </w:p>
        </w:tc>
        <w:tc>
          <w:tcPr>
            <w:tcW w:w="4680" w:type="dxa"/>
            <w:noWrap/>
          </w:tcPr>
          <w:p w:rsidR="000A522F" w:rsidRPr="00B2051C" w:rsidRDefault="000A522F">
            <w:pPr>
              <w:rPr>
                <w:sz w:val="18"/>
                <w:szCs w:val="18"/>
              </w:rPr>
            </w:pPr>
            <w:r w:rsidRPr="00B2051C">
              <w:rPr>
                <w:sz w:val="18"/>
                <w:szCs w:val="18"/>
              </w:rPr>
              <w:t>2002</w:t>
            </w:r>
          </w:p>
        </w:tc>
      </w:tr>
      <w:tr w:rsidR="00000000" w:rsidRPr="00B2051C">
        <w:trPr>
          <w:trHeight w:val="300"/>
        </w:trPr>
        <w:tc>
          <w:tcPr>
            <w:tcW w:w="867" w:type="dxa"/>
            <w:noWrap/>
          </w:tcPr>
          <w:p w:rsidR="000A522F" w:rsidRPr="00B2051C" w:rsidRDefault="000A522F">
            <w:pPr>
              <w:rPr>
                <w:b/>
                <w:sz w:val="18"/>
                <w:szCs w:val="18"/>
              </w:rPr>
            </w:pPr>
            <w:r w:rsidRPr="00B2051C">
              <w:rPr>
                <w:b/>
                <w:sz w:val="18"/>
                <w:szCs w:val="18"/>
              </w:rPr>
              <w:t>LT</w:t>
            </w:r>
          </w:p>
        </w:tc>
        <w:tc>
          <w:tcPr>
            <w:tcW w:w="1173" w:type="dxa"/>
            <w:noWrap/>
          </w:tcPr>
          <w:p w:rsidR="000A522F" w:rsidRPr="00B2051C" w:rsidRDefault="000A522F">
            <w:pPr>
              <w:jc w:val="right"/>
              <w:rPr>
                <w:sz w:val="18"/>
                <w:szCs w:val="18"/>
              </w:rPr>
            </w:pPr>
            <w:r w:rsidRPr="00B2051C">
              <w:rPr>
                <w:sz w:val="18"/>
                <w:szCs w:val="18"/>
              </w:rPr>
              <w:t>500</w:t>
            </w:r>
          </w:p>
        </w:tc>
        <w:tc>
          <w:tcPr>
            <w:tcW w:w="1263" w:type="dxa"/>
            <w:noWrap/>
          </w:tcPr>
          <w:p w:rsidR="000A522F" w:rsidRPr="00B2051C" w:rsidRDefault="000A522F">
            <w:pPr>
              <w:jc w:val="right"/>
              <w:rPr>
                <w:sz w:val="18"/>
                <w:szCs w:val="18"/>
              </w:rPr>
            </w:pPr>
            <w:r w:rsidRPr="00B2051C">
              <w:rPr>
                <w:sz w:val="18"/>
                <w:szCs w:val="18"/>
              </w:rPr>
              <w:t>160</w:t>
            </w:r>
          </w:p>
        </w:tc>
        <w:tc>
          <w:tcPr>
            <w:tcW w:w="1413" w:type="dxa"/>
            <w:noWrap/>
          </w:tcPr>
          <w:p w:rsidR="000A522F" w:rsidRPr="00B2051C" w:rsidRDefault="000A522F">
            <w:pPr>
              <w:jc w:val="right"/>
              <w:rPr>
                <w:sz w:val="18"/>
                <w:szCs w:val="18"/>
              </w:rPr>
            </w:pPr>
            <w:r w:rsidRPr="00B2051C">
              <w:rPr>
                <w:sz w:val="18"/>
                <w:szCs w:val="18"/>
              </w:rPr>
              <w:t>1421000</w:t>
            </w:r>
          </w:p>
        </w:tc>
        <w:tc>
          <w:tcPr>
            <w:tcW w:w="4680" w:type="dxa"/>
            <w:noWrap/>
          </w:tcPr>
          <w:p w:rsidR="000A522F" w:rsidRPr="00B2051C" w:rsidRDefault="000A522F">
            <w:pPr>
              <w:rPr>
                <w:sz w:val="18"/>
                <w:szCs w:val="18"/>
              </w:rPr>
            </w:pPr>
            <w:r w:rsidRPr="00B2051C">
              <w:rPr>
                <w:sz w:val="18"/>
                <w:szCs w:val="18"/>
              </w:rPr>
              <w:t>2003</w:t>
            </w:r>
          </w:p>
        </w:tc>
      </w:tr>
      <w:tr w:rsidR="00000000" w:rsidRPr="00B2051C">
        <w:trPr>
          <w:trHeight w:val="300"/>
        </w:trPr>
        <w:tc>
          <w:tcPr>
            <w:tcW w:w="867" w:type="dxa"/>
            <w:noWrap/>
          </w:tcPr>
          <w:p w:rsidR="000A522F" w:rsidRPr="00B2051C" w:rsidRDefault="000A522F">
            <w:pPr>
              <w:rPr>
                <w:b/>
                <w:sz w:val="18"/>
                <w:szCs w:val="18"/>
              </w:rPr>
            </w:pPr>
            <w:r w:rsidRPr="00B2051C">
              <w:rPr>
                <w:b/>
                <w:sz w:val="18"/>
                <w:szCs w:val="18"/>
              </w:rPr>
              <w:t>HU</w:t>
            </w:r>
          </w:p>
        </w:tc>
        <w:tc>
          <w:tcPr>
            <w:tcW w:w="1173" w:type="dxa"/>
            <w:noWrap/>
          </w:tcPr>
          <w:p w:rsidR="000A522F" w:rsidRPr="00B2051C" w:rsidRDefault="000A522F">
            <w:pPr>
              <w:jc w:val="right"/>
              <w:rPr>
                <w:sz w:val="18"/>
                <w:szCs w:val="18"/>
              </w:rPr>
            </w:pPr>
            <w:r w:rsidRPr="00B2051C">
              <w:rPr>
                <w:sz w:val="18"/>
                <w:szCs w:val="18"/>
              </w:rPr>
              <w:t>40300</w:t>
            </w:r>
          </w:p>
        </w:tc>
        <w:tc>
          <w:tcPr>
            <w:tcW w:w="1263" w:type="dxa"/>
            <w:noWrap/>
          </w:tcPr>
          <w:p w:rsidR="000A522F" w:rsidRPr="00B2051C" w:rsidRDefault="000A522F">
            <w:pPr>
              <w:jc w:val="right"/>
              <w:rPr>
                <w:sz w:val="18"/>
                <w:szCs w:val="18"/>
              </w:rPr>
            </w:pPr>
            <w:r w:rsidRPr="00B2051C">
              <w:rPr>
                <w:sz w:val="18"/>
                <w:szCs w:val="18"/>
              </w:rPr>
              <w:t>3800</w:t>
            </w:r>
          </w:p>
        </w:tc>
        <w:tc>
          <w:tcPr>
            <w:tcW w:w="1413" w:type="dxa"/>
            <w:noWrap/>
          </w:tcPr>
          <w:p w:rsidR="000A522F" w:rsidRPr="00B2051C" w:rsidRDefault="000A522F">
            <w:pPr>
              <w:jc w:val="right"/>
              <w:rPr>
                <w:sz w:val="18"/>
                <w:szCs w:val="18"/>
              </w:rPr>
            </w:pPr>
            <w:r w:rsidRPr="00B2051C">
              <w:rPr>
                <w:sz w:val="18"/>
                <w:szCs w:val="18"/>
              </w:rPr>
              <w:t>3868000</w:t>
            </w:r>
          </w:p>
        </w:tc>
        <w:tc>
          <w:tcPr>
            <w:tcW w:w="4680" w:type="dxa"/>
            <w:noWrap/>
          </w:tcPr>
          <w:p w:rsidR="000A522F" w:rsidRPr="00B2051C" w:rsidRDefault="000A522F">
            <w:pPr>
              <w:rPr>
                <w:sz w:val="18"/>
                <w:szCs w:val="18"/>
              </w:rPr>
            </w:pPr>
            <w:r w:rsidRPr="00B2051C">
              <w:rPr>
                <w:sz w:val="18"/>
                <w:szCs w:val="18"/>
              </w:rPr>
              <w:t>No. of non-EU workers holding valid WPs on 31/12/03. Professionals have "college" or "university " education.</w:t>
            </w:r>
          </w:p>
        </w:tc>
      </w:tr>
      <w:tr w:rsidR="00000000" w:rsidRPr="00B2051C">
        <w:trPr>
          <w:trHeight w:val="300"/>
        </w:trPr>
        <w:tc>
          <w:tcPr>
            <w:tcW w:w="867" w:type="dxa"/>
            <w:noWrap/>
          </w:tcPr>
          <w:p w:rsidR="000A522F" w:rsidRPr="00B2051C" w:rsidRDefault="000A522F">
            <w:pPr>
              <w:rPr>
                <w:b/>
                <w:sz w:val="18"/>
                <w:szCs w:val="18"/>
              </w:rPr>
            </w:pPr>
            <w:r w:rsidRPr="00B2051C">
              <w:rPr>
                <w:b/>
                <w:sz w:val="18"/>
                <w:szCs w:val="18"/>
              </w:rPr>
              <w:t>NL</w:t>
            </w:r>
          </w:p>
        </w:tc>
        <w:tc>
          <w:tcPr>
            <w:tcW w:w="1173" w:type="dxa"/>
            <w:noWrap/>
          </w:tcPr>
          <w:p w:rsidR="000A522F" w:rsidRPr="00B2051C" w:rsidRDefault="000A522F">
            <w:pPr>
              <w:jc w:val="right"/>
              <w:rPr>
                <w:sz w:val="18"/>
                <w:szCs w:val="18"/>
              </w:rPr>
            </w:pPr>
            <w:r w:rsidRPr="00B2051C">
              <w:rPr>
                <w:sz w:val="18"/>
                <w:szCs w:val="18"/>
              </w:rPr>
              <w:t>38000</w:t>
            </w:r>
          </w:p>
        </w:tc>
        <w:tc>
          <w:tcPr>
            <w:tcW w:w="1263" w:type="dxa"/>
            <w:noWrap/>
          </w:tcPr>
          <w:p w:rsidR="000A522F" w:rsidRPr="00B2051C" w:rsidRDefault="000A522F">
            <w:pPr>
              <w:jc w:val="right"/>
              <w:rPr>
                <w:sz w:val="18"/>
                <w:szCs w:val="18"/>
              </w:rPr>
            </w:pPr>
            <w:r w:rsidRPr="00B2051C">
              <w:rPr>
                <w:sz w:val="18"/>
                <w:szCs w:val="18"/>
              </w:rPr>
              <w:t>10900</w:t>
            </w:r>
          </w:p>
        </w:tc>
        <w:tc>
          <w:tcPr>
            <w:tcW w:w="1413" w:type="dxa"/>
            <w:noWrap/>
          </w:tcPr>
          <w:p w:rsidR="000A522F" w:rsidRPr="00B2051C" w:rsidRDefault="000A522F">
            <w:pPr>
              <w:jc w:val="right"/>
              <w:rPr>
                <w:sz w:val="18"/>
                <w:szCs w:val="18"/>
              </w:rPr>
            </w:pPr>
            <w:r w:rsidRPr="00B2051C">
              <w:rPr>
                <w:sz w:val="18"/>
                <w:szCs w:val="18"/>
              </w:rPr>
              <w:t>8176000</w:t>
            </w:r>
          </w:p>
        </w:tc>
        <w:tc>
          <w:tcPr>
            <w:tcW w:w="4680" w:type="dxa"/>
            <w:noWrap/>
          </w:tcPr>
          <w:p w:rsidR="000A522F" w:rsidRPr="00B2051C" w:rsidRDefault="000A522F">
            <w:pPr>
              <w:rPr>
                <w:sz w:val="18"/>
                <w:szCs w:val="18"/>
              </w:rPr>
            </w:pPr>
            <w:r w:rsidRPr="00B2051C">
              <w:rPr>
                <w:sz w:val="18"/>
                <w:szCs w:val="18"/>
              </w:rPr>
              <w:t xml:space="preserve">2003 </w:t>
            </w:r>
          </w:p>
        </w:tc>
      </w:tr>
      <w:tr w:rsidR="00000000" w:rsidRPr="00B2051C">
        <w:trPr>
          <w:trHeight w:val="391"/>
        </w:trPr>
        <w:tc>
          <w:tcPr>
            <w:tcW w:w="867" w:type="dxa"/>
            <w:noWrap/>
          </w:tcPr>
          <w:p w:rsidR="000A522F" w:rsidRPr="00B2051C" w:rsidRDefault="000A522F">
            <w:pPr>
              <w:rPr>
                <w:b/>
                <w:sz w:val="18"/>
                <w:szCs w:val="18"/>
              </w:rPr>
            </w:pPr>
            <w:r w:rsidRPr="00B2051C">
              <w:rPr>
                <w:b/>
                <w:sz w:val="18"/>
                <w:szCs w:val="18"/>
              </w:rPr>
              <w:t>PL</w:t>
            </w:r>
          </w:p>
        </w:tc>
        <w:tc>
          <w:tcPr>
            <w:tcW w:w="1173" w:type="dxa"/>
            <w:noWrap/>
          </w:tcPr>
          <w:p w:rsidR="000A522F" w:rsidRPr="00B2051C" w:rsidRDefault="000A522F">
            <w:pPr>
              <w:jc w:val="right"/>
              <w:rPr>
                <w:sz w:val="18"/>
                <w:szCs w:val="18"/>
              </w:rPr>
            </w:pPr>
            <w:r w:rsidRPr="00B2051C">
              <w:rPr>
                <w:sz w:val="18"/>
                <w:szCs w:val="18"/>
              </w:rPr>
              <w:t>5600</w:t>
            </w:r>
          </w:p>
        </w:tc>
        <w:tc>
          <w:tcPr>
            <w:tcW w:w="1263" w:type="dxa"/>
            <w:noWrap/>
          </w:tcPr>
          <w:p w:rsidR="000A522F" w:rsidRPr="00B2051C" w:rsidRDefault="000A522F">
            <w:pPr>
              <w:jc w:val="right"/>
              <w:rPr>
                <w:sz w:val="18"/>
                <w:szCs w:val="18"/>
              </w:rPr>
            </w:pPr>
            <w:r w:rsidRPr="00B2051C">
              <w:rPr>
                <w:sz w:val="18"/>
                <w:szCs w:val="18"/>
              </w:rPr>
              <w:t>1700</w:t>
            </w:r>
          </w:p>
        </w:tc>
        <w:tc>
          <w:tcPr>
            <w:tcW w:w="1413" w:type="dxa"/>
            <w:noWrap/>
          </w:tcPr>
          <w:p w:rsidR="000A522F" w:rsidRPr="00B2051C" w:rsidRDefault="000A522F">
            <w:pPr>
              <w:jc w:val="right"/>
              <w:rPr>
                <w:sz w:val="18"/>
                <w:szCs w:val="18"/>
              </w:rPr>
            </w:pPr>
            <w:r w:rsidRPr="00B2051C">
              <w:rPr>
                <w:sz w:val="18"/>
                <w:szCs w:val="18"/>
              </w:rPr>
              <w:t>13820000</w:t>
            </w:r>
          </w:p>
        </w:tc>
        <w:tc>
          <w:tcPr>
            <w:tcW w:w="4680" w:type="dxa"/>
            <w:noWrap/>
          </w:tcPr>
          <w:p w:rsidR="000A522F" w:rsidRPr="00B2051C" w:rsidRDefault="000A522F">
            <w:pPr>
              <w:rPr>
                <w:sz w:val="18"/>
                <w:szCs w:val="18"/>
              </w:rPr>
            </w:pPr>
            <w:r w:rsidRPr="00B2051C">
              <w:rPr>
                <w:sz w:val="18"/>
                <w:szCs w:val="18"/>
              </w:rPr>
              <w:t>Estimated new permits (i.e. excl renewals) for non-EU persons in 2002.Professionals are those classed as "experts and consultants"</w:t>
            </w:r>
          </w:p>
        </w:tc>
      </w:tr>
      <w:tr w:rsidR="00000000" w:rsidRPr="00B2051C">
        <w:trPr>
          <w:trHeight w:val="300"/>
        </w:trPr>
        <w:tc>
          <w:tcPr>
            <w:tcW w:w="867" w:type="dxa"/>
            <w:noWrap/>
          </w:tcPr>
          <w:p w:rsidR="000A522F" w:rsidRPr="00B2051C" w:rsidRDefault="000A522F">
            <w:pPr>
              <w:rPr>
                <w:b/>
                <w:sz w:val="18"/>
                <w:szCs w:val="18"/>
              </w:rPr>
            </w:pPr>
            <w:r w:rsidRPr="00B2051C">
              <w:rPr>
                <w:b/>
                <w:sz w:val="18"/>
                <w:szCs w:val="18"/>
              </w:rPr>
              <w:t>SK</w:t>
            </w:r>
          </w:p>
        </w:tc>
        <w:tc>
          <w:tcPr>
            <w:tcW w:w="1173" w:type="dxa"/>
            <w:noWrap/>
          </w:tcPr>
          <w:p w:rsidR="000A522F" w:rsidRPr="00B2051C" w:rsidRDefault="000A522F">
            <w:pPr>
              <w:jc w:val="right"/>
              <w:rPr>
                <w:sz w:val="18"/>
                <w:szCs w:val="18"/>
              </w:rPr>
            </w:pPr>
            <w:r w:rsidRPr="00B2051C">
              <w:rPr>
                <w:sz w:val="18"/>
                <w:szCs w:val="18"/>
              </w:rPr>
              <w:t>1000</w:t>
            </w:r>
          </w:p>
        </w:tc>
        <w:tc>
          <w:tcPr>
            <w:tcW w:w="1263" w:type="dxa"/>
            <w:noWrap/>
          </w:tcPr>
          <w:p w:rsidR="000A522F" w:rsidRPr="00B2051C" w:rsidRDefault="000A522F">
            <w:pPr>
              <w:jc w:val="right"/>
              <w:rPr>
                <w:sz w:val="18"/>
                <w:szCs w:val="18"/>
              </w:rPr>
            </w:pPr>
            <w:r w:rsidRPr="00B2051C">
              <w:rPr>
                <w:sz w:val="18"/>
                <w:szCs w:val="18"/>
              </w:rPr>
              <w:t>-</w:t>
            </w:r>
          </w:p>
        </w:tc>
        <w:tc>
          <w:tcPr>
            <w:tcW w:w="1413" w:type="dxa"/>
            <w:noWrap/>
          </w:tcPr>
          <w:p w:rsidR="000A522F" w:rsidRPr="00B2051C" w:rsidRDefault="000A522F">
            <w:pPr>
              <w:jc w:val="right"/>
              <w:rPr>
                <w:sz w:val="18"/>
                <w:szCs w:val="18"/>
              </w:rPr>
            </w:pPr>
            <w:r w:rsidRPr="00B2051C">
              <w:rPr>
                <w:sz w:val="18"/>
                <w:szCs w:val="18"/>
              </w:rPr>
              <w:t>2111000</w:t>
            </w:r>
          </w:p>
        </w:tc>
        <w:tc>
          <w:tcPr>
            <w:tcW w:w="4680" w:type="dxa"/>
            <w:noWrap/>
          </w:tcPr>
          <w:p w:rsidR="000A522F" w:rsidRPr="00B2051C" w:rsidRDefault="000A522F">
            <w:pPr>
              <w:rPr>
                <w:sz w:val="18"/>
                <w:szCs w:val="18"/>
              </w:rPr>
            </w:pPr>
            <w:r w:rsidRPr="00B2051C">
              <w:rPr>
                <w:sz w:val="18"/>
                <w:szCs w:val="18"/>
              </w:rPr>
              <w:t>Total non-EU inflow for 2002</w:t>
            </w:r>
          </w:p>
        </w:tc>
      </w:tr>
      <w:tr w:rsidR="00000000" w:rsidRPr="00B2051C">
        <w:trPr>
          <w:trHeight w:val="300"/>
        </w:trPr>
        <w:tc>
          <w:tcPr>
            <w:tcW w:w="867" w:type="dxa"/>
            <w:noWrap/>
          </w:tcPr>
          <w:p w:rsidR="000A522F" w:rsidRPr="00B2051C" w:rsidRDefault="000A522F">
            <w:pPr>
              <w:rPr>
                <w:b/>
                <w:sz w:val="18"/>
                <w:szCs w:val="18"/>
              </w:rPr>
            </w:pPr>
            <w:r w:rsidRPr="00B2051C">
              <w:rPr>
                <w:b/>
                <w:sz w:val="18"/>
                <w:szCs w:val="18"/>
              </w:rPr>
              <w:t>FI</w:t>
            </w:r>
          </w:p>
        </w:tc>
        <w:tc>
          <w:tcPr>
            <w:tcW w:w="1173" w:type="dxa"/>
            <w:noWrap/>
          </w:tcPr>
          <w:p w:rsidR="000A522F" w:rsidRPr="00B2051C" w:rsidRDefault="000A522F">
            <w:pPr>
              <w:jc w:val="right"/>
              <w:rPr>
                <w:sz w:val="18"/>
                <w:szCs w:val="18"/>
              </w:rPr>
            </w:pPr>
            <w:r w:rsidRPr="00B2051C">
              <w:rPr>
                <w:sz w:val="18"/>
                <w:szCs w:val="18"/>
              </w:rPr>
              <w:t>13100</w:t>
            </w:r>
          </w:p>
        </w:tc>
        <w:tc>
          <w:tcPr>
            <w:tcW w:w="1263" w:type="dxa"/>
            <w:noWrap/>
          </w:tcPr>
          <w:p w:rsidR="000A522F" w:rsidRPr="00B2051C" w:rsidRDefault="000A522F">
            <w:pPr>
              <w:jc w:val="right"/>
              <w:rPr>
                <w:sz w:val="18"/>
                <w:szCs w:val="18"/>
              </w:rPr>
            </w:pPr>
            <w:r w:rsidRPr="00B2051C">
              <w:rPr>
                <w:sz w:val="18"/>
                <w:szCs w:val="18"/>
              </w:rPr>
              <w:t>1700</w:t>
            </w:r>
          </w:p>
        </w:tc>
        <w:tc>
          <w:tcPr>
            <w:tcW w:w="1413" w:type="dxa"/>
            <w:noWrap/>
          </w:tcPr>
          <w:p w:rsidR="000A522F" w:rsidRPr="00B2051C" w:rsidRDefault="000A522F">
            <w:pPr>
              <w:jc w:val="right"/>
              <w:rPr>
                <w:sz w:val="18"/>
                <w:szCs w:val="18"/>
              </w:rPr>
            </w:pPr>
            <w:r w:rsidRPr="00B2051C">
              <w:rPr>
                <w:sz w:val="18"/>
                <w:szCs w:val="18"/>
              </w:rPr>
              <w:t>2406000</w:t>
            </w:r>
          </w:p>
        </w:tc>
        <w:tc>
          <w:tcPr>
            <w:tcW w:w="4680" w:type="dxa"/>
            <w:noWrap/>
          </w:tcPr>
          <w:p w:rsidR="000A522F" w:rsidRPr="00B2051C" w:rsidRDefault="000A522F">
            <w:pPr>
              <w:rPr>
                <w:sz w:val="18"/>
                <w:szCs w:val="18"/>
              </w:rPr>
            </w:pPr>
            <w:r w:rsidRPr="00B2051C">
              <w:rPr>
                <w:sz w:val="18"/>
                <w:szCs w:val="18"/>
              </w:rPr>
              <w:t>2003. Covers non-EU WP holders.</w:t>
            </w:r>
          </w:p>
        </w:tc>
      </w:tr>
      <w:tr w:rsidR="00000000" w:rsidRPr="00B2051C">
        <w:trPr>
          <w:trHeight w:val="300"/>
        </w:trPr>
        <w:tc>
          <w:tcPr>
            <w:tcW w:w="867" w:type="dxa"/>
            <w:noWrap/>
          </w:tcPr>
          <w:p w:rsidR="000A522F" w:rsidRPr="00B2051C" w:rsidRDefault="000A522F">
            <w:pPr>
              <w:rPr>
                <w:b/>
                <w:sz w:val="18"/>
                <w:szCs w:val="18"/>
              </w:rPr>
            </w:pPr>
            <w:r w:rsidRPr="00B2051C">
              <w:rPr>
                <w:b/>
                <w:sz w:val="18"/>
                <w:szCs w:val="18"/>
              </w:rPr>
              <w:t>SE</w:t>
            </w:r>
          </w:p>
        </w:tc>
        <w:tc>
          <w:tcPr>
            <w:tcW w:w="1173" w:type="dxa"/>
            <w:noWrap/>
          </w:tcPr>
          <w:p w:rsidR="000A522F" w:rsidRPr="00B2051C" w:rsidRDefault="000A522F">
            <w:pPr>
              <w:jc w:val="right"/>
              <w:rPr>
                <w:sz w:val="18"/>
                <w:szCs w:val="18"/>
              </w:rPr>
            </w:pPr>
            <w:r w:rsidRPr="00B2051C">
              <w:rPr>
                <w:sz w:val="18"/>
                <w:szCs w:val="18"/>
              </w:rPr>
              <w:t>6700</w:t>
            </w:r>
          </w:p>
        </w:tc>
        <w:tc>
          <w:tcPr>
            <w:tcW w:w="1263" w:type="dxa"/>
            <w:noWrap/>
          </w:tcPr>
          <w:p w:rsidR="000A522F" w:rsidRPr="00B2051C" w:rsidRDefault="000A522F">
            <w:pPr>
              <w:jc w:val="right"/>
              <w:rPr>
                <w:sz w:val="18"/>
                <w:szCs w:val="18"/>
              </w:rPr>
            </w:pPr>
            <w:r w:rsidRPr="00B2051C">
              <w:rPr>
                <w:sz w:val="18"/>
                <w:szCs w:val="18"/>
              </w:rPr>
              <w:t>4300</w:t>
            </w:r>
          </w:p>
        </w:tc>
        <w:tc>
          <w:tcPr>
            <w:tcW w:w="1413" w:type="dxa"/>
            <w:noWrap/>
          </w:tcPr>
          <w:p w:rsidR="000A522F" w:rsidRPr="00B2051C" w:rsidRDefault="000A522F">
            <w:pPr>
              <w:jc w:val="right"/>
              <w:rPr>
                <w:sz w:val="18"/>
                <w:szCs w:val="18"/>
              </w:rPr>
            </w:pPr>
            <w:r w:rsidRPr="00B2051C">
              <w:rPr>
                <w:sz w:val="18"/>
                <w:szCs w:val="18"/>
              </w:rPr>
              <w:t>4348000</w:t>
            </w:r>
          </w:p>
        </w:tc>
        <w:tc>
          <w:tcPr>
            <w:tcW w:w="4680" w:type="dxa"/>
            <w:noWrap/>
          </w:tcPr>
          <w:p w:rsidR="000A522F" w:rsidRPr="00B2051C" w:rsidRDefault="000A522F">
            <w:pPr>
              <w:rPr>
                <w:sz w:val="18"/>
                <w:szCs w:val="18"/>
              </w:rPr>
            </w:pPr>
            <w:r w:rsidRPr="00B2051C">
              <w:rPr>
                <w:sz w:val="18"/>
                <w:szCs w:val="18"/>
              </w:rPr>
              <w:t>2002. Covers non-EU WP holders.</w:t>
            </w:r>
          </w:p>
        </w:tc>
      </w:tr>
      <w:tr w:rsidR="00000000" w:rsidRPr="00B2051C">
        <w:trPr>
          <w:trHeight w:val="300"/>
        </w:trPr>
        <w:tc>
          <w:tcPr>
            <w:tcW w:w="867" w:type="dxa"/>
            <w:noWrap/>
          </w:tcPr>
          <w:p w:rsidR="000A522F" w:rsidRPr="00B2051C" w:rsidRDefault="000A522F">
            <w:pPr>
              <w:rPr>
                <w:b/>
                <w:sz w:val="18"/>
                <w:szCs w:val="18"/>
              </w:rPr>
            </w:pPr>
            <w:r w:rsidRPr="00B2051C">
              <w:rPr>
                <w:b/>
                <w:sz w:val="18"/>
                <w:szCs w:val="18"/>
              </w:rPr>
              <w:t>UK</w:t>
            </w:r>
          </w:p>
        </w:tc>
        <w:tc>
          <w:tcPr>
            <w:tcW w:w="1173" w:type="dxa"/>
            <w:noWrap/>
          </w:tcPr>
          <w:p w:rsidR="000A522F" w:rsidRPr="00B2051C" w:rsidRDefault="000A522F">
            <w:pPr>
              <w:jc w:val="right"/>
              <w:rPr>
                <w:sz w:val="18"/>
                <w:szCs w:val="18"/>
              </w:rPr>
            </w:pPr>
            <w:r w:rsidRPr="00B2051C">
              <w:rPr>
                <w:sz w:val="18"/>
                <w:szCs w:val="18"/>
              </w:rPr>
              <w:t>89200</w:t>
            </w:r>
          </w:p>
        </w:tc>
        <w:tc>
          <w:tcPr>
            <w:tcW w:w="1263" w:type="dxa"/>
            <w:noWrap/>
          </w:tcPr>
          <w:p w:rsidR="000A522F" w:rsidRPr="00B2051C" w:rsidRDefault="000A522F">
            <w:pPr>
              <w:jc w:val="right"/>
              <w:rPr>
                <w:sz w:val="18"/>
                <w:szCs w:val="18"/>
              </w:rPr>
            </w:pPr>
            <w:r w:rsidRPr="00B2051C">
              <w:rPr>
                <w:sz w:val="18"/>
                <w:szCs w:val="18"/>
              </w:rPr>
              <w:t>15800</w:t>
            </w:r>
          </w:p>
        </w:tc>
        <w:tc>
          <w:tcPr>
            <w:tcW w:w="1413" w:type="dxa"/>
            <w:noWrap/>
          </w:tcPr>
          <w:p w:rsidR="000A522F" w:rsidRPr="00B2051C" w:rsidRDefault="000A522F">
            <w:pPr>
              <w:jc w:val="right"/>
              <w:rPr>
                <w:sz w:val="18"/>
                <w:szCs w:val="18"/>
              </w:rPr>
            </w:pPr>
            <w:r w:rsidRPr="00B2051C">
              <w:rPr>
                <w:sz w:val="18"/>
                <w:szCs w:val="18"/>
              </w:rPr>
              <w:t>28338000</w:t>
            </w:r>
          </w:p>
        </w:tc>
        <w:tc>
          <w:tcPr>
            <w:tcW w:w="4680" w:type="dxa"/>
            <w:noWrap/>
          </w:tcPr>
          <w:p w:rsidR="000A522F" w:rsidRPr="00B2051C" w:rsidRDefault="000A522F">
            <w:pPr>
              <w:rPr>
                <w:sz w:val="18"/>
                <w:szCs w:val="18"/>
              </w:rPr>
            </w:pPr>
            <w:r w:rsidRPr="00B2051C">
              <w:rPr>
                <w:sz w:val="18"/>
                <w:szCs w:val="18"/>
              </w:rPr>
              <w:t xml:space="preserve">2003 data. Persons who entered the UK from abroad on WPs in 2003. Excludes renewals and "first permissions" for those already resident in the UK. Professions defined as in ISCO 88. Includes small number of EU10 citizens. </w:t>
            </w:r>
          </w:p>
        </w:tc>
      </w:tr>
      <w:tr w:rsidR="00000000" w:rsidRPr="00B2051C">
        <w:trPr>
          <w:trHeight w:val="300"/>
        </w:trPr>
        <w:tc>
          <w:tcPr>
            <w:tcW w:w="867" w:type="dxa"/>
            <w:noWrap/>
          </w:tcPr>
          <w:p w:rsidR="000A522F" w:rsidRPr="00B2051C" w:rsidRDefault="000A522F">
            <w:pPr>
              <w:rPr>
                <w:b/>
                <w:sz w:val="18"/>
                <w:szCs w:val="18"/>
              </w:rPr>
            </w:pPr>
            <w:r w:rsidRPr="00B2051C">
              <w:rPr>
                <w:b/>
                <w:sz w:val="18"/>
                <w:szCs w:val="18"/>
              </w:rPr>
              <w:t>Total</w:t>
            </w:r>
          </w:p>
        </w:tc>
        <w:tc>
          <w:tcPr>
            <w:tcW w:w="1173" w:type="dxa"/>
            <w:noWrap/>
          </w:tcPr>
          <w:p w:rsidR="000A522F" w:rsidRPr="00B2051C" w:rsidRDefault="000A522F">
            <w:pPr>
              <w:jc w:val="right"/>
              <w:rPr>
                <w:sz w:val="18"/>
                <w:szCs w:val="18"/>
              </w:rPr>
            </w:pPr>
            <w:r w:rsidRPr="00B2051C">
              <w:rPr>
                <w:sz w:val="18"/>
                <w:szCs w:val="18"/>
              </w:rPr>
              <w:t>(554900)</w:t>
            </w:r>
          </w:p>
        </w:tc>
        <w:tc>
          <w:tcPr>
            <w:tcW w:w="1263" w:type="dxa"/>
            <w:noWrap/>
          </w:tcPr>
          <w:p w:rsidR="000A522F" w:rsidRPr="00B2051C" w:rsidRDefault="000A522F">
            <w:pPr>
              <w:jc w:val="right"/>
              <w:rPr>
                <w:sz w:val="18"/>
                <w:szCs w:val="18"/>
              </w:rPr>
            </w:pPr>
            <w:r w:rsidRPr="00B2051C">
              <w:rPr>
                <w:sz w:val="18"/>
                <w:szCs w:val="18"/>
              </w:rPr>
              <w:t>(57060)</w:t>
            </w:r>
          </w:p>
        </w:tc>
        <w:tc>
          <w:tcPr>
            <w:tcW w:w="1413" w:type="dxa"/>
            <w:noWrap/>
          </w:tcPr>
          <w:p w:rsidR="000A522F" w:rsidRPr="00B2051C" w:rsidRDefault="000A522F">
            <w:pPr>
              <w:jc w:val="right"/>
              <w:rPr>
                <w:sz w:val="18"/>
                <w:szCs w:val="18"/>
              </w:rPr>
            </w:pPr>
            <w:r w:rsidRPr="00B2051C">
              <w:rPr>
                <w:sz w:val="18"/>
                <w:szCs w:val="18"/>
              </w:rPr>
              <w:t>168124000</w:t>
            </w:r>
          </w:p>
        </w:tc>
        <w:tc>
          <w:tcPr>
            <w:tcW w:w="4680" w:type="dxa"/>
            <w:noWrap/>
          </w:tcPr>
          <w:p w:rsidR="000A522F" w:rsidRPr="00B2051C" w:rsidRDefault="000A522F">
            <w:pPr>
              <w:rPr>
                <w:sz w:val="16"/>
                <w:szCs w:val="16"/>
              </w:rPr>
            </w:pPr>
          </w:p>
        </w:tc>
      </w:tr>
      <w:tr w:rsidR="00000000" w:rsidRPr="00B2051C">
        <w:trPr>
          <w:trHeight w:val="300"/>
        </w:trPr>
        <w:tc>
          <w:tcPr>
            <w:tcW w:w="867" w:type="dxa"/>
            <w:noWrap/>
          </w:tcPr>
          <w:p w:rsidR="000A522F" w:rsidRPr="00B2051C" w:rsidRDefault="000A522F">
            <w:pPr>
              <w:rPr>
                <w:b/>
                <w:sz w:val="18"/>
                <w:szCs w:val="18"/>
              </w:rPr>
            </w:pPr>
            <w:r w:rsidRPr="00B2051C">
              <w:rPr>
                <w:b/>
                <w:sz w:val="18"/>
                <w:szCs w:val="18"/>
              </w:rPr>
              <w:t>EU25</w:t>
            </w:r>
          </w:p>
        </w:tc>
        <w:tc>
          <w:tcPr>
            <w:tcW w:w="1173" w:type="dxa"/>
            <w:noWrap/>
          </w:tcPr>
          <w:p w:rsidR="000A522F" w:rsidRPr="00B2051C" w:rsidRDefault="000A522F">
            <w:pPr>
              <w:jc w:val="right"/>
              <w:rPr>
                <w:sz w:val="18"/>
                <w:szCs w:val="18"/>
              </w:rPr>
            </w:pPr>
            <w:r w:rsidRPr="00B2051C">
              <w:rPr>
                <w:sz w:val="18"/>
                <w:szCs w:val="18"/>
              </w:rPr>
              <w:t>633200 (est)</w:t>
            </w:r>
          </w:p>
        </w:tc>
        <w:tc>
          <w:tcPr>
            <w:tcW w:w="1263" w:type="dxa"/>
            <w:noWrap/>
          </w:tcPr>
          <w:p w:rsidR="000A522F" w:rsidRPr="00B2051C" w:rsidRDefault="000A522F">
            <w:pPr>
              <w:jc w:val="right"/>
              <w:rPr>
                <w:sz w:val="18"/>
                <w:szCs w:val="18"/>
              </w:rPr>
            </w:pPr>
            <w:r w:rsidRPr="00B2051C">
              <w:rPr>
                <w:sz w:val="18"/>
                <w:szCs w:val="18"/>
              </w:rPr>
              <w:t>74300 (est)</w:t>
            </w:r>
          </w:p>
        </w:tc>
        <w:tc>
          <w:tcPr>
            <w:tcW w:w="1413" w:type="dxa"/>
            <w:noWrap/>
          </w:tcPr>
          <w:p w:rsidR="000A522F" w:rsidRPr="00B2051C" w:rsidRDefault="000A522F">
            <w:pPr>
              <w:jc w:val="right"/>
              <w:rPr>
                <w:sz w:val="18"/>
                <w:szCs w:val="18"/>
              </w:rPr>
            </w:pPr>
            <w:r w:rsidRPr="00B2051C">
              <w:rPr>
                <w:sz w:val="18"/>
                <w:szCs w:val="18"/>
              </w:rPr>
              <w:t>191841000</w:t>
            </w:r>
          </w:p>
        </w:tc>
        <w:tc>
          <w:tcPr>
            <w:tcW w:w="4680" w:type="dxa"/>
            <w:noWrap/>
          </w:tcPr>
          <w:p w:rsidR="000A522F" w:rsidRPr="00B2051C" w:rsidRDefault="000A522F">
            <w:pPr>
              <w:rPr>
                <w:sz w:val="16"/>
                <w:szCs w:val="16"/>
              </w:rPr>
            </w:pPr>
          </w:p>
        </w:tc>
      </w:tr>
    </w:tbl>
    <w:p w:rsidR="000A522F" w:rsidRPr="00B2051C" w:rsidRDefault="000A522F">
      <w:pPr>
        <w:rPr>
          <w:bCs/>
          <w:sz w:val="18"/>
          <w:szCs w:val="18"/>
        </w:rPr>
      </w:pPr>
      <w:r w:rsidRPr="00B2051C">
        <w:rPr>
          <w:bCs/>
          <w:sz w:val="18"/>
          <w:szCs w:val="18"/>
        </w:rPr>
        <w:t xml:space="preserve">Source: Study on assessing the question of applying numerical ceilings to the temporary movement of contract service suppliers (Mode 4) in the context of the GATS negotiations on trade in services. Prepared by Prof. J.J. Sexton for the European Commission (DG TRADE), April 2005 </w:t>
      </w:r>
    </w:p>
    <w:p w:rsidR="000A522F" w:rsidRPr="00B2051C" w:rsidRDefault="000A522F">
      <w:r w:rsidRPr="00B2051C">
        <w:t>The category “professionals with work permits” can in most cases be equated with “highly skilled”. Thus, the table above gives an indication of the minimum number of people (estimation of 74,300 for EU25) who could be covered by a scheme for the admission of highly skilled workers.</w:t>
      </w:r>
    </w:p>
    <w:p w:rsidR="000A522F" w:rsidRPr="00B2051C" w:rsidRDefault="000A522F">
      <w:pPr>
        <w:rPr>
          <w:rFonts w:ascii="Arial" w:hAnsi="Arial" w:cs="Arial"/>
          <w:b/>
          <w:sz w:val="20"/>
          <w:u w:val="single"/>
        </w:rPr>
        <w:sectPr w:rsidR="00000000" w:rsidRPr="00B2051C">
          <w:pgSz w:w="11907" w:h="16839"/>
          <w:pgMar w:top="1134" w:right="1417" w:bottom="1134" w:left="1417" w:header="720" w:footer="720" w:gutter="0"/>
          <w:cols w:space="720"/>
          <w:docGrid w:linePitch="326"/>
        </w:sectPr>
      </w:pPr>
    </w:p>
    <w:p w:rsidR="000A522F" w:rsidRPr="00B2051C" w:rsidRDefault="000A522F">
      <w:pPr>
        <w:rPr>
          <w:b/>
          <w:bCs/>
          <w:u w:val="single"/>
        </w:rPr>
      </w:pPr>
      <w:r w:rsidRPr="00B2051C">
        <w:rPr>
          <w:b/>
          <w:u w:val="single"/>
        </w:rPr>
        <w:t xml:space="preserve">Table 5: Examples of </w:t>
      </w:r>
      <w:r w:rsidRPr="00B2051C">
        <w:rPr>
          <w:b/>
          <w:bCs/>
          <w:u w:val="single"/>
        </w:rPr>
        <w:t>regularisations in EU Member States (data from regularisation campaigns)</w:t>
      </w:r>
    </w:p>
    <w:p w:rsidR="000A522F" w:rsidRPr="00B2051C" w:rsidRDefault="000A522F">
      <w:pPr>
        <w:rPr>
          <w:b/>
          <w:bCs/>
          <w:u w:val="single"/>
        </w:rPr>
      </w:pPr>
      <w:r w:rsidRPr="00B2051C">
        <w:rPr>
          <w:b/>
          <w:bCs/>
          <w:u w:val="single"/>
        </w:rPr>
        <w:t>Greece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376"/>
        <w:gridCol w:w="2160"/>
      </w:tblGrid>
      <w:tr w:rsidR="00000000" w:rsidRPr="00B2051C">
        <w:tblPrEx>
          <w:tblCellMar>
            <w:top w:w="0" w:type="dxa"/>
            <w:bottom w:w="0" w:type="dxa"/>
          </w:tblCellMar>
        </w:tblPrEx>
        <w:trPr>
          <w:jc w:val="center"/>
        </w:trPr>
        <w:tc>
          <w:tcPr>
            <w:tcW w:w="2952" w:type="dxa"/>
            <w:shd w:val="pct10" w:color="auto" w:fill="auto"/>
          </w:tcPr>
          <w:p w:rsidR="000A522F" w:rsidRPr="00B2051C" w:rsidRDefault="000A522F">
            <w:pPr>
              <w:spacing w:before="60" w:after="60"/>
              <w:jc w:val="center"/>
              <w:rPr>
                <w:b/>
                <w:sz w:val="22"/>
                <w:szCs w:val="22"/>
              </w:rPr>
            </w:pPr>
            <w:r w:rsidRPr="00B2051C">
              <w:rPr>
                <w:b/>
                <w:sz w:val="22"/>
                <w:szCs w:val="22"/>
              </w:rPr>
              <w:t>Year</w:t>
            </w:r>
          </w:p>
        </w:tc>
        <w:tc>
          <w:tcPr>
            <w:tcW w:w="2376" w:type="dxa"/>
            <w:shd w:val="pct10" w:color="auto" w:fill="auto"/>
          </w:tcPr>
          <w:p w:rsidR="000A522F" w:rsidRPr="00B2051C" w:rsidRDefault="000A522F">
            <w:pPr>
              <w:spacing w:before="60" w:after="60"/>
              <w:jc w:val="center"/>
              <w:rPr>
                <w:b/>
                <w:sz w:val="22"/>
                <w:szCs w:val="22"/>
              </w:rPr>
            </w:pPr>
            <w:r w:rsidRPr="00B2051C">
              <w:rPr>
                <w:b/>
                <w:sz w:val="22"/>
                <w:szCs w:val="22"/>
              </w:rPr>
              <w:t>Number of applicants</w:t>
            </w:r>
          </w:p>
        </w:tc>
        <w:tc>
          <w:tcPr>
            <w:tcW w:w="2160" w:type="dxa"/>
            <w:shd w:val="pct10" w:color="auto" w:fill="auto"/>
          </w:tcPr>
          <w:p w:rsidR="000A522F" w:rsidRPr="00B2051C" w:rsidRDefault="000A522F">
            <w:pPr>
              <w:spacing w:before="60" w:after="60"/>
              <w:jc w:val="center"/>
              <w:rPr>
                <w:b/>
                <w:sz w:val="22"/>
                <w:szCs w:val="22"/>
              </w:rPr>
            </w:pPr>
            <w:r w:rsidRPr="00B2051C">
              <w:rPr>
                <w:b/>
                <w:sz w:val="22"/>
                <w:szCs w:val="22"/>
              </w:rPr>
              <w:t>Number regularised</w:t>
            </w:r>
          </w:p>
        </w:tc>
      </w:tr>
      <w:tr w:rsidR="00000000" w:rsidRPr="00B2051C">
        <w:tblPrEx>
          <w:tblCellMar>
            <w:top w:w="0" w:type="dxa"/>
            <w:bottom w:w="0" w:type="dxa"/>
          </w:tblCellMar>
        </w:tblPrEx>
        <w:trPr>
          <w:jc w:val="center"/>
        </w:trPr>
        <w:tc>
          <w:tcPr>
            <w:tcW w:w="2952" w:type="dxa"/>
          </w:tcPr>
          <w:p w:rsidR="000A522F" w:rsidRPr="00B2051C" w:rsidRDefault="000A522F">
            <w:pPr>
              <w:rPr>
                <w:sz w:val="22"/>
                <w:szCs w:val="22"/>
              </w:rPr>
            </w:pPr>
            <w:r w:rsidRPr="00B2051C">
              <w:rPr>
                <w:sz w:val="22"/>
                <w:szCs w:val="22"/>
              </w:rPr>
              <w:t>1998—White card</w:t>
            </w:r>
          </w:p>
          <w:p w:rsidR="000A522F" w:rsidRPr="00B2051C" w:rsidRDefault="000A522F">
            <w:pPr>
              <w:rPr>
                <w:sz w:val="22"/>
                <w:szCs w:val="22"/>
              </w:rPr>
            </w:pPr>
            <w:r w:rsidRPr="00B2051C">
              <w:rPr>
                <w:sz w:val="22"/>
                <w:szCs w:val="22"/>
              </w:rPr>
              <w:t>Green card</w:t>
            </w:r>
          </w:p>
        </w:tc>
        <w:tc>
          <w:tcPr>
            <w:tcW w:w="2376" w:type="dxa"/>
          </w:tcPr>
          <w:p w:rsidR="000A522F" w:rsidRPr="00B2051C" w:rsidRDefault="000A522F">
            <w:pPr>
              <w:jc w:val="center"/>
              <w:rPr>
                <w:sz w:val="22"/>
                <w:szCs w:val="22"/>
              </w:rPr>
            </w:pPr>
            <w:r w:rsidRPr="00B2051C">
              <w:rPr>
                <w:sz w:val="22"/>
                <w:szCs w:val="22"/>
              </w:rPr>
              <w:t>370,000</w:t>
            </w:r>
          </w:p>
          <w:p w:rsidR="000A522F" w:rsidRPr="00B2051C" w:rsidRDefault="000A522F">
            <w:pPr>
              <w:jc w:val="center"/>
              <w:rPr>
                <w:sz w:val="22"/>
                <w:szCs w:val="22"/>
              </w:rPr>
            </w:pPr>
            <w:r w:rsidRPr="00B2051C">
              <w:rPr>
                <w:sz w:val="22"/>
                <w:szCs w:val="22"/>
              </w:rPr>
              <w:t>228,000</w:t>
            </w:r>
          </w:p>
        </w:tc>
        <w:tc>
          <w:tcPr>
            <w:tcW w:w="2160" w:type="dxa"/>
          </w:tcPr>
          <w:p w:rsidR="000A522F" w:rsidRPr="00B2051C" w:rsidRDefault="000A522F">
            <w:pPr>
              <w:jc w:val="center"/>
              <w:rPr>
                <w:sz w:val="22"/>
                <w:szCs w:val="22"/>
              </w:rPr>
            </w:pPr>
            <w:r w:rsidRPr="00B2051C">
              <w:rPr>
                <w:sz w:val="22"/>
                <w:szCs w:val="22"/>
              </w:rPr>
              <w:t>370,000</w:t>
            </w:r>
          </w:p>
          <w:p w:rsidR="000A522F" w:rsidRPr="00B2051C" w:rsidRDefault="000A522F">
            <w:pPr>
              <w:jc w:val="center"/>
              <w:rPr>
                <w:sz w:val="22"/>
                <w:szCs w:val="22"/>
              </w:rPr>
            </w:pPr>
            <w:r w:rsidRPr="00B2051C">
              <w:rPr>
                <w:sz w:val="22"/>
                <w:szCs w:val="22"/>
              </w:rPr>
              <w:t>220,000</w:t>
            </w:r>
          </w:p>
        </w:tc>
      </w:tr>
      <w:tr w:rsidR="00000000" w:rsidRPr="00B2051C">
        <w:tblPrEx>
          <w:tblCellMar>
            <w:top w:w="0" w:type="dxa"/>
            <w:bottom w:w="0" w:type="dxa"/>
          </w:tblCellMar>
        </w:tblPrEx>
        <w:trPr>
          <w:jc w:val="center"/>
        </w:trPr>
        <w:tc>
          <w:tcPr>
            <w:tcW w:w="2952" w:type="dxa"/>
          </w:tcPr>
          <w:p w:rsidR="000A522F" w:rsidRPr="00B2051C" w:rsidRDefault="000A522F">
            <w:pPr>
              <w:rPr>
                <w:sz w:val="22"/>
                <w:szCs w:val="22"/>
              </w:rPr>
            </w:pPr>
            <w:r w:rsidRPr="00B2051C">
              <w:rPr>
                <w:sz w:val="22"/>
                <w:szCs w:val="22"/>
              </w:rPr>
              <w:t>2001</w:t>
            </w:r>
          </w:p>
        </w:tc>
        <w:tc>
          <w:tcPr>
            <w:tcW w:w="2376" w:type="dxa"/>
          </w:tcPr>
          <w:p w:rsidR="000A522F" w:rsidRPr="00B2051C" w:rsidRDefault="000A522F">
            <w:pPr>
              <w:jc w:val="center"/>
              <w:rPr>
                <w:sz w:val="22"/>
                <w:szCs w:val="22"/>
              </w:rPr>
            </w:pPr>
            <w:r w:rsidRPr="00B2051C">
              <w:rPr>
                <w:sz w:val="22"/>
                <w:szCs w:val="22"/>
              </w:rPr>
              <w:t>368,000</w:t>
            </w:r>
          </w:p>
        </w:tc>
        <w:tc>
          <w:tcPr>
            <w:tcW w:w="2160" w:type="dxa"/>
          </w:tcPr>
          <w:p w:rsidR="000A522F" w:rsidRPr="00B2051C" w:rsidRDefault="000A522F">
            <w:pPr>
              <w:jc w:val="center"/>
              <w:rPr>
                <w:sz w:val="22"/>
                <w:szCs w:val="22"/>
              </w:rPr>
            </w:pPr>
            <w:r w:rsidRPr="00B2051C">
              <w:rPr>
                <w:sz w:val="22"/>
                <w:szCs w:val="22"/>
              </w:rPr>
              <w:t>228,000</w:t>
            </w:r>
          </w:p>
        </w:tc>
      </w:tr>
    </w:tbl>
    <w:p w:rsidR="000A522F" w:rsidRPr="00B2051C" w:rsidRDefault="000A522F">
      <w:pPr>
        <w:rPr>
          <w:b/>
          <w:bCs/>
          <w:u w:val="single"/>
        </w:rPr>
      </w:pPr>
      <w:r w:rsidRPr="00B2051C">
        <w:rPr>
          <w:b/>
          <w:bCs/>
          <w:u w:val="single"/>
        </w:rPr>
        <w:t>Italy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2340"/>
        <w:gridCol w:w="2160"/>
      </w:tblGrid>
      <w:tr w:rsidR="00000000" w:rsidRPr="00B2051C">
        <w:tblPrEx>
          <w:tblCellMar>
            <w:top w:w="0" w:type="dxa"/>
            <w:bottom w:w="0" w:type="dxa"/>
          </w:tblCellMar>
        </w:tblPrEx>
        <w:trPr>
          <w:jc w:val="center"/>
        </w:trPr>
        <w:tc>
          <w:tcPr>
            <w:tcW w:w="2988" w:type="dxa"/>
            <w:shd w:val="pct10" w:color="auto" w:fill="FFFFFF"/>
          </w:tcPr>
          <w:p w:rsidR="000A522F" w:rsidRPr="00B2051C" w:rsidRDefault="000A522F">
            <w:pPr>
              <w:spacing w:before="60" w:after="60"/>
              <w:jc w:val="center"/>
              <w:rPr>
                <w:b/>
                <w:sz w:val="22"/>
                <w:szCs w:val="22"/>
              </w:rPr>
            </w:pPr>
            <w:r w:rsidRPr="00B2051C">
              <w:rPr>
                <w:b/>
                <w:sz w:val="22"/>
                <w:szCs w:val="22"/>
              </w:rPr>
              <w:t>Year</w:t>
            </w:r>
          </w:p>
        </w:tc>
        <w:tc>
          <w:tcPr>
            <w:tcW w:w="2340" w:type="dxa"/>
            <w:shd w:val="pct10" w:color="auto" w:fill="FFFFFF"/>
          </w:tcPr>
          <w:p w:rsidR="000A522F" w:rsidRPr="00B2051C" w:rsidRDefault="000A522F">
            <w:pPr>
              <w:spacing w:before="60" w:after="60"/>
              <w:jc w:val="center"/>
              <w:rPr>
                <w:b/>
                <w:sz w:val="22"/>
                <w:szCs w:val="22"/>
              </w:rPr>
            </w:pPr>
            <w:r w:rsidRPr="00B2051C">
              <w:rPr>
                <w:b/>
                <w:sz w:val="22"/>
                <w:szCs w:val="22"/>
              </w:rPr>
              <w:t>Number of applicants</w:t>
            </w:r>
          </w:p>
        </w:tc>
        <w:tc>
          <w:tcPr>
            <w:tcW w:w="2160" w:type="dxa"/>
            <w:shd w:val="pct10" w:color="auto" w:fill="FFFFFF"/>
          </w:tcPr>
          <w:p w:rsidR="000A522F" w:rsidRPr="00B2051C" w:rsidRDefault="000A522F">
            <w:pPr>
              <w:spacing w:before="60" w:after="60"/>
              <w:jc w:val="center"/>
              <w:rPr>
                <w:b/>
                <w:sz w:val="22"/>
                <w:szCs w:val="22"/>
              </w:rPr>
            </w:pPr>
            <w:r w:rsidRPr="00B2051C">
              <w:rPr>
                <w:b/>
                <w:sz w:val="22"/>
                <w:szCs w:val="22"/>
              </w:rPr>
              <w:t>Number regularized</w:t>
            </w:r>
          </w:p>
        </w:tc>
      </w:tr>
      <w:tr w:rsidR="00000000" w:rsidRPr="00B2051C">
        <w:tblPrEx>
          <w:tblCellMar>
            <w:top w:w="0" w:type="dxa"/>
            <w:bottom w:w="0" w:type="dxa"/>
          </w:tblCellMar>
        </w:tblPrEx>
        <w:trPr>
          <w:jc w:val="center"/>
        </w:trPr>
        <w:tc>
          <w:tcPr>
            <w:tcW w:w="2988" w:type="dxa"/>
          </w:tcPr>
          <w:p w:rsidR="000A522F" w:rsidRPr="00B2051C" w:rsidRDefault="000A522F">
            <w:pPr>
              <w:rPr>
                <w:sz w:val="22"/>
                <w:szCs w:val="22"/>
              </w:rPr>
            </w:pPr>
            <w:r w:rsidRPr="00B2051C">
              <w:rPr>
                <w:sz w:val="22"/>
                <w:szCs w:val="22"/>
              </w:rPr>
              <w:t>1986-1987</w:t>
            </w:r>
          </w:p>
        </w:tc>
        <w:tc>
          <w:tcPr>
            <w:tcW w:w="2340" w:type="dxa"/>
          </w:tcPr>
          <w:p w:rsidR="000A522F" w:rsidRPr="00B2051C" w:rsidRDefault="000A522F">
            <w:pPr>
              <w:jc w:val="center"/>
              <w:rPr>
                <w:sz w:val="22"/>
                <w:szCs w:val="22"/>
              </w:rPr>
            </w:pPr>
          </w:p>
        </w:tc>
        <w:tc>
          <w:tcPr>
            <w:tcW w:w="2160" w:type="dxa"/>
          </w:tcPr>
          <w:p w:rsidR="000A522F" w:rsidRPr="00B2051C" w:rsidRDefault="000A522F">
            <w:pPr>
              <w:jc w:val="center"/>
              <w:rPr>
                <w:sz w:val="22"/>
                <w:szCs w:val="22"/>
              </w:rPr>
            </w:pPr>
            <w:r w:rsidRPr="00B2051C">
              <w:rPr>
                <w:sz w:val="22"/>
                <w:szCs w:val="22"/>
              </w:rPr>
              <w:t>118,700</w:t>
            </w:r>
          </w:p>
        </w:tc>
      </w:tr>
      <w:tr w:rsidR="00000000" w:rsidRPr="00B2051C">
        <w:tblPrEx>
          <w:tblCellMar>
            <w:top w:w="0" w:type="dxa"/>
            <w:bottom w:w="0" w:type="dxa"/>
          </w:tblCellMar>
        </w:tblPrEx>
        <w:trPr>
          <w:jc w:val="center"/>
        </w:trPr>
        <w:tc>
          <w:tcPr>
            <w:tcW w:w="2988" w:type="dxa"/>
          </w:tcPr>
          <w:p w:rsidR="000A522F" w:rsidRPr="00B2051C" w:rsidRDefault="000A522F">
            <w:pPr>
              <w:rPr>
                <w:sz w:val="22"/>
                <w:szCs w:val="22"/>
              </w:rPr>
            </w:pPr>
            <w:r w:rsidRPr="00B2051C">
              <w:rPr>
                <w:sz w:val="22"/>
                <w:szCs w:val="22"/>
              </w:rPr>
              <w:t>1990</w:t>
            </w:r>
          </w:p>
        </w:tc>
        <w:tc>
          <w:tcPr>
            <w:tcW w:w="2340" w:type="dxa"/>
          </w:tcPr>
          <w:p w:rsidR="000A522F" w:rsidRPr="00B2051C" w:rsidRDefault="000A522F">
            <w:pPr>
              <w:jc w:val="center"/>
              <w:rPr>
                <w:sz w:val="22"/>
                <w:szCs w:val="22"/>
              </w:rPr>
            </w:pPr>
          </w:p>
        </w:tc>
        <w:tc>
          <w:tcPr>
            <w:tcW w:w="2160" w:type="dxa"/>
          </w:tcPr>
          <w:p w:rsidR="000A522F" w:rsidRPr="00B2051C" w:rsidRDefault="000A522F">
            <w:pPr>
              <w:jc w:val="center"/>
              <w:rPr>
                <w:sz w:val="22"/>
                <w:szCs w:val="22"/>
              </w:rPr>
            </w:pPr>
            <w:r w:rsidRPr="00B2051C">
              <w:rPr>
                <w:sz w:val="22"/>
                <w:szCs w:val="22"/>
              </w:rPr>
              <w:t>235,000</w:t>
            </w:r>
          </w:p>
        </w:tc>
      </w:tr>
      <w:tr w:rsidR="00000000" w:rsidRPr="00B2051C">
        <w:tblPrEx>
          <w:tblCellMar>
            <w:top w:w="0" w:type="dxa"/>
            <w:bottom w:w="0" w:type="dxa"/>
          </w:tblCellMar>
        </w:tblPrEx>
        <w:trPr>
          <w:jc w:val="center"/>
        </w:trPr>
        <w:tc>
          <w:tcPr>
            <w:tcW w:w="2988" w:type="dxa"/>
          </w:tcPr>
          <w:p w:rsidR="000A522F" w:rsidRPr="00B2051C" w:rsidRDefault="000A522F">
            <w:pPr>
              <w:rPr>
                <w:sz w:val="22"/>
                <w:szCs w:val="22"/>
              </w:rPr>
            </w:pPr>
            <w:r w:rsidRPr="00B2051C">
              <w:rPr>
                <w:sz w:val="22"/>
                <w:szCs w:val="22"/>
              </w:rPr>
              <w:t>1995-96</w:t>
            </w:r>
          </w:p>
        </w:tc>
        <w:tc>
          <w:tcPr>
            <w:tcW w:w="2340" w:type="dxa"/>
          </w:tcPr>
          <w:p w:rsidR="000A522F" w:rsidRPr="00B2051C" w:rsidRDefault="000A522F">
            <w:pPr>
              <w:jc w:val="center"/>
              <w:rPr>
                <w:sz w:val="22"/>
                <w:szCs w:val="22"/>
              </w:rPr>
            </w:pPr>
            <w:r w:rsidRPr="00B2051C">
              <w:rPr>
                <w:sz w:val="22"/>
                <w:szCs w:val="22"/>
              </w:rPr>
              <w:t>256,000</w:t>
            </w:r>
          </w:p>
        </w:tc>
        <w:tc>
          <w:tcPr>
            <w:tcW w:w="2160" w:type="dxa"/>
          </w:tcPr>
          <w:p w:rsidR="000A522F" w:rsidRPr="00B2051C" w:rsidRDefault="000A522F">
            <w:pPr>
              <w:jc w:val="center"/>
              <w:rPr>
                <w:sz w:val="22"/>
                <w:szCs w:val="22"/>
              </w:rPr>
            </w:pPr>
            <w:r w:rsidRPr="00B2051C">
              <w:rPr>
                <w:sz w:val="22"/>
                <w:szCs w:val="22"/>
              </w:rPr>
              <w:t>238,000</w:t>
            </w:r>
          </w:p>
        </w:tc>
      </w:tr>
      <w:tr w:rsidR="00000000" w:rsidRPr="00B2051C">
        <w:tblPrEx>
          <w:tblCellMar>
            <w:top w:w="0" w:type="dxa"/>
            <w:bottom w:w="0" w:type="dxa"/>
          </w:tblCellMar>
        </w:tblPrEx>
        <w:trPr>
          <w:jc w:val="center"/>
        </w:trPr>
        <w:tc>
          <w:tcPr>
            <w:tcW w:w="2988" w:type="dxa"/>
          </w:tcPr>
          <w:p w:rsidR="000A522F" w:rsidRPr="00B2051C" w:rsidRDefault="000A522F">
            <w:pPr>
              <w:rPr>
                <w:sz w:val="22"/>
                <w:szCs w:val="22"/>
              </w:rPr>
            </w:pPr>
            <w:r w:rsidRPr="00B2051C">
              <w:rPr>
                <w:sz w:val="22"/>
                <w:szCs w:val="22"/>
              </w:rPr>
              <w:t>1998-99</w:t>
            </w:r>
          </w:p>
        </w:tc>
        <w:tc>
          <w:tcPr>
            <w:tcW w:w="2340" w:type="dxa"/>
          </w:tcPr>
          <w:p w:rsidR="000A522F" w:rsidRPr="00B2051C" w:rsidRDefault="000A522F">
            <w:pPr>
              <w:jc w:val="center"/>
              <w:rPr>
                <w:sz w:val="22"/>
                <w:szCs w:val="22"/>
              </w:rPr>
            </w:pPr>
            <w:r w:rsidRPr="00B2051C">
              <w:rPr>
                <w:sz w:val="22"/>
                <w:szCs w:val="22"/>
              </w:rPr>
              <w:t>308,000</w:t>
            </w:r>
          </w:p>
        </w:tc>
        <w:tc>
          <w:tcPr>
            <w:tcW w:w="2160" w:type="dxa"/>
          </w:tcPr>
          <w:p w:rsidR="000A522F" w:rsidRPr="00B2051C" w:rsidRDefault="000A522F">
            <w:pPr>
              <w:jc w:val="center"/>
              <w:rPr>
                <w:sz w:val="22"/>
                <w:szCs w:val="22"/>
              </w:rPr>
            </w:pPr>
            <w:r w:rsidRPr="00B2051C">
              <w:rPr>
                <w:sz w:val="22"/>
                <w:szCs w:val="22"/>
              </w:rPr>
              <w:t>193,200</w:t>
            </w:r>
          </w:p>
        </w:tc>
      </w:tr>
      <w:tr w:rsidR="00000000" w:rsidRPr="00B2051C">
        <w:tblPrEx>
          <w:tblCellMar>
            <w:top w:w="0" w:type="dxa"/>
            <w:bottom w:w="0" w:type="dxa"/>
          </w:tblCellMar>
        </w:tblPrEx>
        <w:trPr>
          <w:jc w:val="center"/>
        </w:trPr>
        <w:tc>
          <w:tcPr>
            <w:tcW w:w="2988" w:type="dxa"/>
          </w:tcPr>
          <w:p w:rsidR="000A522F" w:rsidRPr="00B2051C" w:rsidRDefault="000A522F">
            <w:pPr>
              <w:rPr>
                <w:sz w:val="22"/>
                <w:szCs w:val="22"/>
              </w:rPr>
            </w:pPr>
            <w:r w:rsidRPr="00B2051C">
              <w:rPr>
                <w:sz w:val="22"/>
                <w:szCs w:val="22"/>
              </w:rPr>
              <w:t>2002</w:t>
            </w:r>
          </w:p>
        </w:tc>
        <w:tc>
          <w:tcPr>
            <w:tcW w:w="2340" w:type="dxa"/>
          </w:tcPr>
          <w:p w:rsidR="000A522F" w:rsidRPr="00B2051C" w:rsidRDefault="000A522F">
            <w:pPr>
              <w:jc w:val="center"/>
              <w:rPr>
                <w:sz w:val="22"/>
                <w:szCs w:val="22"/>
              </w:rPr>
            </w:pPr>
            <w:r w:rsidRPr="00B2051C">
              <w:rPr>
                <w:sz w:val="22"/>
                <w:szCs w:val="22"/>
              </w:rPr>
              <w:t>700,000</w:t>
            </w:r>
          </w:p>
        </w:tc>
        <w:tc>
          <w:tcPr>
            <w:tcW w:w="2160" w:type="dxa"/>
          </w:tcPr>
          <w:p w:rsidR="000A522F" w:rsidRPr="00B2051C" w:rsidRDefault="000A522F">
            <w:pPr>
              <w:jc w:val="center"/>
              <w:rPr>
                <w:sz w:val="22"/>
                <w:szCs w:val="22"/>
              </w:rPr>
            </w:pPr>
            <w:r w:rsidRPr="00B2051C">
              <w:rPr>
                <w:sz w:val="22"/>
                <w:szCs w:val="22"/>
              </w:rPr>
              <w:t>634,700</w:t>
            </w:r>
          </w:p>
        </w:tc>
      </w:tr>
    </w:tbl>
    <w:p w:rsidR="000A522F" w:rsidRPr="00B2051C" w:rsidRDefault="000A522F">
      <w:pPr>
        <w:rPr>
          <w:b/>
          <w:bCs/>
          <w:u w:val="single"/>
        </w:rPr>
      </w:pPr>
      <w:r w:rsidRPr="00B2051C">
        <w:rPr>
          <w:b/>
          <w:bCs/>
          <w:u w:val="single"/>
        </w:rPr>
        <w:t>France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50"/>
        <w:gridCol w:w="3600"/>
      </w:tblGrid>
      <w:tr w:rsidR="00000000" w:rsidRPr="00B2051C">
        <w:tblPrEx>
          <w:tblCellMar>
            <w:top w:w="0" w:type="dxa"/>
            <w:bottom w:w="0" w:type="dxa"/>
          </w:tblCellMar>
        </w:tblPrEx>
        <w:trPr>
          <w:jc w:val="center"/>
        </w:trPr>
        <w:tc>
          <w:tcPr>
            <w:tcW w:w="3850" w:type="dxa"/>
            <w:shd w:val="pct10" w:color="auto" w:fill="auto"/>
          </w:tcPr>
          <w:p w:rsidR="000A522F" w:rsidRPr="00B2051C" w:rsidRDefault="000A522F">
            <w:pPr>
              <w:spacing w:before="60" w:after="60"/>
              <w:jc w:val="center"/>
              <w:rPr>
                <w:b/>
                <w:sz w:val="22"/>
                <w:szCs w:val="22"/>
              </w:rPr>
            </w:pPr>
            <w:r w:rsidRPr="00B2051C">
              <w:rPr>
                <w:b/>
                <w:sz w:val="22"/>
                <w:szCs w:val="22"/>
              </w:rPr>
              <w:t>Year</w:t>
            </w:r>
          </w:p>
        </w:tc>
        <w:tc>
          <w:tcPr>
            <w:tcW w:w="3600" w:type="dxa"/>
            <w:shd w:val="pct10" w:color="auto" w:fill="auto"/>
          </w:tcPr>
          <w:p w:rsidR="000A522F" w:rsidRPr="00B2051C" w:rsidRDefault="000A522F">
            <w:pPr>
              <w:spacing w:before="60" w:after="60"/>
              <w:jc w:val="center"/>
              <w:rPr>
                <w:b/>
                <w:sz w:val="22"/>
                <w:szCs w:val="22"/>
              </w:rPr>
            </w:pPr>
            <w:r w:rsidRPr="00B2051C">
              <w:rPr>
                <w:b/>
                <w:sz w:val="22"/>
                <w:szCs w:val="22"/>
              </w:rPr>
              <w:t>Number regularised</w:t>
            </w:r>
          </w:p>
        </w:tc>
      </w:tr>
      <w:tr w:rsidR="00000000" w:rsidRPr="00B2051C">
        <w:tblPrEx>
          <w:tblCellMar>
            <w:top w:w="0" w:type="dxa"/>
            <w:bottom w:w="0" w:type="dxa"/>
          </w:tblCellMar>
        </w:tblPrEx>
        <w:trPr>
          <w:jc w:val="center"/>
        </w:trPr>
        <w:tc>
          <w:tcPr>
            <w:tcW w:w="3850" w:type="dxa"/>
          </w:tcPr>
          <w:p w:rsidR="000A522F" w:rsidRPr="00B2051C" w:rsidRDefault="000A522F">
            <w:pPr>
              <w:rPr>
                <w:sz w:val="22"/>
                <w:szCs w:val="22"/>
              </w:rPr>
            </w:pPr>
            <w:r w:rsidRPr="00B2051C">
              <w:rPr>
                <w:sz w:val="22"/>
                <w:szCs w:val="22"/>
              </w:rPr>
              <w:t>1981-82</w:t>
            </w:r>
          </w:p>
        </w:tc>
        <w:tc>
          <w:tcPr>
            <w:tcW w:w="3600" w:type="dxa"/>
          </w:tcPr>
          <w:p w:rsidR="000A522F" w:rsidRPr="00B2051C" w:rsidRDefault="000A522F">
            <w:pPr>
              <w:jc w:val="center"/>
              <w:rPr>
                <w:sz w:val="22"/>
                <w:szCs w:val="22"/>
              </w:rPr>
            </w:pPr>
            <w:r w:rsidRPr="00B2051C">
              <w:rPr>
                <w:sz w:val="22"/>
                <w:szCs w:val="22"/>
              </w:rPr>
              <w:t>121,100</w:t>
            </w:r>
          </w:p>
        </w:tc>
      </w:tr>
      <w:tr w:rsidR="00000000" w:rsidRPr="00B2051C">
        <w:tblPrEx>
          <w:tblCellMar>
            <w:top w:w="0" w:type="dxa"/>
            <w:bottom w:w="0" w:type="dxa"/>
          </w:tblCellMar>
        </w:tblPrEx>
        <w:trPr>
          <w:jc w:val="center"/>
        </w:trPr>
        <w:tc>
          <w:tcPr>
            <w:tcW w:w="3850" w:type="dxa"/>
          </w:tcPr>
          <w:p w:rsidR="000A522F" w:rsidRPr="00B2051C" w:rsidRDefault="000A522F">
            <w:pPr>
              <w:rPr>
                <w:sz w:val="22"/>
                <w:szCs w:val="22"/>
              </w:rPr>
            </w:pPr>
            <w:r w:rsidRPr="00B2051C">
              <w:rPr>
                <w:sz w:val="22"/>
                <w:szCs w:val="22"/>
              </w:rPr>
              <w:t>1997-98</w:t>
            </w:r>
          </w:p>
        </w:tc>
        <w:tc>
          <w:tcPr>
            <w:tcW w:w="3600" w:type="dxa"/>
          </w:tcPr>
          <w:p w:rsidR="000A522F" w:rsidRPr="00B2051C" w:rsidRDefault="000A522F">
            <w:pPr>
              <w:jc w:val="center"/>
              <w:rPr>
                <w:sz w:val="22"/>
                <w:szCs w:val="22"/>
              </w:rPr>
            </w:pPr>
            <w:r w:rsidRPr="00B2051C">
              <w:rPr>
                <w:sz w:val="22"/>
                <w:szCs w:val="22"/>
              </w:rPr>
              <w:t>77,800</w:t>
            </w:r>
          </w:p>
        </w:tc>
      </w:tr>
    </w:tbl>
    <w:p w:rsidR="000A522F" w:rsidRPr="00B2051C" w:rsidRDefault="000A522F">
      <w:pPr>
        <w:rPr>
          <w:b/>
          <w:bCs/>
          <w:u w:val="single"/>
        </w:rPr>
      </w:pPr>
      <w:r w:rsidRPr="00B2051C">
        <w:rPr>
          <w:b/>
          <w:bCs/>
          <w:u w:val="single"/>
        </w:rPr>
        <w:t>Spain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340"/>
        <w:gridCol w:w="2160"/>
      </w:tblGrid>
      <w:tr w:rsidR="00000000" w:rsidRPr="00B2051C">
        <w:trPr>
          <w:jc w:val="center"/>
        </w:trPr>
        <w:tc>
          <w:tcPr>
            <w:tcW w:w="2988" w:type="dxa"/>
            <w:shd w:val="clear" w:color="auto" w:fill="E0E0E0"/>
          </w:tcPr>
          <w:p w:rsidR="000A522F" w:rsidRPr="00B2051C" w:rsidRDefault="000A522F">
            <w:pPr>
              <w:spacing w:before="60" w:after="60"/>
              <w:jc w:val="center"/>
              <w:rPr>
                <w:b/>
                <w:sz w:val="22"/>
                <w:szCs w:val="22"/>
              </w:rPr>
            </w:pPr>
            <w:r w:rsidRPr="00B2051C">
              <w:rPr>
                <w:b/>
                <w:sz w:val="22"/>
                <w:szCs w:val="22"/>
              </w:rPr>
              <w:t>Year</w:t>
            </w:r>
          </w:p>
        </w:tc>
        <w:tc>
          <w:tcPr>
            <w:tcW w:w="2340" w:type="dxa"/>
            <w:shd w:val="clear" w:color="auto" w:fill="E0E0E0"/>
          </w:tcPr>
          <w:p w:rsidR="000A522F" w:rsidRPr="00B2051C" w:rsidRDefault="000A522F">
            <w:pPr>
              <w:spacing w:before="60" w:after="60"/>
              <w:jc w:val="center"/>
              <w:rPr>
                <w:b/>
                <w:sz w:val="22"/>
                <w:szCs w:val="22"/>
              </w:rPr>
            </w:pPr>
            <w:r w:rsidRPr="00B2051C">
              <w:rPr>
                <w:b/>
                <w:sz w:val="22"/>
                <w:szCs w:val="22"/>
              </w:rPr>
              <w:t>Number of applicants</w:t>
            </w:r>
          </w:p>
        </w:tc>
        <w:tc>
          <w:tcPr>
            <w:tcW w:w="2160" w:type="dxa"/>
            <w:shd w:val="clear" w:color="auto" w:fill="E0E0E0"/>
          </w:tcPr>
          <w:p w:rsidR="000A522F" w:rsidRPr="00B2051C" w:rsidRDefault="000A522F">
            <w:pPr>
              <w:spacing w:before="60" w:after="60"/>
              <w:jc w:val="center"/>
              <w:rPr>
                <w:b/>
                <w:sz w:val="22"/>
                <w:szCs w:val="22"/>
              </w:rPr>
            </w:pPr>
            <w:r w:rsidRPr="00B2051C">
              <w:rPr>
                <w:b/>
                <w:sz w:val="22"/>
                <w:szCs w:val="22"/>
              </w:rPr>
              <w:t>Number regularised</w:t>
            </w:r>
          </w:p>
        </w:tc>
      </w:tr>
      <w:tr w:rsidR="00000000" w:rsidRPr="00B2051C">
        <w:trPr>
          <w:jc w:val="center"/>
        </w:trPr>
        <w:tc>
          <w:tcPr>
            <w:tcW w:w="2988" w:type="dxa"/>
          </w:tcPr>
          <w:p w:rsidR="000A522F" w:rsidRPr="00B2051C" w:rsidRDefault="000A522F">
            <w:pPr>
              <w:rPr>
                <w:sz w:val="22"/>
                <w:szCs w:val="22"/>
              </w:rPr>
            </w:pPr>
            <w:r w:rsidRPr="00B2051C">
              <w:rPr>
                <w:sz w:val="22"/>
                <w:szCs w:val="22"/>
              </w:rPr>
              <w:t>1985-86</w:t>
            </w:r>
          </w:p>
        </w:tc>
        <w:tc>
          <w:tcPr>
            <w:tcW w:w="2340" w:type="dxa"/>
          </w:tcPr>
          <w:p w:rsidR="000A522F" w:rsidRPr="00B2051C" w:rsidRDefault="000A522F">
            <w:pPr>
              <w:jc w:val="center"/>
              <w:rPr>
                <w:sz w:val="22"/>
                <w:szCs w:val="22"/>
              </w:rPr>
            </w:pPr>
            <w:r w:rsidRPr="00B2051C">
              <w:rPr>
                <w:sz w:val="22"/>
                <w:szCs w:val="22"/>
              </w:rPr>
              <w:t>44,000</w:t>
            </w:r>
          </w:p>
        </w:tc>
        <w:tc>
          <w:tcPr>
            <w:tcW w:w="2160" w:type="dxa"/>
          </w:tcPr>
          <w:p w:rsidR="000A522F" w:rsidRPr="00B2051C" w:rsidRDefault="000A522F">
            <w:pPr>
              <w:jc w:val="center"/>
              <w:rPr>
                <w:sz w:val="22"/>
                <w:szCs w:val="22"/>
              </w:rPr>
            </w:pPr>
            <w:r w:rsidRPr="00B2051C">
              <w:rPr>
                <w:sz w:val="22"/>
                <w:szCs w:val="22"/>
              </w:rPr>
              <w:t>23,000</w:t>
            </w:r>
          </w:p>
        </w:tc>
      </w:tr>
      <w:tr w:rsidR="00000000" w:rsidRPr="00B2051C">
        <w:trPr>
          <w:jc w:val="center"/>
        </w:trPr>
        <w:tc>
          <w:tcPr>
            <w:tcW w:w="2988" w:type="dxa"/>
          </w:tcPr>
          <w:p w:rsidR="000A522F" w:rsidRPr="00B2051C" w:rsidRDefault="000A522F">
            <w:pPr>
              <w:rPr>
                <w:sz w:val="22"/>
                <w:szCs w:val="22"/>
              </w:rPr>
            </w:pPr>
            <w:r w:rsidRPr="00B2051C">
              <w:rPr>
                <w:sz w:val="22"/>
                <w:szCs w:val="22"/>
              </w:rPr>
              <w:t>1991</w:t>
            </w:r>
          </w:p>
        </w:tc>
        <w:tc>
          <w:tcPr>
            <w:tcW w:w="2340" w:type="dxa"/>
          </w:tcPr>
          <w:p w:rsidR="000A522F" w:rsidRPr="00B2051C" w:rsidRDefault="000A522F">
            <w:pPr>
              <w:jc w:val="center"/>
              <w:rPr>
                <w:sz w:val="22"/>
                <w:szCs w:val="22"/>
              </w:rPr>
            </w:pPr>
            <w:r w:rsidRPr="00B2051C">
              <w:rPr>
                <w:sz w:val="22"/>
                <w:szCs w:val="22"/>
              </w:rPr>
              <w:t>135,393</w:t>
            </w:r>
          </w:p>
        </w:tc>
        <w:tc>
          <w:tcPr>
            <w:tcW w:w="2160" w:type="dxa"/>
          </w:tcPr>
          <w:p w:rsidR="000A522F" w:rsidRPr="00B2051C" w:rsidRDefault="000A522F">
            <w:pPr>
              <w:jc w:val="center"/>
              <w:rPr>
                <w:sz w:val="22"/>
                <w:szCs w:val="22"/>
              </w:rPr>
            </w:pPr>
            <w:r w:rsidRPr="00B2051C">
              <w:rPr>
                <w:sz w:val="22"/>
                <w:szCs w:val="22"/>
              </w:rPr>
              <w:t>109,135</w:t>
            </w:r>
          </w:p>
        </w:tc>
      </w:tr>
      <w:tr w:rsidR="00000000" w:rsidRPr="00B2051C">
        <w:trPr>
          <w:jc w:val="center"/>
        </w:trPr>
        <w:tc>
          <w:tcPr>
            <w:tcW w:w="2988" w:type="dxa"/>
          </w:tcPr>
          <w:p w:rsidR="000A522F" w:rsidRPr="00B2051C" w:rsidRDefault="000A522F">
            <w:pPr>
              <w:rPr>
                <w:sz w:val="22"/>
                <w:szCs w:val="22"/>
              </w:rPr>
            </w:pPr>
            <w:r w:rsidRPr="00B2051C">
              <w:rPr>
                <w:sz w:val="22"/>
                <w:szCs w:val="22"/>
              </w:rPr>
              <w:t>1996</w:t>
            </w:r>
          </w:p>
        </w:tc>
        <w:tc>
          <w:tcPr>
            <w:tcW w:w="2340" w:type="dxa"/>
          </w:tcPr>
          <w:p w:rsidR="000A522F" w:rsidRPr="00B2051C" w:rsidRDefault="000A522F">
            <w:pPr>
              <w:jc w:val="center"/>
              <w:rPr>
                <w:sz w:val="22"/>
                <w:szCs w:val="22"/>
              </w:rPr>
            </w:pPr>
            <w:r w:rsidRPr="00B2051C">
              <w:rPr>
                <w:sz w:val="22"/>
                <w:szCs w:val="22"/>
              </w:rPr>
              <w:t>25,000</w:t>
            </w:r>
          </w:p>
        </w:tc>
        <w:tc>
          <w:tcPr>
            <w:tcW w:w="2160" w:type="dxa"/>
          </w:tcPr>
          <w:p w:rsidR="000A522F" w:rsidRPr="00B2051C" w:rsidRDefault="000A522F">
            <w:pPr>
              <w:jc w:val="center"/>
              <w:rPr>
                <w:sz w:val="22"/>
                <w:szCs w:val="22"/>
              </w:rPr>
            </w:pPr>
            <w:r w:rsidRPr="00B2051C">
              <w:rPr>
                <w:sz w:val="22"/>
                <w:szCs w:val="22"/>
              </w:rPr>
              <w:t>21,300</w:t>
            </w:r>
          </w:p>
        </w:tc>
      </w:tr>
      <w:tr w:rsidR="00000000" w:rsidRPr="00B2051C">
        <w:trPr>
          <w:jc w:val="center"/>
        </w:trPr>
        <w:tc>
          <w:tcPr>
            <w:tcW w:w="2988" w:type="dxa"/>
          </w:tcPr>
          <w:p w:rsidR="000A522F" w:rsidRPr="00B2051C" w:rsidRDefault="000A522F">
            <w:pPr>
              <w:rPr>
                <w:sz w:val="22"/>
                <w:szCs w:val="22"/>
              </w:rPr>
            </w:pPr>
            <w:r w:rsidRPr="00B2051C">
              <w:rPr>
                <w:sz w:val="22"/>
                <w:szCs w:val="22"/>
              </w:rPr>
              <w:t>2000</w:t>
            </w:r>
          </w:p>
        </w:tc>
        <w:tc>
          <w:tcPr>
            <w:tcW w:w="2340" w:type="dxa"/>
          </w:tcPr>
          <w:p w:rsidR="000A522F" w:rsidRPr="00B2051C" w:rsidRDefault="000A522F">
            <w:pPr>
              <w:jc w:val="center"/>
              <w:rPr>
                <w:sz w:val="22"/>
                <w:szCs w:val="22"/>
              </w:rPr>
            </w:pPr>
            <w:r w:rsidRPr="00B2051C">
              <w:rPr>
                <w:sz w:val="22"/>
                <w:szCs w:val="22"/>
              </w:rPr>
              <w:t>247,598</w:t>
            </w:r>
          </w:p>
        </w:tc>
        <w:tc>
          <w:tcPr>
            <w:tcW w:w="2160" w:type="dxa"/>
          </w:tcPr>
          <w:p w:rsidR="000A522F" w:rsidRPr="00B2051C" w:rsidRDefault="000A522F">
            <w:pPr>
              <w:jc w:val="center"/>
              <w:rPr>
                <w:sz w:val="22"/>
                <w:szCs w:val="22"/>
              </w:rPr>
            </w:pPr>
            <w:r w:rsidRPr="00B2051C">
              <w:rPr>
                <w:sz w:val="22"/>
                <w:szCs w:val="22"/>
              </w:rPr>
              <w:t>153,463</w:t>
            </w:r>
          </w:p>
        </w:tc>
      </w:tr>
      <w:tr w:rsidR="00000000" w:rsidRPr="00B2051C">
        <w:trPr>
          <w:jc w:val="center"/>
        </w:trPr>
        <w:tc>
          <w:tcPr>
            <w:tcW w:w="2988" w:type="dxa"/>
          </w:tcPr>
          <w:p w:rsidR="000A522F" w:rsidRPr="00B2051C" w:rsidRDefault="000A522F">
            <w:pPr>
              <w:rPr>
                <w:sz w:val="22"/>
                <w:szCs w:val="22"/>
              </w:rPr>
            </w:pPr>
            <w:r w:rsidRPr="00B2051C">
              <w:rPr>
                <w:sz w:val="22"/>
                <w:szCs w:val="22"/>
              </w:rPr>
              <w:t>2001</w:t>
            </w:r>
          </w:p>
        </w:tc>
        <w:tc>
          <w:tcPr>
            <w:tcW w:w="2340" w:type="dxa"/>
          </w:tcPr>
          <w:p w:rsidR="000A522F" w:rsidRPr="00B2051C" w:rsidRDefault="000A522F">
            <w:pPr>
              <w:jc w:val="center"/>
              <w:rPr>
                <w:sz w:val="22"/>
                <w:szCs w:val="22"/>
              </w:rPr>
            </w:pPr>
            <w:r w:rsidRPr="00B2051C">
              <w:rPr>
                <w:sz w:val="22"/>
                <w:szCs w:val="22"/>
              </w:rPr>
              <w:t>350,000</w:t>
            </w:r>
          </w:p>
        </w:tc>
        <w:tc>
          <w:tcPr>
            <w:tcW w:w="2160" w:type="dxa"/>
          </w:tcPr>
          <w:p w:rsidR="000A522F" w:rsidRPr="00B2051C" w:rsidRDefault="000A522F">
            <w:pPr>
              <w:jc w:val="center"/>
              <w:rPr>
                <w:sz w:val="22"/>
                <w:szCs w:val="22"/>
              </w:rPr>
            </w:pPr>
            <w:r w:rsidRPr="00B2051C">
              <w:rPr>
                <w:sz w:val="22"/>
                <w:szCs w:val="22"/>
              </w:rPr>
              <w:t>221,083</w:t>
            </w:r>
          </w:p>
        </w:tc>
      </w:tr>
      <w:tr w:rsidR="00000000" w:rsidRPr="00B2051C">
        <w:trPr>
          <w:jc w:val="center"/>
        </w:trPr>
        <w:tc>
          <w:tcPr>
            <w:tcW w:w="2988" w:type="dxa"/>
          </w:tcPr>
          <w:p w:rsidR="000A522F" w:rsidRPr="00B2051C" w:rsidRDefault="000A522F">
            <w:pPr>
              <w:rPr>
                <w:sz w:val="22"/>
                <w:szCs w:val="22"/>
              </w:rPr>
            </w:pPr>
            <w:r w:rsidRPr="00B2051C">
              <w:rPr>
                <w:sz w:val="22"/>
                <w:szCs w:val="22"/>
              </w:rPr>
              <w:t>2005</w:t>
            </w:r>
          </w:p>
        </w:tc>
        <w:tc>
          <w:tcPr>
            <w:tcW w:w="2340" w:type="dxa"/>
          </w:tcPr>
          <w:p w:rsidR="000A522F" w:rsidRPr="00B2051C" w:rsidRDefault="000A522F">
            <w:pPr>
              <w:jc w:val="center"/>
              <w:rPr>
                <w:sz w:val="22"/>
                <w:szCs w:val="22"/>
              </w:rPr>
            </w:pPr>
            <w:r w:rsidRPr="00B2051C">
              <w:rPr>
                <w:sz w:val="22"/>
                <w:szCs w:val="22"/>
              </w:rPr>
              <w:t>690,679</w:t>
            </w:r>
          </w:p>
        </w:tc>
        <w:tc>
          <w:tcPr>
            <w:tcW w:w="2160" w:type="dxa"/>
          </w:tcPr>
          <w:p w:rsidR="000A522F" w:rsidRPr="00B2051C" w:rsidRDefault="000A522F">
            <w:pPr>
              <w:jc w:val="center"/>
              <w:rPr>
                <w:sz w:val="22"/>
                <w:szCs w:val="22"/>
              </w:rPr>
            </w:pPr>
            <w:r w:rsidRPr="00B2051C">
              <w:rPr>
                <w:sz w:val="22"/>
                <w:szCs w:val="22"/>
              </w:rPr>
              <w:t>500,000 (estimated)</w:t>
            </w:r>
          </w:p>
        </w:tc>
      </w:tr>
    </w:tbl>
    <w:p w:rsidR="000A522F" w:rsidRPr="00B2051C" w:rsidRDefault="000A522F">
      <w:pPr>
        <w:rPr>
          <w:b/>
          <w:u w:val="single"/>
        </w:rPr>
      </w:pPr>
      <w:r w:rsidRPr="00B2051C">
        <w:rPr>
          <w:b/>
          <w:u w:val="single"/>
        </w:rPr>
        <w:t>Portugal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340"/>
        <w:gridCol w:w="2160"/>
      </w:tblGrid>
      <w:tr w:rsidR="00000000" w:rsidRPr="00B2051C">
        <w:trPr>
          <w:jc w:val="center"/>
        </w:trPr>
        <w:tc>
          <w:tcPr>
            <w:tcW w:w="2988" w:type="dxa"/>
            <w:shd w:val="clear" w:color="auto" w:fill="E0E0E0"/>
          </w:tcPr>
          <w:p w:rsidR="000A522F" w:rsidRPr="00B2051C" w:rsidRDefault="000A522F">
            <w:pPr>
              <w:spacing w:before="60" w:after="60"/>
              <w:jc w:val="center"/>
              <w:rPr>
                <w:b/>
                <w:sz w:val="22"/>
                <w:szCs w:val="22"/>
              </w:rPr>
            </w:pPr>
            <w:r w:rsidRPr="00B2051C">
              <w:rPr>
                <w:b/>
                <w:sz w:val="22"/>
                <w:szCs w:val="22"/>
              </w:rPr>
              <w:t>Year</w:t>
            </w:r>
          </w:p>
        </w:tc>
        <w:tc>
          <w:tcPr>
            <w:tcW w:w="2340" w:type="dxa"/>
            <w:shd w:val="clear" w:color="auto" w:fill="E0E0E0"/>
          </w:tcPr>
          <w:p w:rsidR="000A522F" w:rsidRPr="00B2051C" w:rsidRDefault="000A522F">
            <w:pPr>
              <w:spacing w:before="60" w:after="60"/>
              <w:rPr>
                <w:b/>
                <w:sz w:val="22"/>
                <w:szCs w:val="22"/>
              </w:rPr>
            </w:pPr>
            <w:r w:rsidRPr="00B2051C">
              <w:rPr>
                <w:b/>
                <w:sz w:val="22"/>
                <w:szCs w:val="22"/>
              </w:rPr>
              <w:t>Number of applicants</w:t>
            </w:r>
          </w:p>
        </w:tc>
        <w:tc>
          <w:tcPr>
            <w:tcW w:w="2160" w:type="dxa"/>
            <w:shd w:val="clear" w:color="auto" w:fill="E0E0E0"/>
          </w:tcPr>
          <w:p w:rsidR="000A522F" w:rsidRPr="00B2051C" w:rsidRDefault="000A522F">
            <w:pPr>
              <w:spacing w:before="60" w:after="60"/>
              <w:rPr>
                <w:b/>
                <w:sz w:val="22"/>
                <w:szCs w:val="22"/>
              </w:rPr>
            </w:pPr>
            <w:r w:rsidRPr="00B2051C">
              <w:rPr>
                <w:b/>
                <w:sz w:val="22"/>
                <w:szCs w:val="22"/>
              </w:rPr>
              <w:t>Number regularised</w:t>
            </w:r>
          </w:p>
        </w:tc>
      </w:tr>
      <w:tr w:rsidR="00000000" w:rsidRPr="00B2051C">
        <w:trPr>
          <w:jc w:val="center"/>
        </w:trPr>
        <w:tc>
          <w:tcPr>
            <w:tcW w:w="2988" w:type="dxa"/>
          </w:tcPr>
          <w:p w:rsidR="000A522F" w:rsidRPr="00B2051C" w:rsidRDefault="000A522F">
            <w:pPr>
              <w:rPr>
                <w:b/>
                <w:sz w:val="22"/>
                <w:szCs w:val="22"/>
              </w:rPr>
            </w:pPr>
            <w:r w:rsidRPr="00B2051C">
              <w:rPr>
                <w:b/>
                <w:sz w:val="22"/>
                <w:szCs w:val="22"/>
              </w:rPr>
              <w:t>1992-93</w:t>
            </w:r>
          </w:p>
        </w:tc>
        <w:tc>
          <w:tcPr>
            <w:tcW w:w="2340" w:type="dxa"/>
          </w:tcPr>
          <w:p w:rsidR="000A522F" w:rsidRPr="00B2051C" w:rsidRDefault="000A522F">
            <w:pPr>
              <w:jc w:val="center"/>
              <w:rPr>
                <w:sz w:val="22"/>
                <w:szCs w:val="22"/>
              </w:rPr>
            </w:pPr>
            <w:r w:rsidRPr="00B2051C">
              <w:rPr>
                <w:sz w:val="22"/>
                <w:szCs w:val="22"/>
              </w:rPr>
              <w:t>80,000</w:t>
            </w:r>
          </w:p>
        </w:tc>
        <w:tc>
          <w:tcPr>
            <w:tcW w:w="2160" w:type="dxa"/>
          </w:tcPr>
          <w:p w:rsidR="000A522F" w:rsidRPr="00B2051C" w:rsidRDefault="000A522F">
            <w:pPr>
              <w:jc w:val="center"/>
              <w:rPr>
                <w:sz w:val="22"/>
                <w:szCs w:val="22"/>
              </w:rPr>
            </w:pPr>
            <w:r w:rsidRPr="00B2051C">
              <w:rPr>
                <w:sz w:val="22"/>
                <w:szCs w:val="22"/>
              </w:rPr>
              <w:t>38,364</w:t>
            </w:r>
          </w:p>
        </w:tc>
      </w:tr>
      <w:tr w:rsidR="00000000" w:rsidRPr="00B2051C">
        <w:trPr>
          <w:jc w:val="center"/>
        </w:trPr>
        <w:tc>
          <w:tcPr>
            <w:tcW w:w="2988" w:type="dxa"/>
          </w:tcPr>
          <w:p w:rsidR="000A522F" w:rsidRPr="00B2051C" w:rsidRDefault="000A522F">
            <w:pPr>
              <w:rPr>
                <w:b/>
                <w:sz w:val="22"/>
                <w:szCs w:val="22"/>
              </w:rPr>
            </w:pPr>
            <w:r w:rsidRPr="00B2051C">
              <w:rPr>
                <w:b/>
                <w:sz w:val="22"/>
                <w:szCs w:val="22"/>
              </w:rPr>
              <w:t>1996</w:t>
            </w:r>
          </w:p>
        </w:tc>
        <w:tc>
          <w:tcPr>
            <w:tcW w:w="2340" w:type="dxa"/>
          </w:tcPr>
          <w:p w:rsidR="000A522F" w:rsidRPr="00B2051C" w:rsidRDefault="000A522F">
            <w:pPr>
              <w:jc w:val="center"/>
              <w:rPr>
                <w:sz w:val="22"/>
                <w:szCs w:val="22"/>
              </w:rPr>
            </w:pPr>
            <w:r w:rsidRPr="00B2051C">
              <w:rPr>
                <w:sz w:val="22"/>
                <w:szCs w:val="22"/>
              </w:rPr>
              <w:t>35,000</w:t>
            </w:r>
          </w:p>
        </w:tc>
        <w:tc>
          <w:tcPr>
            <w:tcW w:w="2160" w:type="dxa"/>
          </w:tcPr>
          <w:p w:rsidR="000A522F" w:rsidRPr="00B2051C" w:rsidRDefault="000A522F">
            <w:pPr>
              <w:jc w:val="center"/>
              <w:rPr>
                <w:sz w:val="22"/>
                <w:szCs w:val="22"/>
              </w:rPr>
            </w:pPr>
            <w:r w:rsidRPr="00B2051C">
              <w:rPr>
                <w:sz w:val="22"/>
                <w:szCs w:val="22"/>
              </w:rPr>
              <w:t>31,000</w:t>
            </w:r>
          </w:p>
        </w:tc>
      </w:tr>
      <w:tr w:rsidR="00000000" w:rsidRPr="00B2051C">
        <w:trPr>
          <w:jc w:val="center"/>
        </w:trPr>
        <w:tc>
          <w:tcPr>
            <w:tcW w:w="2988" w:type="dxa"/>
          </w:tcPr>
          <w:p w:rsidR="000A522F" w:rsidRPr="00B2051C" w:rsidRDefault="000A522F">
            <w:pPr>
              <w:rPr>
                <w:b/>
                <w:sz w:val="22"/>
                <w:szCs w:val="22"/>
              </w:rPr>
            </w:pPr>
            <w:r w:rsidRPr="00B2051C">
              <w:rPr>
                <w:b/>
                <w:sz w:val="22"/>
                <w:szCs w:val="22"/>
              </w:rPr>
              <w:t>2001</w:t>
            </w:r>
          </w:p>
        </w:tc>
        <w:tc>
          <w:tcPr>
            <w:tcW w:w="2340" w:type="dxa"/>
          </w:tcPr>
          <w:p w:rsidR="000A522F" w:rsidRPr="00B2051C" w:rsidRDefault="000A522F">
            <w:pPr>
              <w:jc w:val="center"/>
              <w:rPr>
                <w:sz w:val="22"/>
                <w:szCs w:val="22"/>
              </w:rPr>
            </w:pPr>
          </w:p>
        </w:tc>
        <w:tc>
          <w:tcPr>
            <w:tcW w:w="2160" w:type="dxa"/>
          </w:tcPr>
          <w:p w:rsidR="000A522F" w:rsidRPr="00B2051C" w:rsidRDefault="000A522F">
            <w:pPr>
              <w:jc w:val="center"/>
              <w:rPr>
                <w:sz w:val="22"/>
                <w:szCs w:val="22"/>
              </w:rPr>
            </w:pPr>
            <w:r w:rsidRPr="00B2051C">
              <w:rPr>
                <w:sz w:val="22"/>
                <w:szCs w:val="22"/>
              </w:rPr>
              <w:t>170,000</w:t>
            </w:r>
          </w:p>
        </w:tc>
      </w:tr>
    </w:tbl>
    <w:p w:rsidR="000A522F" w:rsidRPr="00B2051C" w:rsidRDefault="000A522F">
      <w:pPr>
        <w:rPr>
          <w:bCs/>
          <w:sz w:val="18"/>
          <w:szCs w:val="18"/>
        </w:rPr>
      </w:pPr>
      <w:r w:rsidRPr="00B2051C">
        <w:rPr>
          <w:sz w:val="18"/>
          <w:szCs w:val="18"/>
        </w:rPr>
        <w:t xml:space="preserve">Source: </w:t>
      </w:r>
      <w:r w:rsidRPr="00B2051C">
        <w:rPr>
          <w:bCs/>
          <w:sz w:val="18"/>
          <w:szCs w:val="18"/>
        </w:rPr>
        <w:t>The Regularisation of Unauthorized Migrants: Literature Survey and Country Case Studies. Amanda Levinson, Centre on Migration, Policy and Society, University of Oxford 2005.</w:t>
      </w:r>
    </w:p>
    <w:p w:rsidR="000A522F" w:rsidRPr="00B2051C" w:rsidRDefault="000A522F">
      <w:r w:rsidRPr="00B2051C">
        <w:rPr>
          <w:b/>
        </w:rPr>
        <w:t>3,703,845</w:t>
      </w:r>
      <w:r w:rsidRPr="00B2051C">
        <w:t xml:space="preserve"> persons have been regularised in these five EU countries since the early 1980s. This does not necessarily concern an equal number of irregular migrants, as the same person may have been subject to different regularisation procedures (if after a period of time the person has fallen once again in irregularity). Other EU countries have also used regularisations in the past. Regularisation figures point to a fundamental dysfunction in the system for admission of migrants in many EU Member States: Migrants ente</w:t>
      </w:r>
      <w:r w:rsidRPr="00B2051C">
        <w:t>r irregularly to fill the gaps in the labour market because legal ways to do so are very limited and ineffective. Usually, irregular migrants work in the ‘hidden’ economy, as evidenced by the latest Spanish regularisation campaign.</w:t>
      </w:r>
    </w:p>
    <w:p w:rsidR="000A522F" w:rsidRPr="00B2051C" w:rsidRDefault="000A522F">
      <w:r w:rsidRPr="00B2051C">
        <w:t>These are estimates provided by non-official EU sources. The Commission is aware that there is a need for comprehensive and reliable data in the field of immigration and asylum. In order to dispose of comparable and reliable data, and to foster information sharing and policy deba</w:t>
      </w:r>
      <w:r w:rsidRPr="00B2051C">
        <w:t>te within the Member States of the EU in immigration and asylum issues, it has recently put forward in particular two proposals for legislation:</w:t>
      </w:r>
    </w:p>
    <w:p w:rsidR="000A522F" w:rsidRPr="00B2051C" w:rsidRDefault="000A522F">
      <w:pPr>
        <w:pStyle w:val="Numreradlista"/>
        <w:numPr>
          <w:ilvl w:val="0"/>
          <w:numId w:val="36"/>
        </w:numPr>
      </w:pPr>
      <w:r w:rsidRPr="00B2051C">
        <w:t>Proposal for a Council Decision on the establishment of a mutual information procedure concerning Member States’ measures in the areas of asylum and immigration, COM(2005)480 final;</w:t>
      </w:r>
    </w:p>
    <w:p w:rsidR="000A522F" w:rsidRPr="00B2051C" w:rsidRDefault="000A522F">
      <w:pPr>
        <w:pStyle w:val="Numreradlista"/>
        <w:numPr>
          <w:ilvl w:val="0"/>
          <w:numId w:val="36"/>
        </w:numPr>
      </w:pPr>
      <w:r w:rsidRPr="00B2051C">
        <w:t>Proposal for a Regulation of the European Parliament and of the Council on Community statistics on migration and international protection, COM(2005)375 final.</w:t>
      </w:r>
    </w:p>
    <w:p w:rsidR="000A522F" w:rsidRPr="00B2051C" w:rsidRDefault="000A522F"/>
    <w:sectPr w:rsidR="000A522F" w:rsidRPr="00B2051C">
      <w:pgSz w:w="11907" w:h="16839"/>
      <w:pgMar w:top="1134" w:right="1417" w:bottom="1134"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522F" w:rsidRPr="00B2051C" w:rsidRDefault="000A522F">
      <w:r w:rsidRPr="00B2051C">
        <w:separator/>
      </w:r>
    </w:p>
  </w:endnote>
  <w:endnote w:type="continuationSeparator" w:id="0">
    <w:p w:rsidR="000A522F" w:rsidRPr="00B2051C" w:rsidRDefault="000A522F">
      <w:r w:rsidRPr="00B205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22F" w:rsidRPr="00B2051C" w:rsidRDefault="000A522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22F" w:rsidRPr="00B2051C" w:rsidRDefault="000A522F">
    <w:pPr>
      <w:pStyle w:val="FooterConseil"/>
      <w:pBdr>
        <w:bottom w:val="single" w:sz="4" w:space="1" w:color="auto"/>
      </w:pBdr>
      <w:spacing w:after="60"/>
    </w:pPr>
  </w:p>
  <w:p w:rsidR="000A522F" w:rsidRPr="00B2051C" w:rsidRDefault="000A522F">
    <w:pPr>
      <w:pStyle w:val="FooterConseil"/>
    </w:pPr>
    <w:bookmarkStart w:id="13" w:name="CoteFooter"/>
    <w:bookmarkEnd w:id="13"/>
    <w:r w:rsidRPr="00B2051C">
      <w:t xml:space="preserve">5052/06 </w:t>
    </w:r>
    <w:r w:rsidRPr="00B2051C">
      <w:tab/>
    </w:r>
    <w:r w:rsidRPr="00B2051C">
      <w:tab/>
    </w:r>
    <w:bookmarkStart w:id="14" w:name="Init"/>
    <w:bookmarkEnd w:id="14"/>
    <w:r w:rsidRPr="00B2051C">
      <w:t>/mr</w:t>
    </w:r>
    <w:r w:rsidRPr="00B2051C">
      <w:tab/>
    </w:r>
    <w:r w:rsidRPr="00B2051C">
      <w:fldChar w:fldCharType="begin" w:fldLock="1"/>
    </w:r>
    <w:r w:rsidRPr="00B2051C">
      <w:instrText xml:space="preserve"> PAGE </w:instrText>
    </w:r>
    <w:r w:rsidRPr="00B2051C">
      <w:fldChar w:fldCharType="separate"/>
    </w:r>
    <w:r w:rsidRPr="00B2051C">
      <w:t>1</w:t>
    </w:r>
    <w:r w:rsidRPr="00B2051C">
      <w:fldChar w:fldCharType="end"/>
    </w:r>
  </w:p>
  <w:p w:rsidR="000A522F" w:rsidRPr="00B2051C" w:rsidRDefault="000A522F">
    <w:pPr>
      <w:pStyle w:val="FooterConseil"/>
      <w:tabs>
        <w:tab w:val="clear" w:pos="7371"/>
      </w:tabs>
      <w:spacing w:line="280" w:lineRule="exact"/>
      <w:rPr>
        <w:position w:val="-4"/>
      </w:rPr>
    </w:pPr>
    <w:r w:rsidRPr="00B2051C">
      <w:tab/>
    </w:r>
    <w:bookmarkStart w:id="15" w:name="DG"/>
    <w:bookmarkEnd w:id="15"/>
    <w:r w:rsidRPr="00B2051C">
      <w:t>DG H I</w:t>
    </w:r>
    <w:r w:rsidRPr="00B2051C">
      <w:tab/>
    </w:r>
    <w:r w:rsidRPr="00B2051C">
      <w:rPr>
        <w:position w:val="-4"/>
      </w:rPr>
      <w:t> </w:t>
    </w:r>
    <w:bookmarkStart w:id="16" w:name="Langue"/>
    <w:r w:rsidRPr="00B2051C">
      <w:rPr>
        <w:b/>
        <w:position w:val="-4"/>
        <w:sz w:val="36"/>
      </w:rPr>
      <w:t>SV</w:t>
    </w:r>
    <w:bookmarkEnd w:id="1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22F" w:rsidRPr="00B2051C" w:rsidRDefault="000A522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22F" w:rsidRPr="00B2051C" w:rsidRDefault="000A522F">
    <w:pPr>
      <w:pStyle w:val="Sidfot"/>
      <w:rPr>
        <w:rFonts w:ascii="Arial" w:hAnsi="Arial" w:cs="Arial"/>
        <w:b/>
        <w:sz w:val="48"/>
      </w:rPr>
    </w:pPr>
    <w:r w:rsidRPr="00B2051C">
      <w:rPr>
        <w:rFonts w:ascii="Arial" w:hAnsi="Arial" w:cs="Arial"/>
        <w:b/>
        <w:sz w:val="48"/>
      </w:rPr>
      <w:t>SV</w:t>
    </w:r>
    <w:r w:rsidRPr="00B2051C">
      <w:rPr>
        <w:rFonts w:ascii="Arial" w:hAnsi="Arial" w:cs="Arial"/>
        <w:b/>
        <w:sz w:val="48"/>
      </w:rPr>
      <w:tab/>
    </w:r>
    <w:r w:rsidRPr="00B2051C">
      <w:rPr>
        <w:rFonts w:ascii="Arial" w:hAnsi="Arial" w:cs="Arial"/>
        <w:b/>
        <w:sz w:val="48"/>
      </w:rPr>
      <w:tab/>
    </w:r>
    <w:r w:rsidRPr="00B2051C">
      <w:fldChar w:fldCharType="begin" w:fldLock="1"/>
    </w:r>
    <w:r w:rsidRPr="00B2051C">
      <w:instrText xml:space="preserve"> DOCPROPERTY "Classification" \* MERGEFORMAT </w:instrText>
    </w:r>
    <w:r w:rsidRPr="00B2051C">
      <w:fldChar w:fldCharType="separate"/>
    </w:r>
    <w:r w:rsidRPr="00B2051C">
      <w:rPr>
        <w:b/>
        <w:bCs/>
      </w:rPr>
      <w:t>Fel! Okänt namn på dokumen</w:t>
    </w:r>
    <w:r w:rsidRPr="00B2051C">
      <w:rPr>
        <w:b/>
        <w:bCs/>
      </w:rPr>
      <w:t>tegenskap.</w:t>
    </w:r>
    <w:r w:rsidRPr="00B2051C">
      <w:fldChar w:fldCharType="end"/>
    </w:r>
    <w:r w:rsidRPr="00B2051C">
      <w:tab/>
    </w:r>
    <w:r w:rsidRPr="00B2051C">
      <w:rPr>
        <w:rFonts w:ascii="Arial" w:hAnsi="Arial" w:cs="Arial"/>
        <w:b/>
        <w:sz w:val="48"/>
      </w:rPr>
      <w:t>SV</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22F" w:rsidRPr="00B2051C" w:rsidRDefault="000A522F">
    <w:pPr>
      <w:pStyle w:val="Sidfot"/>
      <w:rPr>
        <w:rFonts w:ascii="Arial" w:hAnsi="Arial" w:cs="Arial"/>
        <w:b/>
        <w:sz w:val="48"/>
      </w:rPr>
    </w:pPr>
    <w:r w:rsidRPr="00B2051C">
      <w:rPr>
        <w:rFonts w:ascii="Arial" w:hAnsi="Arial" w:cs="Arial"/>
        <w:b/>
        <w:sz w:val="48"/>
      </w:rPr>
      <w:t>SV</w:t>
    </w:r>
    <w:r w:rsidRPr="00B2051C">
      <w:rPr>
        <w:rFonts w:ascii="Arial" w:hAnsi="Arial" w:cs="Arial"/>
        <w:b/>
        <w:sz w:val="48"/>
      </w:rPr>
      <w:tab/>
    </w:r>
    <w:r w:rsidRPr="00B2051C">
      <w:rPr>
        <w:rFonts w:ascii="Arial" w:hAnsi="Arial" w:cs="Arial"/>
        <w:b/>
        <w:sz w:val="48"/>
      </w:rPr>
      <w:tab/>
    </w:r>
    <w:r w:rsidRPr="00B2051C">
      <w:fldChar w:fldCharType="begin" w:fldLock="1"/>
    </w:r>
    <w:r w:rsidRPr="00B2051C">
      <w:instrText xml:space="preserve"> DOCPROPERTY "Classification" \* MERGEFORMAT </w:instrText>
    </w:r>
    <w:r w:rsidRPr="00B2051C">
      <w:fldChar w:fldCharType="separate"/>
    </w:r>
    <w:r w:rsidRPr="00B2051C">
      <w:rPr>
        <w:b/>
        <w:bCs/>
      </w:rPr>
      <w:t>Fel! Okänt namn på dokumentegenskap.</w:t>
    </w:r>
    <w:r w:rsidRPr="00B2051C">
      <w:fldChar w:fldCharType="end"/>
    </w:r>
    <w:r w:rsidRPr="00B2051C">
      <w:tab/>
    </w:r>
    <w:r w:rsidRPr="00B2051C">
      <w:rPr>
        <w:rFonts w:ascii="Arial" w:hAnsi="Arial" w:cs="Arial"/>
        <w:b/>
        <w:sz w:val="48"/>
      </w:rPr>
      <w:t>SV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22F" w:rsidRPr="00B2051C" w:rsidRDefault="000A522F">
    <w:pPr>
      <w:pStyle w:val="Sidfot"/>
      <w:rPr>
        <w:rFonts w:ascii="Arial" w:hAnsi="Arial" w:cs="Arial"/>
        <w:b/>
        <w:sz w:val="48"/>
      </w:rPr>
    </w:pPr>
    <w:r w:rsidRPr="00B2051C">
      <w:rPr>
        <w:rFonts w:ascii="Arial" w:hAnsi="Arial" w:cs="Arial"/>
        <w:b/>
        <w:sz w:val="48"/>
      </w:rPr>
      <w:t>SV</w:t>
    </w:r>
    <w:r w:rsidRPr="00B2051C">
      <w:rPr>
        <w:rFonts w:ascii="Arial" w:hAnsi="Arial" w:cs="Arial"/>
        <w:b/>
        <w:sz w:val="48"/>
      </w:rPr>
      <w:tab/>
    </w:r>
    <w:r w:rsidRPr="00B2051C">
      <w:fldChar w:fldCharType="begin" w:fldLock="1"/>
    </w:r>
    <w:r w:rsidRPr="00B2051C">
      <w:instrText xml:space="preserve"> PAGE  \* MERGEFORMAT </w:instrText>
    </w:r>
    <w:r w:rsidRPr="00B2051C">
      <w:fldChar w:fldCharType="separate"/>
    </w:r>
    <w:r w:rsidRPr="00B2051C">
      <w:t>28</w:t>
    </w:r>
    <w:r w:rsidRPr="00B2051C">
      <w:fldChar w:fldCharType="end"/>
    </w:r>
    <w:r w:rsidRPr="00B2051C">
      <w:tab/>
    </w:r>
    <w:r w:rsidRPr="00B2051C">
      <w:fldChar w:fldCharType="begin" w:fldLock="1"/>
    </w:r>
    <w:r w:rsidRPr="00B2051C">
      <w:instrText xml:space="preserve"> DOCPROPERTY "Classification" \* MERGEFORMAT </w:instrText>
    </w:r>
    <w:r w:rsidRPr="00B2051C">
      <w:fldChar w:fldCharType="separate"/>
    </w:r>
    <w:r w:rsidRPr="00B2051C">
      <w:rPr>
        <w:b/>
        <w:bCs/>
      </w:rPr>
      <w:t>Fel! Okänt namn på dokumentegenskap.</w:t>
    </w:r>
    <w:r w:rsidRPr="00B2051C">
      <w:fldChar w:fldCharType="end"/>
    </w:r>
    <w:r w:rsidRPr="00B2051C">
      <w:tab/>
    </w:r>
    <w:r w:rsidRPr="00B2051C">
      <w:rPr>
        <w:rFonts w:ascii="Arial" w:hAnsi="Arial" w:cs="Arial"/>
        <w:b/>
        <w:sz w:val="48"/>
      </w:rPr>
      <w:t>SV</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22F" w:rsidRPr="00B2051C" w:rsidRDefault="000A522F">
    <w:pPr>
      <w:pStyle w:val="Sidfot"/>
    </w:pPr>
    <w:r w:rsidRPr="00B2051C">
      <w:t>SV</w:t>
    </w:r>
    <w:r w:rsidRPr="00B2051C">
      <w:tab/>
    </w:r>
    <w:r w:rsidRPr="00B2051C">
      <w:fldChar w:fldCharType="begin" w:fldLock="1"/>
    </w:r>
    <w:r w:rsidRPr="00B2051C">
      <w:instrText xml:space="preserve"> PAGE  \* MERGEFORMAT </w:instrText>
    </w:r>
    <w:r w:rsidRPr="00B2051C">
      <w:fldChar w:fldCharType="separate"/>
    </w:r>
    <w:r w:rsidRPr="00B2051C">
      <w:t>30</w:t>
    </w:r>
    <w:r w:rsidRPr="00B2051C">
      <w:fldChar w:fldCharType="end"/>
    </w:r>
    <w:r w:rsidRPr="00B2051C">
      <w:tab/>
    </w:r>
    <w:r w:rsidRPr="00B2051C">
      <w:fldChar w:fldCharType="begin" w:fldLock="1"/>
    </w:r>
    <w:r w:rsidRPr="00B2051C">
      <w:instrText xml:space="preserve"> DOCPROPERTY "Classification" \* MERGEFORMAT </w:instrText>
    </w:r>
    <w:r w:rsidRPr="00B2051C">
      <w:fldChar w:fldCharType="separate"/>
    </w:r>
    <w:r w:rsidRPr="00B2051C">
      <w:rPr>
        <w:b/>
        <w:bCs/>
      </w:rPr>
      <w:t>Fel! Okänt namn på dokumentegenskap.</w:t>
    </w:r>
    <w:r w:rsidRPr="00B2051C">
      <w:fldChar w:fldCharType="end"/>
    </w:r>
    <w:r w:rsidRPr="00B2051C">
      <w:tab/>
      <w:t>SVSV</w:t>
    </w:r>
    <w:r w:rsidRPr="00B2051C">
      <w:tab/>
    </w:r>
    <w:r w:rsidRPr="00B2051C">
      <w:fldChar w:fldCharType="begin" w:fldLock="1"/>
    </w:r>
    <w:r w:rsidRPr="00B2051C">
      <w:instrText xml:space="preserve"> PAGE  \* MERGEFORMAT </w:instrText>
    </w:r>
    <w:r w:rsidRPr="00B2051C">
      <w:fldChar w:fldCharType="separate"/>
    </w:r>
    <w:r w:rsidRPr="00B2051C">
      <w:t>30</w:t>
    </w:r>
    <w:r w:rsidRPr="00B2051C">
      <w:fldChar w:fldCharType="end"/>
    </w:r>
    <w:r w:rsidRPr="00B2051C">
      <w:tab/>
    </w:r>
    <w:r w:rsidRPr="00B2051C">
      <w:fldChar w:fldCharType="begin" w:fldLock="1"/>
    </w:r>
    <w:r w:rsidRPr="00B2051C">
      <w:instrText xml:space="preserve"> DOCPROPERTY "Classification" \* MERGEFORMAT </w:instrText>
    </w:r>
    <w:r w:rsidRPr="00B2051C">
      <w:fldChar w:fldCharType="separate"/>
    </w:r>
    <w:r w:rsidRPr="00B2051C">
      <w:rPr>
        <w:b/>
        <w:bCs/>
      </w:rPr>
      <w:t>Fel! Okänt namn på dokumentegenskap.</w:t>
    </w:r>
    <w:r w:rsidRPr="00B2051C">
      <w:fldChar w:fldCharType="end"/>
    </w:r>
    <w:r w:rsidRPr="00B2051C">
      <w:tab/>
      <w:t>SVSV</w:t>
    </w:r>
    <w:r w:rsidRPr="00B2051C">
      <w:tab/>
    </w:r>
    <w:r w:rsidRPr="00B2051C">
      <w:fldChar w:fldCharType="begin" w:fldLock="1"/>
    </w:r>
    <w:r w:rsidRPr="00B2051C">
      <w:instrText xml:space="preserve"> PAGE  \* MERGEFORMAT </w:instrText>
    </w:r>
    <w:r w:rsidRPr="00B2051C">
      <w:fldChar w:fldCharType="separate"/>
    </w:r>
    <w:r w:rsidRPr="00B2051C">
      <w:t>0</w:t>
    </w:r>
    <w:r w:rsidRPr="00B2051C">
      <w:fldChar w:fldCharType="end"/>
    </w:r>
    <w:r w:rsidRPr="00B2051C">
      <w:tab/>
    </w:r>
    <w:r w:rsidRPr="00B2051C">
      <w:fldChar w:fldCharType="begin" w:fldLock="1"/>
    </w:r>
    <w:r w:rsidRPr="00B2051C">
      <w:instrText xml:space="preserve"> DOCPROPERTY "Classification" \* MERGEFORMAT </w:instrText>
    </w:r>
    <w:r w:rsidRPr="00B2051C">
      <w:fldChar w:fldCharType="separate"/>
    </w:r>
    <w:r w:rsidRPr="00B2051C">
      <w:rPr>
        <w:b/>
        <w:bCs/>
      </w:rPr>
      <w:t>Fel! Okänt namn på dokumentegenskap.</w:t>
    </w:r>
    <w:r w:rsidRPr="00B2051C">
      <w:fldChar w:fldCharType="end"/>
    </w:r>
    <w:r w:rsidRPr="00B2051C">
      <w:tab/>
      <w:t>SV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522F" w:rsidRPr="00B2051C" w:rsidRDefault="000A522F">
      <w:r w:rsidRPr="00B2051C">
        <w:separator/>
      </w:r>
    </w:p>
  </w:footnote>
  <w:footnote w:type="continuationSeparator" w:id="0">
    <w:p w:rsidR="000A522F" w:rsidRPr="00B2051C" w:rsidRDefault="000A522F">
      <w:r w:rsidRPr="00B2051C">
        <w:continuationSeparator/>
      </w:r>
    </w:p>
  </w:footnote>
  <w:footnote w:id="1">
    <w:p w:rsidR="000A522F" w:rsidRPr="00B2051C" w:rsidRDefault="000A522F">
      <w:pPr>
        <w:pStyle w:val="Fotnotstext"/>
      </w:pPr>
      <w:r w:rsidRPr="00B2051C">
        <w:rPr>
          <w:rStyle w:val="Fotnotsreferens"/>
        </w:rPr>
        <w:footnoteRef/>
      </w:r>
      <w:r w:rsidRPr="00B2051C">
        <w:tab/>
        <w:t>Europeiska rådet slutsatser, bilaga I, avsnitt III 1.4.</w:t>
      </w:r>
    </w:p>
  </w:footnote>
  <w:footnote w:id="2">
    <w:p w:rsidR="000A522F" w:rsidRPr="00B2051C" w:rsidRDefault="000A522F">
      <w:pPr>
        <w:pStyle w:val="Fotnotstext"/>
      </w:pPr>
      <w:r w:rsidRPr="00B2051C">
        <w:rPr>
          <w:rStyle w:val="Fotnotsreferens"/>
        </w:rPr>
        <w:footnoteRef/>
      </w:r>
      <w:r w:rsidRPr="00B2051C">
        <w:tab/>
        <w:t>För närmare uppgifter om alla rättsakter som det hänvisas till i detta dokument, se förteckning.</w:t>
      </w:r>
    </w:p>
  </w:footnote>
  <w:footnote w:id="3">
    <w:p w:rsidR="000A522F" w:rsidRPr="00B2051C" w:rsidRDefault="000A522F">
      <w:pPr>
        <w:pStyle w:val="Fotnotstext"/>
      </w:pPr>
      <w:r w:rsidRPr="00B2051C">
        <w:rPr>
          <w:rStyle w:val="Fotnotsreferens"/>
        </w:rPr>
        <w:footnoteRef/>
      </w:r>
      <w:r w:rsidRPr="00B2051C">
        <w:br/>
      </w:r>
      <w:hyperlink r:id="rId1" w:history="1">
        <w:r w:rsidRPr="00B2051C">
          <w:rPr>
            <w:rStyle w:val="Hyperlnk"/>
            <w:color w:val="auto"/>
            <w:u w:val="none"/>
          </w:rPr>
          <w:t>http://europa.eu.int/comm/justice_home/news/consulting_public/economic_migration/news_contributions_economic_migration_en.htm</w:t>
        </w:r>
      </w:hyperlink>
    </w:p>
  </w:footnote>
  <w:footnote w:id="4">
    <w:p w:rsidR="000A522F" w:rsidRPr="00B2051C" w:rsidRDefault="000A522F">
      <w:pPr>
        <w:pStyle w:val="Fotnotstext"/>
      </w:pPr>
      <w:r w:rsidRPr="00B2051C">
        <w:rPr>
          <w:rStyle w:val="Fotnotsreferens"/>
        </w:rPr>
        <w:footnoteRef/>
      </w:r>
      <w:r w:rsidRPr="00B2051C">
        <w:tab/>
        <w:t>EP: A6-0286/2005, SOC/199 (CESE 694/05 ), ECOS-045.</w:t>
      </w:r>
    </w:p>
  </w:footnote>
  <w:footnote w:id="5">
    <w:p w:rsidR="000A522F" w:rsidRPr="00B2051C" w:rsidRDefault="000A522F">
      <w:pPr>
        <w:pStyle w:val="Fotnotstext"/>
      </w:pPr>
      <w:r w:rsidRPr="00B2051C">
        <w:rPr>
          <w:rStyle w:val="Fotnotsreferens"/>
        </w:rPr>
        <w:footnoteRef/>
      </w:r>
      <w:r w:rsidRPr="00B2051C">
        <w:tab/>
        <w:t>Sedan 1999 har fyra direktiv – baserade på artikel 63.3 och 63.4 i EG-fördraget – med bestämmelser om tillträde till arbete (varaktigt bosatta, familjeåterförening, studerande, forskare) och flera meddelanden antagits.</w:t>
      </w:r>
    </w:p>
  </w:footnote>
  <w:footnote w:id="6">
    <w:p w:rsidR="000A522F" w:rsidRPr="00B2051C" w:rsidRDefault="000A522F">
      <w:pPr>
        <w:pStyle w:val="Fotnotstext"/>
      </w:pPr>
      <w:r w:rsidRPr="00B2051C">
        <w:rPr>
          <w:rStyle w:val="Fotnotsreferens"/>
        </w:rPr>
        <w:footnoteRef/>
      </w:r>
      <w:r w:rsidRPr="00B2051C">
        <w:tab/>
        <w:t>ILO:s rapport för 2004, Världsbankens rapport för 2005, EU:s ekonomiska översikt för 2005.</w:t>
      </w:r>
    </w:p>
  </w:footnote>
  <w:footnote w:id="7">
    <w:p w:rsidR="000A522F" w:rsidRPr="00B2051C" w:rsidRDefault="000A522F">
      <w:pPr>
        <w:pStyle w:val="Fotnotstext"/>
      </w:pPr>
      <w:r w:rsidRPr="00B2051C">
        <w:rPr>
          <w:rStyle w:val="Fotnotsreferens"/>
        </w:rPr>
        <w:footnoteRef/>
      </w:r>
      <w:r w:rsidRPr="00B2051C">
        <w:tab/>
        <w:t>KOM(2005) 525.</w:t>
      </w:r>
    </w:p>
  </w:footnote>
  <w:footnote w:id="8">
    <w:p w:rsidR="000A522F" w:rsidRPr="00B2051C" w:rsidRDefault="000A522F">
      <w:pPr>
        <w:pStyle w:val="Fotnotstext"/>
      </w:pPr>
      <w:r w:rsidRPr="00B2051C">
        <w:rPr>
          <w:rStyle w:val="Fotnotsreferens"/>
        </w:rPr>
        <w:footnoteRef/>
      </w:r>
      <w:r w:rsidRPr="00B2051C">
        <w:tab/>
        <w:t>Eurostats befolkningsprognoser är ett av en rad scenarier för befolkningsutvecklingen som grundar sig på antaganden om födelsetal, dödstal och migration. Utvecklingsscenariot tar inte hänsyn till eventuella framtida åtgärder, som kan komma att påverka de demografiska tendenserna, och omfattar fyra varianter, nämligen: grundvarianten (</w:t>
      </w:r>
      <w:r w:rsidRPr="00B2051C">
        <w:rPr>
          <w:i/>
        </w:rPr>
        <w:t>baseline</w:t>
      </w:r>
      <w:r w:rsidRPr="00B2051C">
        <w:t xml:space="preserve">), vars resultat redovisas här, samt varianterna </w:t>
      </w:r>
      <w:r w:rsidRPr="00B2051C">
        <w:rPr>
          <w:i/>
        </w:rPr>
        <w:t>high population</w:t>
      </w:r>
      <w:r w:rsidRPr="00B2051C">
        <w:t xml:space="preserve">, </w:t>
      </w:r>
      <w:r w:rsidRPr="00B2051C">
        <w:rPr>
          <w:i/>
        </w:rPr>
        <w:t>low population</w:t>
      </w:r>
      <w:r w:rsidRPr="00B2051C">
        <w:t xml:space="preserve"> och </w:t>
      </w:r>
      <w:r w:rsidRPr="00B2051C">
        <w:rPr>
          <w:i/>
        </w:rPr>
        <w:t>zero-migration</w:t>
      </w:r>
      <w:r w:rsidRPr="00B2051C">
        <w:t>. Data från STAT/05/48.</w:t>
      </w:r>
    </w:p>
  </w:footnote>
  <w:footnote w:id="9">
    <w:p w:rsidR="000A522F" w:rsidRPr="00B2051C" w:rsidRDefault="000A522F">
      <w:pPr>
        <w:pStyle w:val="Fotnotstext"/>
      </w:pPr>
      <w:r w:rsidRPr="00B2051C">
        <w:rPr>
          <w:rStyle w:val="Fotnotsreferens"/>
        </w:rPr>
        <w:footnoteRef/>
      </w:r>
      <w:r w:rsidRPr="00B2051C">
        <w:tab/>
        <w:t xml:space="preserve">Arbetslösheten i </w:t>
      </w:r>
      <w:r w:rsidRPr="00B2051C">
        <w:rPr>
          <w:bCs/>
        </w:rPr>
        <w:t>EU25 var, säsongskorrigerat, 8,6 % i september 2005</w:t>
      </w:r>
      <w:r w:rsidRPr="00B2051C">
        <w:t xml:space="preserve"> (samma som i augusti), och varierade i medlemsstaterna mellan 4,3 % (Irland) och 17,7 % (Portugal). I september 2004 var arbetslösheten 9,0 % (Eurostat: 141/2005).</w:t>
      </w:r>
    </w:p>
  </w:footnote>
  <w:footnote w:id="10">
    <w:p w:rsidR="000A522F" w:rsidRPr="00B2051C" w:rsidRDefault="000A522F">
      <w:pPr>
        <w:pStyle w:val="Fotnotstext"/>
      </w:pPr>
      <w:r w:rsidRPr="00B2051C">
        <w:rPr>
          <w:rStyle w:val="Fotnotsreferens"/>
        </w:rPr>
        <w:footnoteRef/>
      </w:r>
      <w:r w:rsidRPr="00B2051C">
        <w:tab/>
        <w:t>Rådets beslut av den 12 juli 2005 om riktlinjer för medlemsstaternas sysselsättningspolitik.</w:t>
      </w:r>
    </w:p>
  </w:footnote>
  <w:footnote w:id="11">
    <w:p w:rsidR="000A522F" w:rsidRPr="00B2051C" w:rsidRDefault="000A522F">
      <w:pPr>
        <w:pStyle w:val="Fotnotstext"/>
      </w:pPr>
      <w:r w:rsidRPr="00B2051C">
        <w:rPr>
          <w:rStyle w:val="Fotnotsreferens"/>
        </w:rPr>
        <w:footnoteRef/>
      </w:r>
      <w:r w:rsidRPr="00B2051C">
        <w:tab/>
      </w:r>
      <w:r w:rsidRPr="00B2051C">
        <w:rPr>
          <w:i/>
        </w:rPr>
        <w:t>Medlemsstaterna tar bara hänsyn till en ansökan om inresa till och vistelse på medlemsstaternas territorium av arbetsmarknadsskäl om det finns lediga platser i en medlemsstat som inte kan besättas av inhemska arbetssökande, arbetssökande från andra medlemsstater eller tredjelandsmedborgare som är lagligt och varaktigt bosatta i den medlemsstaten och redan tillhör medlemsstatens reguljära arbetsmarknad</w:t>
      </w:r>
      <w:r w:rsidRPr="00B2051C">
        <w:t xml:space="preserve"> (rådets resolution av den 20 juni 1994, jämförd med rådets förordning (EEG) nr 1612/1968). Det bör noteras</w:t>
      </w:r>
      <w:r w:rsidRPr="00B2051C">
        <w:t xml:space="preserve"> att anslutningsfördragen av den 16 april 2003 och den 25 april 2005 föreskriver att medborgare i medlemsstaterna skall ha företräde framför tredjelandsmedborgare när det gäller att få tillträde till medlemsstaternas arbetsmarknader.</w:t>
      </w:r>
    </w:p>
  </w:footnote>
  <w:footnote w:id="12">
    <w:p w:rsidR="000A522F" w:rsidRPr="00B2051C" w:rsidRDefault="000A522F">
      <w:pPr>
        <w:pStyle w:val="Fotnotstext"/>
      </w:pPr>
      <w:r w:rsidRPr="00B2051C">
        <w:rPr>
          <w:rStyle w:val="Fotnotsreferens"/>
        </w:rPr>
        <w:footnoteRef/>
      </w:r>
      <w:r w:rsidRPr="00B2051C">
        <w:tab/>
        <w:t>KOM(2005) 642</w:t>
      </w:r>
    </w:p>
  </w:footnote>
  <w:footnote w:id="13">
    <w:p w:rsidR="000A522F" w:rsidRPr="00B2051C" w:rsidRDefault="000A522F">
      <w:pPr>
        <w:pStyle w:val="Fotnotstext"/>
      </w:pPr>
      <w:r w:rsidRPr="00B2051C">
        <w:rPr>
          <w:rStyle w:val="Fotnotsreferens"/>
        </w:rPr>
        <w:footnoteRef/>
      </w:r>
      <w:r w:rsidRPr="00B2051C">
        <w:tab/>
        <w:t xml:space="preserve">Andra än forskare. </w:t>
      </w:r>
    </w:p>
  </w:footnote>
  <w:footnote w:id="14">
    <w:p w:rsidR="000A522F" w:rsidRPr="00B2051C" w:rsidRDefault="000A522F">
      <w:pPr>
        <w:pStyle w:val="Fotnotstext"/>
      </w:pPr>
      <w:r w:rsidRPr="00B2051C">
        <w:rPr>
          <w:rStyle w:val="Fotnotsreferens"/>
        </w:rPr>
        <w:footnoteRef/>
      </w:r>
      <w:r w:rsidRPr="00B2051C">
        <w:tab/>
        <w:t>CARIM 2005-rapporten (s. 21).</w:t>
      </w:r>
    </w:p>
  </w:footnote>
  <w:footnote w:id="15">
    <w:p w:rsidR="000A522F" w:rsidRPr="00B2051C" w:rsidRDefault="000A522F">
      <w:pPr>
        <w:pStyle w:val="Fotnotstext"/>
      </w:pPr>
      <w:r w:rsidRPr="00B2051C">
        <w:rPr>
          <w:rStyle w:val="Fotnotsreferens"/>
        </w:rPr>
        <w:footnoteRef/>
      </w:r>
      <w:r w:rsidRPr="00B2051C">
        <w:tab/>
        <w:t>Se fotnot 1.</w:t>
      </w:r>
    </w:p>
  </w:footnote>
  <w:footnote w:id="16">
    <w:p w:rsidR="000A522F" w:rsidRPr="00B2051C" w:rsidRDefault="000A522F">
      <w:pPr>
        <w:pStyle w:val="Fotnotstext"/>
      </w:pPr>
      <w:r w:rsidRPr="00B2051C">
        <w:rPr>
          <w:rStyle w:val="Fotnotsreferens"/>
        </w:rPr>
        <w:footnoteRef/>
      </w:r>
      <w:r w:rsidRPr="00B2051C">
        <w:tab/>
        <w:t>KOM(2005) 390.</w:t>
      </w:r>
    </w:p>
  </w:footnote>
  <w:footnote w:id="17">
    <w:p w:rsidR="000A522F" w:rsidRPr="00B2051C" w:rsidRDefault="000A522F">
      <w:pPr>
        <w:pStyle w:val="Fotnotstext"/>
      </w:pPr>
      <w:r w:rsidRPr="00B2051C">
        <w:rPr>
          <w:rStyle w:val="Fotnotsreferens"/>
        </w:rPr>
        <w:footnoteRef/>
      </w:r>
      <w:r w:rsidRPr="00B2051C">
        <w:tab/>
        <w:t>Direktiv 2004/114/EG.</w:t>
      </w:r>
    </w:p>
  </w:footnote>
  <w:footnote w:id="18">
    <w:p w:rsidR="000A522F" w:rsidRPr="00B2051C" w:rsidRDefault="000A522F">
      <w:pPr>
        <w:pStyle w:val="Fotnotstext"/>
      </w:pPr>
      <w:r w:rsidRPr="00B2051C">
        <w:rPr>
          <w:rStyle w:val="Fotnotsreferens"/>
        </w:rPr>
        <w:footnoteRef/>
      </w:r>
      <w:r w:rsidRPr="00B2051C">
        <w:tab/>
        <w:t>Bilaga III.</w:t>
      </w:r>
    </w:p>
  </w:footnote>
  <w:footnote w:id="19">
    <w:p w:rsidR="000A522F" w:rsidRPr="00B2051C" w:rsidRDefault="000A522F">
      <w:pPr>
        <w:pStyle w:val="Fotnotstext"/>
      </w:pPr>
      <w:r w:rsidRPr="00B2051C">
        <w:rPr>
          <w:rStyle w:val="Fotnotsreferens"/>
        </w:rPr>
        <w:footnoteRef/>
      </w:r>
      <w:r w:rsidRPr="00B2051C">
        <w:tab/>
      </w:r>
      <w:hyperlink r:id="rId2" w:history="1">
        <w:r w:rsidRPr="00B2051C">
          <w:rPr>
            <w:rStyle w:val="Hyperlnk"/>
            <w:color w:val="auto"/>
          </w:rPr>
          <w:t>http://europa.eu.int/eures</w:t>
        </w:r>
      </w:hyperlink>
    </w:p>
  </w:footnote>
  <w:footnote w:id="20">
    <w:p w:rsidR="000A522F" w:rsidRPr="00B2051C" w:rsidRDefault="000A522F">
      <w:pPr>
        <w:pStyle w:val="Fotnotstext"/>
      </w:pPr>
      <w:r w:rsidRPr="00B2051C">
        <w:rPr>
          <w:rStyle w:val="Fotnotsreferens"/>
        </w:rPr>
        <w:footnoteRef/>
      </w:r>
      <w:r w:rsidRPr="00B2051C">
        <w:tab/>
      </w:r>
      <w:hyperlink r:id="rId3" w:history="1">
        <w:r w:rsidRPr="00B2051C">
          <w:rPr>
            <w:rStyle w:val="Hyperlnk"/>
            <w:color w:val="auto"/>
          </w:rPr>
          <w:t>http://euro</w:t>
        </w:r>
        <w:r w:rsidRPr="00B2051C">
          <w:rPr>
            <w:rStyle w:val="Hyperlnk"/>
            <w:color w:val="auto"/>
          </w:rPr>
          <w:t>pa.eu.int/eracareers</w:t>
        </w:r>
      </w:hyperlink>
    </w:p>
  </w:footnote>
  <w:footnote w:id="21">
    <w:p w:rsidR="000A522F" w:rsidRPr="00B2051C" w:rsidRDefault="000A522F">
      <w:pPr>
        <w:pStyle w:val="Fotnotstext"/>
      </w:pPr>
      <w:r w:rsidRPr="00B2051C">
        <w:rPr>
          <w:rStyle w:val="Fotnotsreferens"/>
        </w:rPr>
        <w:footnoteRef/>
      </w:r>
      <w:r w:rsidRPr="00B2051C">
        <w:tab/>
        <w:t>Europeiska rådet i Laeken.</w:t>
      </w:r>
    </w:p>
  </w:footnote>
  <w:footnote w:id="22">
    <w:p w:rsidR="000A522F" w:rsidRPr="00B2051C" w:rsidRDefault="000A522F">
      <w:pPr>
        <w:pStyle w:val="Fotnotstext"/>
      </w:pPr>
      <w:r w:rsidRPr="00B2051C">
        <w:rPr>
          <w:rStyle w:val="Fotnotsreferens"/>
        </w:rPr>
        <w:footnoteRef/>
      </w:r>
      <w:r w:rsidRPr="00B2051C">
        <w:tab/>
        <w:t>KOM(2005) 606.</w:t>
      </w:r>
    </w:p>
  </w:footnote>
  <w:footnote w:id="23">
    <w:p w:rsidR="000A522F" w:rsidRPr="00B2051C" w:rsidRDefault="000A522F">
      <w:pPr>
        <w:pStyle w:val="Fotnotstext"/>
      </w:pPr>
      <w:r w:rsidRPr="00B2051C">
        <w:rPr>
          <w:rStyle w:val="Fotnotsreferens"/>
        </w:rPr>
        <w:footnoteRef/>
      </w:r>
      <w:r w:rsidRPr="00B2051C">
        <w:tab/>
        <w:t>För närmare detaljer: se KOM(2005) 389.</w:t>
      </w:r>
    </w:p>
  </w:footnote>
  <w:footnote w:id="24">
    <w:p w:rsidR="000A522F" w:rsidRPr="00B2051C" w:rsidRDefault="000A522F">
      <w:pPr>
        <w:pStyle w:val="Fotnotstext"/>
      </w:pPr>
      <w:r w:rsidRPr="00B2051C">
        <w:rPr>
          <w:rStyle w:val="Fotnotsreferens"/>
        </w:rPr>
        <w:footnoteRef/>
      </w:r>
      <w:r w:rsidRPr="00B2051C">
        <w:tab/>
        <w:t>KOM(2005) 597.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22F" w:rsidRPr="00B2051C" w:rsidRDefault="000A522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22F" w:rsidRPr="00B2051C" w:rsidRDefault="000A522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22F" w:rsidRPr="00B2051C" w:rsidRDefault="000A522F">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22F" w:rsidRPr="00B2051C" w:rsidRDefault="000A52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E8E774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14CE6FA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0E3675A0"/>
    <w:lvl w:ilvl="0">
      <w:start w:val="1"/>
      <w:numFmt w:val="decimal"/>
      <w:lvlText w:val="%1."/>
      <w:lvlJc w:val="left"/>
      <w:pPr>
        <w:tabs>
          <w:tab w:val="num" w:pos="643"/>
        </w:tabs>
        <w:ind w:left="643" w:hanging="360"/>
      </w:pPr>
    </w:lvl>
  </w:abstractNum>
  <w:abstractNum w:abstractNumId="3" w15:restartNumberingAfterBreak="0">
    <w:nsid w:val="FFFFFF81"/>
    <w:multiLevelType w:val="singleLevel"/>
    <w:tmpl w:val="1FF44D7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A106C4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2D434A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1EA7E9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722364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AD83282"/>
    <w:multiLevelType w:val="singleLevel"/>
    <w:tmpl w:val="D78A78B8"/>
    <w:name w:val="List Dash"/>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9" w15:restartNumberingAfterBreak="0">
    <w:nsid w:val="0B711121"/>
    <w:multiLevelType w:val="singleLevel"/>
    <w:tmpl w:val="7C1A59A2"/>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11314432"/>
    <w:multiLevelType w:val="multilevel"/>
    <w:tmpl w:val="DFDCA7EA"/>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20A4A8A"/>
    <w:multiLevelType w:val="singleLevel"/>
    <w:tmpl w:val="1D90830A"/>
    <w:name w:val="List Bullet 1"/>
    <w:lvl w:ilvl="0">
      <w:start w:val="1"/>
      <w:numFmt w:val="bullet"/>
      <w:lvlRestart w:val="0"/>
      <w:pStyle w:val="ListBullet1"/>
      <w:lvlText w:val=""/>
      <w:lvlJc w:val="left"/>
      <w:pPr>
        <w:tabs>
          <w:tab w:val="num" w:pos="1134"/>
        </w:tabs>
        <w:ind w:left="1134" w:hanging="283"/>
      </w:pPr>
      <w:rPr>
        <w:rFonts w:ascii="Symbol" w:hAnsi="Symbol"/>
      </w:rPr>
    </w:lvl>
  </w:abstractNum>
  <w:abstractNum w:abstractNumId="12"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3" w15:restartNumberingAfterBreak="0">
    <w:nsid w:val="1A2124A2"/>
    <w:multiLevelType w:val="singleLevel"/>
    <w:tmpl w:val="8ACC16A0"/>
    <w:name w:val="Tiret 0"/>
    <w:lvl w:ilvl="0">
      <w:start w:val="1"/>
      <w:numFmt w:val="bullet"/>
      <w:lvlRestart w:val="0"/>
      <w:pStyle w:val="Tiret0"/>
      <w:lvlText w:val="–"/>
      <w:lvlJc w:val="left"/>
      <w:pPr>
        <w:tabs>
          <w:tab w:val="num" w:pos="850"/>
        </w:tabs>
        <w:ind w:left="850" w:hanging="850"/>
      </w:pPr>
    </w:lvl>
  </w:abstractNum>
  <w:abstractNum w:abstractNumId="14" w15:restartNumberingAfterBreak="0">
    <w:nsid w:val="1A795B9C"/>
    <w:multiLevelType w:val="multilevel"/>
    <w:tmpl w:val="C150C464"/>
    <w:name w:val="Heading"/>
    <w:lvl w:ilvl="0">
      <w:start w:val="1"/>
      <w:numFmt w:val="decimal"/>
      <w:lvlRestart w:val="0"/>
      <w:pStyle w:val="Rubrik1"/>
      <w:lvlText w:val="%1."/>
      <w:lvlJc w:val="left"/>
      <w:pPr>
        <w:tabs>
          <w:tab w:val="num" w:pos="850"/>
        </w:tabs>
        <w:ind w:left="850" w:hanging="850"/>
      </w:pPr>
    </w:lvl>
    <w:lvl w:ilvl="1">
      <w:start w:val="1"/>
      <w:numFmt w:val="decimal"/>
      <w:pStyle w:val="Rubrik2"/>
      <w:lvlText w:val="%1.%2."/>
      <w:lvlJc w:val="left"/>
      <w:pPr>
        <w:tabs>
          <w:tab w:val="num" w:pos="850"/>
        </w:tabs>
        <w:ind w:left="850" w:hanging="850"/>
      </w:pPr>
    </w:lvl>
    <w:lvl w:ilvl="2">
      <w:start w:val="1"/>
      <w:numFmt w:val="decimal"/>
      <w:pStyle w:val="Rubrik3"/>
      <w:lvlText w:val="%1.%2.%3."/>
      <w:lvlJc w:val="left"/>
      <w:pPr>
        <w:tabs>
          <w:tab w:val="num" w:pos="850"/>
        </w:tabs>
        <w:ind w:left="850" w:hanging="850"/>
      </w:pPr>
    </w:lvl>
    <w:lvl w:ilvl="3">
      <w:start w:val="1"/>
      <w:numFmt w:val="decimal"/>
      <w:pStyle w:val="Rubri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B02CCE"/>
    <w:multiLevelType w:val="multilevel"/>
    <w:tmpl w:val="DD42EC7C"/>
    <w:lvl w:ilvl="0">
      <w:start w:val="1"/>
      <w:numFmt w:val="decimal"/>
      <w:lvlRestart w:val="0"/>
      <w:lvlText w:val="(%1)"/>
      <w:lvlJc w:val="left"/>
      <w:pPr>
        <w:tabs>
          <w:tab w:val="num" w:pos="709"/>
        </w:tabs>
        <w:ind w:left="709" w:hanging="709"/>
      </w:pPr>
      <w:rPr>
        <w:b w:val="0"/>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EE60B6F"/>
    <w:multiLevelType w:val="singleLevel"/>
    <w:tmpl w:val="23A01D6C"/>
    <w:name w:val="List Dash 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17" w15:restartNumberingAfterBreak="0">
    <w:nsid w:val="253A640B"/>
    <w:multiLevelType w:val="multilevel"/>
    <w:tmpl w:val="A6360750"/>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760572C"/>
    <w:multiLevelType w:val="multilevel"/>
    <w:tmpl w:val="BE7652B8"/>
    <w:name w:val="List Number 4"/>
    <w:lvl w:ilvl="0">
      <w:start w:val="1"/>
      <w:numFmt w:val="decimal"/>
      <w:lvlRestart w:val="0"/>
      <w:pStyle w:val="Numreradlist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8E768CC"/>
    <w:multiLevelType w:val="singleLevel"/>
    <w:tmpl w:val="18F60124"/>
    <w:name w:val="Tiret 3"/>
    <w:lvl w:ilvl="0">
      <w:start w:val="1"/>
      <w:numFmt w:val="bullet"/>
      <w:lvlRestart w:val="0"/>
      <w:pStyle w:val="Tiret3"/>
      <w:lvlText w:val="–"/>
      <w:lvlJc w:val="left"/>
      <w:pPr>
        <w:tabs>
          <w:tab w:val="num" w:pos="2551"/>
        </w:tabs>
        <w:ind w:left="2551" w:hanging="567"/>
      </w:pPr>
    </w:lvl>
  </w:abstractNum>
  <w:abstractNum w:abstractNumId="20" w15:restartNumberingAfterBreak="0">
    <w:nsid w:val="3B4D28FA"/>
    <w:multiLevelType w:val="singleLevel"/>
    <w:tmpl w:val="AB185176"/>
    <w:name w:val="List Bullet 3"/>
    <w:lvl w:ilvl="0">
      <w:start w:val="1"/>
      <w:numFmt w:val="bullet"/>
      <w:lvlRestart w:val="0"/>
      <w:pStyle w:val="Punktlista3"/>
      <w:lvlText w:val=""/>
      <w:lvlJc w:val="left"/>
      <w:pPr>
        <w:tabs>
          <w:tab w:val="num" w:pos="1134"/>
        </w:tabs>
        <w:ind w:left="1134" w:hanging="283"/>
      </w:pPr>
      <w:rPr>
        <w:rFonts w:ascii="Symbol" w:hAnsi="Symbol"/>
      </w:rPr>
    </w:lvl>
  </w:abstractNum>
  <w:abstractNum w:abstractNumId="21" w15:restartNumberingAfterBreak="0">
    <w:nsid w:val="40221DAD"/>
    <w:multiLevelType w:val="singleLevel"/>
    <w:tmpl w:val="DB4CA1B0"/>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40BE6F2C"/>
    <w:multiLevelType w:val="singleLevel"/>
    <w:tmpl w:val="CB02C978"/>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FCF6C07"/>
    <w:multiLevelType w:val="singleLevel"/>
    <w:tmpl w:val="0468786C"/>
    <w:name w:val="List Dash 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24" w15:restartNumberingAfterBreak="0">
    <w:nsid w:val="545211D6"/>
    <w:multiLevelType w:val="singleLevel"/>
    <w:tmpl w:val="8EB40E6E"/>
    <w:name w:val="List Bullet 4"/>
    <w:lvl w:ilvl="0">
      <w:start w:val="1"/>
      <w:numFmt w:val="bullet"/>
      <w:lvlRestart w:val="0"/>
      <w:pStyle w:val="Punktlista4"/>
      <w:lvlText w:val=""/>
      <w:lvlJc w:val="left"/>
      <w:pPr>
        <w:tabs>
          <w:tab w:val="num" w:pos="1134"/>
        </w:tabs>
        <w:ind w:left="1134" w:hanging="283"/>
      </w:pPr>
      <w:rPr>
        <w:rFonts w:ascii="Symbol" w:hAnsi="Symbol"/>
      </w:rPr>
    </w:lvl>
  </w:abstractNum>
  <w:abstractNum w:abstractNumId="25" w15:restartNumberingAfterBreak="0">
    <w:nsid w:val="56124702"/>
    <w:multiLevelType w:val="singleLevel"/>
    <w:tmpl w:val="A484CB5E"/>
    <w:name w:val="List Bullet 2"/>
    <w:lvl w:ilvl="0">
      <w:start w:val="1"/>
      <w:numFmt w:val="bullet"/>
      <w:lvlRestart w:val="0"/>
      <w:pStyle w:val="Punktlista2"/>
      <w:lvlText w:val=""/>
      <w:lvlJc w:val="left"/>
      <w:pPr>
        <w:tabs>
          <w:tab w:val="num" w:pos="1134"/>
        </w:tabs>
        <w:ind w:left="1134" w:hanging="283"/>
      </w:pPr>
      <w:rPr>
        <w:rFonts w:ascii="Symbol" w:hAnsi="Symbol"/>
      </w:rPr>
    </w:lvl>
  </w:abstractNum>
  <w:abstractNum w:abstractNumId="26" w15:restartNumberingAfterBreak="0">
    <w:nsid w:val="56E84E82"/>
    <w:multiLevelType w:val="hybridMultilevel"/>
    <w:tmpl w:val="A9CEDC26"/>
    <w:lvl w:ilvl="0" w:tplc="0809000F">
      <w:start w:val="1"/>
      <w:numFmt w:val="decimal"/>
      <w:lvlText w:val="%1."/>
      <w:lvlJc w:val="left"/>
      <w:pPr>
        <w:tabs>
          <w:tab w:val="num" w:pos="720"/>
        </w:tabs>
        <w:ind w:left="720" w:hanging="360"/>
      </w:pPr>
      <w:rPr>
        <w:rFonts w:hint="default"/>
      </w:rPr>
    </w:lvl>
    <w:lvl w:ilvl="1" w:tplc="25AA6054">
      <w:start w:val="12"/>
      <w:numFmt w:val="decimal"/>
      <w:lvlText w:val="%2."/>
      <w:lvlJc w:val="left"/>
      <w:pPr>
        <w:tabs>
          <w:tab w:val="num" w:pos="1077"/>
        </w:tabs>
        <w:ind w:left="1077" w:firstLine="3"/>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24249CB"/>
    <w:multiLevelType w:val="singleLevel"/>
    <w:tmpl w:val="3094F9DE"/>
    <w:name w:val="List Dash 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8" w15:restartNumberingAfterBreak="0">
    <w:nsid w:val="65BE6E95"/>
    <w:multiLevelType w:val="singleLevel"/>
    <w:tmpl w:val="A4C47154"/>
    <w:name w:val="List Bullet"/>
    <w:lvl w:ilvl="0">
      <w:start w:val="1"/>
      <w:numFmt w:val="bullet"/>
      <w:lvlRestart w:val="0"/>
      <w:pStyle w:val="Punktlista"/>
      <w:lvlText w:val=""/>
      <w:lvlJc w:val="left"/>
      <w:pPr>
        <w:tabs>
          <w:tab w:val="num" w:pos="283"/>
        </w:tabs>
        <w:ind w:left="283" w:hanging="283"/>
      </w:pPr>
      <w:rPr>
        <w:rFonts w:ascii="Symbol" w:hAnsi="Symbol"/>
      </w:rPr>
    </w:lvl>
  </w:abstractNum>
  <w:abstractNum w:abstractNumId="29" w15:restartNumberingAfterBreak="0">
    <w:nsid w:val="677F2E13"/>
    <w:multiLevelType w:val="hybridMultilevel"/>
    <w:tmpl w:val="A128EAD2"/>
    <w:lvl w:ilvl="0" w:tplc="F1ACEF80">
      <w:start w:val="1"/>
      <w:numFmt w:val="bullet"/>
      <w:lvlText w:val=""/>
      <w:lvlJc w:val="left"/>
      <w:pPr>
        <w:tabs>
          <w:tab w:val="num" w:pos="700"/>
        </w:tabs>
        <w:ind w:left="700" w:hanging="340"/>
      </w:pPr>
      <w:rPr>
        <w:rFonts w:ascii="Wingdings" w:hAnsi="Wingdings" w:hint="default"/>
      </w:rPr>
    </w:lvl>
    <w:lvl w:ilvl="1" w:tplc="F1ACEF80">
      <w:start w:val="1"/>
      <w:numFmt w:val="bullet"/>
      <w:lvlText w:val=""/>
      <w:lvlJc w:val="left"/>
      <w:pPr>
        <w:tabs>
          <w:tab w:val="num" w:pos="1420"/>
        </w:tabs>
        <w:ind w:left="1420" w:hanging="34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CA65B4F"/>
    <w:multiLevelType w:val="singleLevel"/>
    <w:tmpl w:val="4DA63B84"/>
    <w:name w:val="Considérant"/>
    <w:lvl w:ilvl="0">
      <w:start w:val="1"/>
      <w:numFmt w:val="decimal"/>
      <w:lvlRestart w:val="0"/>
      <w:pStyle w:val="Considrant"/>
      <w:lvlText w:val="(%1)"/>
      <w:lvlJc w:val="left"/>
      <w:pPr>
        <w:tabs>
          <w:tab w:val="num" w:pos="709"/>
        </w:tabs>
        <w:ind w:left="709" w:hanging="709"/>
      </w:pPr>
    </w:lvl>
  </w:abstractNum>
  <w:abstractNum w:abstractNumId="31" w15:restartNumberingAfterBreak="0">
    <w:nsid w:val="6DEC53DC"/>
    <w:multiLevelType w:val="multilevel"/>
    <w:tmpl w:val="BC5A39B4"/>
    <w:name w:val="List Number 2"/>
    <w:lvl w:ilvl="0">
      <w:start w:val="1"/>
      <w:numFmt w:val="decimal"/>
      <w:lvlRestart w:val="0"/>
      <w:pStyle w:val="Numreradlist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2865CB1"/>
    <w:multiLevelType w:val="multilevel"/>
    <w:tmpl w:val="B4E66FA0"/>
    <w:name w:val="List Number 1"/>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B06552D"/>
    <w:multiLevelType w:val="multilevel"/>
    <w:tmpl w:val="B7105056"/>
    <w:name w:val="List Number 3"/>
    <w:lvl w:ilvl="0">
      <w:start w:val="1"/>
      <w:numFmt w:val="decimal"/>
      <w:lvlRestart w:val="0"/>
      <w:pStyle w:val="Numreradlist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219242">
    <w:abstractNumId w:val="7"/>
  </w:num>
  <w:num w:numId="2" w16cid:durableId="159976976">
    <w:abstractNumId w:val="5"/>
  </w:num>
  <w:num w:numId="3" w16cid:durableId="665979435">
    <w:abstractNumId w:val="4"/>
  </w:num>
  <w:num w:numId="4" w16cid:durableId="859508194">
    <w:abstractNumId w:val="3"/>
  </w:num>
  <w:num w:numId="5" w16cid:durableId="1538663367">
    <w:abstractNumId w:val="6"/>
  </w:num>
  <w:num w:numId="6" w16cid:durableId="1125657726">
    <w:abstractNumId w:val="2"/>
  </w:num>
  <w:num w:numId="7" w16cid:durableId="642537508">
    <w:abstractNumId w:val="1"/>
  </w:num>
  <w:num w:numId="8" w16cid:durableId="936061441">
    <w:abstractNumId w:val="0"/>
  </w:num>
  <w:num w:numId="9" w16cid:durableId="801964345">
    <w:abstractNumId w:val="13"/>
  </w:num>
  <w:num w:numId="10" w16cid:durableId="240526379">
    <w:abstractNumId w:val="22"/>
  </w:num>
  <w:num w:numId="11" w16cid:durableId="1303273065">
    <w:abstractNumId w:val="21"/>
  </w:num>
  <w:num w:numId="12" w16cid:durableId="854611299">
    <w:abstractNumId w:val="19"/>
  </w:num>
  <w:num w:numId="13" w16cid:durableId="2092045889">
    <w:abstractNumId w:val="9"/>
  </w:num>
  <w:num w:numId="14" w16cid:durableId="2109956925">
    <w:abstractNumId w:val="10"/>
  </w:num>
  <w:num w:numId="15" w16cid:durableId="1971550427">
    <w:abstractNumId w:val="14"/>
  </w:num>
  <w:num w:numId="16" w16cid:durableId="846094395">
    <w:abstractNumId w:val="28"/>
  </w:num>
  <w:num w:numId="17" w16cid:durableId="1888058688">
    <w:abstractNumId w:val="11"/>
  </w:num>
  <w:num w:numId="18" w16cid:durableId="1260412238">
    <w:abstractNumId w:val="25"/>
  </w:num>
  <w:num w:numId="19" w16cid:durableId="985354062">
    <w:abstractNumId w:val="20"/>
  </w:num>
  <w:num w:numId="20" w16cid:durableId="837580986">
    <w:abstractNumId w:val="24"/>
  </w:num>
  <w:num w:numId="21" w16cid:durableId="1206716234">
    <w:abstractNumId w:val="8"/>
  </w:num>
  <w:num w:numId="22" w16cid:durableId="1179737349">
    <w:abstractNumId w:val="27"/>
  </w:num>
  <w:num w:numId="23" w16cid:durableId="1382365847">
    <w:abstractNumId w:val="16"/>
  </w:num>
  <w:num w:numId="24" w16cid:durableId="41175329">
    <w:abstractNumId w:val="12"/>
  </w:num>
  <w:num w:numId="25" w16cid:durableId="844395545">
    <w:abstractNumId w:val="23"/>
  </w:num>
  <w:num w:numId="26" w16cid:durableId="867522542">
    <w:abstractNumId w:val="15"/>
  </w:num>
  <w:num w:numId="27" w16cid:durableId="335304996">
    <w:abstractNumId w:val="32"/>
  </w:num>
  <w:num w:numId="28" w16cid:durableId="32581263">
    <w:abstractNumId w:val="31"/>
  </w:num>
  <w:num w:numId="29" w16cid:durableId="2010864375">
    <w:abstractNumId w:val="33"/>
  </w:num>
  <w:num w:numId="30" w16cid:durableId="121967910">
    <w:abstractNumId w:val="18"/>
  </w:num>
  <w:num w:numId="31" w16cid:durableId="96489985">
    <w:abstractNumId w:val="30"/>
  </w:num>
  <w:num w:numId="32" w16cid:durableId="835387425">
    <w:abstractNumId w:val="29"/>
  </w:num>
  <w:num w:numId="33" w16cid:durableId="356665393">
    <w:abstractNumId w:val="26"/>
  </w:num>
  <w:num w:numId="34" w16cid:durableId="14554428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50430394">
    <w:abstractNumId w:val="17"/>
  </w:num>
  <w:num w:numId="36" w16cid:durableId="19009421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9E"/>
    <w:rsid w:val="000A522F"/>
    <w:rsid w:val="000D389E"/>
    <w:rsid w:val="00B2051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18C9E1-A6E9-4061-98E7-6855B330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sv-SE" w:eastAsia="en-US"/>
    </w:rPr>
  </w:style>
  <w:style w:type="paragraph" w:styleId="Rubrik1">
    <w:name w:val="heading 1"/>
    <w:basedOn w:val="Normal"/>
    <w:next w:val="Text1"/>
    <w:qFormat/>
    <w:pPr>
      <w:keepNext/>
      <w:numPr>
        <w:numId w:val="15"/>
      </w:numPr>
      <w:spacing w:before="360" w:after="120"/>
      <w:jc w:val="both"/>
      <w:outlineLvl w:val="0"/>
    </w:pPr>
    <w:rPr>
      <w:b/>
      <w:smallCaps/>
      <w:szCs w:val="20"/>
      <w:lang w:eastAsia="en-GB"/>
    </w:rPr>
  </w:style>
  <w:style w:type="paragraph" w:styleId="Rubrik2">
    <w:name w:val="heading 2"/>
    <w:basedOn w:val="Normal"/>
    <w:next w:val="Text2"/>
    <w:qFormat/>
    <w:pPr>
      <w:keepNext/>
      <w:numPr>
        <w:ilvl w:val="1"/>
        <w:numId w:val="15"/>
      </w:numPr>
      <w:spacing w:before="120" w:after="120"/>
      <w:jc w:val="both"/>
      <w:outlineLvl w:val="1"/>
    </w:pPr>
    <w:rPr>
      <w:b/>
      <w:szCs w:val="20"/>
      <w:lang w:eastAsia="en-GB"/>
    </w:rPr>
  </w:style>
  <w:style w:type="paragraph" w:styleId="Rubrik3">
    <w:name w:val="heading 3"/>
    <w:basedOn w:val="Normal"/>
    <w:next w:val="Text3"/>
    <w:qFormat/>
    <w:pPr>
      <w:keepNext/>
      <w:numPr>
        <w:ilvl w:val="2"/>
        <w:numId w:val="15"/>
      </w:numPr>
      <w:spacing w:before="120" w:after="120"/>
      <w:jc w:val="both"/>
      <w:outlineLvl w:val="2"/>
    </w:pPr>
    <w:rPr>
      <w:i/>
      <w:szCs w:val="20"/>
      <w:lang w:eastAsia="en-GB"/>
    </w:rPr>
  </w:style>
  <w:style w:type="paragraph" w:styleId="Rubrik4">
    <w:name w:val="heading 4"/>
    <w:basedOn w:val="Normal"/>
    <w:next w:val="Text4"/>
    <w:qFormat/>
    <w:pPr>
      <w:keepNext/>
      <w:numPr>
        <w:ilvl w:val="3"/>
        <w:numId w:val="15"/>
      </w:numPr>
      <w:spacing w:before="120" w:after="120"/>
      <w:jc w:val="both"/>
      <w:outlineLvl w:val="3"/>
    </w:pPr>
    <w:rPr>
      <w:szCs w:val="20"/>
      <w:lang w:eastAsia="en-G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ext1">
    <w:name w:val="Text 1"/>
    <w:basedOn w:val="Normal"/>
    <w:pPr>
      <w:spacing w:before="120" w:after="120"/>
      <w:ind w:left="850"/>
      <w:jc w:val="both"/>
    </w:pPr>
    <w:rPr>
      <w:szCs w:val="20"/>
      <w:lang w:eastAsia="en-GB"/>
    </w:rPr>
  </w:style>
  <w:style w:type="paragraph" w:customStyle="1" w:styleId="Text2">
    <w:name w:val="Text 2"/>
    <w:basedOn w:val="Normal"/>
    <w:pPr>
      <w:spacing w:before="120" w:after="120"/>
      <w:ind w:left="850"/>
      <w:jc w:val="both"/>
    </w:pPr>
    <w:rPr>
      <w:szCs w:val="20"/>
      <w:lang w:eastAsia="en-GB"/>
    </w:rPr>
  </w:style>
  <w:style w:type="paragraph" w:customStyle="1" w:styleId="Text3">
    <w:name w:val="Text 3"/>
    <w:basedOn w:val="Normal"/>
    <w:pPr>
      <w:spacing w:before="120" w:after="120"/>
      <w:ind w:left="850"/>
      <w:jc w:val="both"/>
    </w:pPr>
    <w:rPr>
      <w:szCs w:val="20"/>
      <w:lang w:eastAsia="en-GB"/>
    </w:rPr>
  </w:style>
  <w:style w:type="paragraph" w:customStyle="1" w:styleId="Text4">
    <w:name w:val="Text 4"/>
    <w:basedOn w:val="Normal"/>
    <w:pPr>
      <w:spacing w:before="120" w:after="120"/>
      <w:ind w:left="850"/>
      <w:jc w:val="both"/>
    </w:pPr>
    <w:rPr>
      <w:szCs w:val="20"/>
      <w:lang w:eastAsia="en-GB"/>
    </w:rPr>
  </w:style>
  <w:style w:type="paragraph" w:customStyle="1" w:styleId="Tiret0">
    <w:name w:val="Tiret 0"/>
    <w:basedOn w:val="Point0"/>
    <w:pPr>
      <w:numPr>
        <w:numId w:val="9"/>
      </w:numPr>
    </w:pPr>
  </w:style>
  <w:style w:type="paragraph" w:customStyle="1" w:styleId="Point0">
    <w:name w:val="Point 0"/>
    <w:basedOn w:val="Normal"/>
    <w:pPr>
      <w:spacing w:before="120" w:after="120"/>
      <w:ind w:left="850" w:hanging="850"/>
      <w:jc w:val="both"/>
    </w:pPr>
    <w:rPr>
      <w:szCs w:val="20"/>
      <w:lang w:eastAsia="en-GB"/>
    </w:rPr>
  </w:style>
  <w:style w:type="paragraph" w:customStyle="1" w:styleId="Tiret1">
    <w:name w:val="Tiret 1"/>
    <w:basedOn w:val="Point1"/>
    <w:pPr>
      <w:numPr>
        <w:numId w:val="10"/>
      </w:numPr>
    </w:pPr>
  </w:style>
  <w:style w:type="paragraph" w:customStyle="1" w:styleId="Point1">
    <w:name w:val="Point 1"/>
    <w:basedOn w:val="Normal"/>
    <w:pPr>
      <w:spacing w:before="120" w:after="120"/>
      <w:ind w:left="1417" w:hanging="567"/>
      <w:jc w:val="both"/>
    </w:pPr>
    <w:rPr>
      <w:szCs w:val="20"/>
      <w:lang w:eastAsia="en-GB"/>
    </w:rPr>
  </w:style>
  <w:style w:type="paragraph" w:customStyle="1" w:styleId="Tiret2">
    <w:name w:val="Tiret 2"/>
    <w:basedOn w:val="Point2"/>
    <w:pPr>
      <w:numPr>
        <w:numId w:val="11"/>
      </w:numPr>
    </w:pPr>
  </w:style>
  <w:style w:type="paragraph" w:customStyle="1" w:styleId="Point2">
    <w:name w:val="Point 2"/>
    <w:basedOn w:val="Normal"/>
    <w:pPr>
      <w:spacing w:before="120" w:after="120"/>
      <w:ind w:left="1984" w:hanging="567"/>
      <w:jc w:val="both"/>
    </w:pPr>
    <w:rPr>
      <w:szCs w:val="20"/>
      <w:lang w:eastAsia="en-GB"/>
    </w:rPr>
  </w:style>
  <w:style w:type="paragraph" w:customStyle="1" w:styleId="Tiret3">
    <w:name w:val="Tiret 3"/>
    <w:basedOn w:val="Point3"/>
    <w:pPr>
      <w:numPr>
        <w:numId w:val="12"/>
      </w:numPr>
    </w:pPr>
  </w:style>
  <w:style w:type="paragraph" w:customStyle="1" w:styleId="Point3">
    <w:name w:val="Point 3"/>
    <w:basedOn w:val="Normal"/>
    <w:pPr>
      <w:spacing w:before="120" w:after="120"/>
      <w:ind w:left="2551" w:hanging="567"/>
      <w:jc w:val="both"/>
    </w:pPr>
    <w:rPr>
      <w:szCs w:val="20"/>
      <w:lang w:eastAsia="en-GB"/>
    </w:rPr>
  </w:style>
  <w:style w:type="paragraph" w:customStyle="1" w:styleId="Tiret4">
    <w:name w:val="Tiret 4"/>
    <w:basedOn w:val="Point4"/>
    <w:pPr>
      <w:numPr>
        <w:numId w:val="13"/>
      </w:numPr>
    </w:pPr>
  </w:style>
  <w:style w:type="paragraph" w:customStyle="1" w:styleId="Point4">
    <w:name w:val="Point 4"/>
    <w:basedOn w:val="Normal"/>
    <w:pPr>
      <w:spacing w:before="120" w:after="120"/>
      <w:ind w:left="3118" w:hanging="567"/>
      <w:jc w:val="both"/>
    </w:pPr>
    <w:rPr>
      <w:szCs w:val="20"/>
      <w:lang w:eastAsia="en-GB"/>
    </w:rPr>
  </w:style>
  <w:style w:type="paragraph" w:customStyle="1" w:styleId="NumPar1">
    <w:name w:val="NumPar 1"/>
    <w:basedOn w:val="Normal"/>
    <w:next w:val="Text1"/>
    <w:pPr>
      <w:numPr>
        <w:numId w:val="14"/>
      </w:numPr>
      <w:spacing w:before="120" w:after="120"/>
      <w:jc w:val="both"/>
    </w:pPr>
    <w:rPr>
      <w:szCs w:val="20"/>
      <w:lang w:eastAsia="en-GB"/>
    </w:rPr>
  </w:style>
  <w:style w:type="paragraph" w:customStyle="1" w:styleId="NumPar2">
    <w:name w:val="NumPar 2"/>
    <w:basedOn w:val="Normal"/>
    <w:next w:val="Text2"/>
    <w:pPr>
      <w:numPr>
        <w:ilvl w:val="1"/>
        <w:numId w:val="14"/>
      </w:numPr>
      <w:spacing w:before="120" w:after="120"/>
      <w:jc w:val="both"/>
    </w:pPr>
    <w:rPr>
      <w:szCs w:val="20"/>
      <w:lang w:eastAsia="en-GB"/>
    </w:rPr>
  </w:style>
  <w:style w:type="paragraph" w:customStyle="1" w:styleId="NumPar3">
    <w:name w:val="NumPar 3"/>
    <w:basedOn w:val="Normal"/>
    <w:next w:val="Text3"/>
    <w:pPr>
      <w:numPr>
        <w:ilvl w:val="2"/>
        <w:numId w:val="14"/>
      </w:numPr>
      <w:spacing w:before="120" w:after="120"/>
      <w:jc w:val="both"/>
    </w:pPr>
    <w:rPr>
      <w:szCs w:val="20"/>
      <w:lang w:eastAsia="en-GB"/>
    </w:rPr>
  </w:style>
  <w:style w:type="paragraph" w:customStyle="1" w:styleId="NumPar4">
    <w:name w:val="NumPar 4"/>
    <w:basedOn w:val="Normal"/>
    <w:next w:val="Text4"/>
    <w:pPr>
      <w:numPr>
        <w:ilvl w:val="3"/>
        <w:numId w:val="14"/>
      </w:numPr>
      <w:spacing w:before="120" w:after="120"/>
      <w:jc w:val="both"/>
    </w:pPr>
    <w:rPr>
      <w:szCs w:val="20"/>
      <w:lang w:eastAsia="en-GB"/>
    </w:rPr>
  </w:style>
  <w:style w:type="paragraph" w:styleId="Punktlista">
    <w:name w:val="List Bullet"/>
    <w:basedOn w:val="Normal"/>
    <w:semiHidden/>
    <w:pPr>
      <w:numPr>
        <w:numId w:val="16"/>
      </w:numPr>
      <w:spacing w:before="120" w:after="120"/>
      <w:jc w:val="both"/>
    </w:pPr>
    <w:rPr>
      <w:szCs w:val="20"/>
      <w:lang w:eastAsia="en-GB"/>
    </w:rPr>
  </w:style>
  <w:style w:type="paragraph" w:customStyle="1" w:styleId="ListBullet1">
    <w:name w:val="List Bullet 1"/>
    <w:basedOn w:val="Normal"/>
    <w:pPr>
      <w:numPr>
        <w:numId w:val="17"/>
      </w:numPr>
      <w:spacing w:before="120" w:after="120"/>
      <w:jc w:val="both"/>
    </w:pPr>
    <w:rPr>
      <w:szCs w:val="20"/>
      <w:lang w:eastAsia="en-GB"/>
    </w:rPr>
  </w:style>
  <w:style w:type="paragraph" w:styleId="Punktlista2">
    <w:name w:val="List Bullet 2"/>
    <w:basedOn w:val="Normal"/>
    <w:semiHidden/>
    <w:pPr>
      <w:numPr>
        <w:numId w:val="18"/>
      </w:numPr>
      <w:spacing w:before="120" w:after="120"/>
      <w:jc w:val="both"/>
    </w:pPr>
    <w:rPr>
      <w:szCs w:val="20"/>
      <w:lang w:eastAsia="en-GB"/>
    </w:rPr>
  </w:style>
  <w:style w:type="paragraph" w:styleId="Punktlista3">
    <w:name w:val="List Bullet 3"/>
    <w:basedOn w:val="Normal"/>
    <w:semiHidden/>
    <w:pPr>
      <w:numPr>
        <w:numId w:val="19"/>
      </w:numPr>
      <w:spacing w:before="120" w:after="120"/>
      <w:jc w:val="both"/>
    </w:pPr>
    <w:rPr>
      <w:szCs w:val="20"/>
      <w:lang w:eastAsia="en-GB"/>
    </w:rPr>
  </w:style>
  <w:style w:type="paragraph" w:styleId="Punktlista4">
    <w:name w:val="List Bullet 4"/>
    <w:basedOn w:val="Normal"/>
    <w:semiHidden/>
    <w:pPr>
      <w:numPr>
        <w:numId w:val="20"/>
      </w:numPr>
      <w:spacing w:before="120" w:after="120"/>
      <w:jc w:val="both"/>
    </w:pPr>
    <w:rPr>
      <w:szCs w:val="20"/>
      <w:lang w:eastAsia="en-GB"/>
    </w:rPr>
  </w:style>
  <w:style w:type="paragraph" w:customStyle="1" w:styleId="ListDash">
    <w:name w:val="List Dash"/>
    <w:basedOn w:val="Normal"/>
    <w:pPr>
      <w:numPr>
        <w:numId w:val="21"/>
      </w:numPr>
      <w:spacing w:before="120" w:after="120"/>
      <w:jc w:val="both"/>
    </w:pPr>
    <w:rPr>
      <w:szCs w:val="20"/>
      <w:lang w:eastAsia="en-GB"/>
    </w:rPr>
  </w:style>
  <w:style w:type="paragraph" w:customStyle="1" w:styleId="ListDash1">
    <w:name w:val="List Dash 1"/>
    <w:basedOn w:val="Normal"/>
    <w:pPr>
      <w:numPr>
        <w:numId w:val="22"/>
      </w:numPr>
      <w:spacing w:before="120" w:after="120"/>
      <w:jc w:val="both"/>
    </w:pPr>
    <w:rPr>
      <w:szCs w:val="20"/>
      <w:lang w:eastAsia="en-GB"/>
    </w:rPr>
  </w:style>
  <w:style w:type="paragraph" w:customStyle="1" w:styleId="ListDash2">
    <w:name w:val="List Dash 2"/>
    <w:basedOn w:val="Normal"/>
    <w:pPr>
      <w:numPr>
        <w:numId w:val="23"/>
      </w:numPr>
      <w:spacing w:before="120" w:after="120"/>
      <w:jc w:val="both"/>
    </w:pPr>
    <w:rPr>
      <w:szCs w:val="20"/>
      <w:lang w:eastAsia="en-GB"/>
    </w:rPr>
  </w:style>
  <w:style w:type="paragraph" w:customStyle="1" w:styleId="ListDash3">
    <w:name w:val="List Dash 3"/>
    <w:basedOn w:val="Normal"/>
    <w:pPr>
      <w:numPr>
        <w:numId w:val="24"/>
      </w:numPr>
      <w:spacing w:before="120" w:after="120"/>
      <w:jc w:val="both"/>
    </w:pPr>
    <w:rPr>
      <w:szCs w:val="20"/>
      <w:lang w:eastAsia="en-GB"/>
    </w:rPr>
  </w:style>
  <w:style w:type="paragraph" w:customStyle="1" w:styleId="ListDash4">
    <w:name w:val="List Dash 4"/>
    <w:basedOn w:val="Normal"/>
    <w:pPr>
      <w:numPr>
        <w:numId w:val="25"/>
      </w:numPr>
      <w:spacing w:before="120" w:after="120"/>
      <w:jc w:val="both"/>
    </w:pPr>
    <w:rPr>
      <w:szCs w:val="20"/>
      <w:lang w:eastAsia="en-GB"/>
    </w:rPr>
  </w:style>
  <w:style w:type="paragraph" w:customStyle="1" w:styleId="ListNumber1">
    <w:name w:val="List Number 1"/>
    <w:basedOn w:val="Text1"/>
    <w:pPr>
      <w:numPr>
        <w:numId w:val="27"/>
      </w:numPr>
    </w:pPr>
  </w:style>
  <w:style w:type="paragraph" w:styleId="Numreradlista2">
    <w:name w:val="List Number 2"/>
    <w:basedOn w:val="Normal"/>
    <w:semiHidden/>
    <w:pPr>
      <w:numPr>
        <w:numId w:val="28"/>
      </w:numPr>
      <w:spacing w:before="120" w:after="120"/>
      <w:jc w:val="both"/>
    </w:pPr>
    <w:rPr>
      <w:szCs w:val="20"/>
      <w:lang w:eastAsia="en-GB"/>
    </w:rPr>
  </w:style>
  <w:style w:type="paragraph" w:styleId="Numreradlista3">
    <w:name w:val="List Number 3"/>
    <w:basedOn w:val="Normal"/>
    <w:semiHidden/>
    <w:pPr>
      <w:numPr>
        <w:numId w:val="29"/>
      </w:numPr>
      <w:spacing w:before="120" w:after="120"/>
      <w:jc w:val="both"/>
    </w:pPr>
    <w:rPr>
      <w:szCs w:val="20"/>
      <w:lang w:eastAsia="en-GB"/>
    </w:rPr>
  </w:style>
  <w:style w:type="paragraph" w:styleId="Numreradlista4">
    <w:name w:val="List Number 4"/>
    <w:basedOn w:val="Normal"/>
    <w:semiHidden/>
    <w:pPr>
      <w:numPr>
        <w:numId w:val="30"/>
      </w:numPr>
      <w:spacing w:before="120" w:after="120"/>
      <w:jc w:val="both"/>
    </w:pPr>
    <w:rPr>
      <w:szCs w:val="20"/>
      <w:lang w:eastAsia="en-GB"/>
    </w:rPr>
  </w:style>
  <w:style w:type="paragraph" w:customStyle="1" w:styleId="ListNumber1Level2">
    <w:name w:val="List Number 1 (Level 2)"/>
    <w:basedOn w:val="Text1"/>
    <w:pPr>
      <w:numPr>
        <w:ilvl w:val="1"/>
        <w:numId w:val="27"/>
      </w:numPr>
    </w:pPr>
  </w:style>
  <w:style w:type="paragraph" w:customStyle="1" w:styleId="ListNumber2Level2">
    <w:name w:val="List Number 2 (Level 2)"/>
    <w:basedOn w:val="Text2"/>
    <w:pPr>
      <w:numPr>
        <w:ilvl w:val="1"/>
        <w:numId w:val="28"/>
      </w:numPr>
    </w:pPr>
  </w:style>
  <w:style w:type="paragraph" w:customStyle="1" w:styleId="ListNumber3Level2">
    <w:name w:val="List Number 3 (Level 2)"/>
    <w:basedOn w:val="Text3"/>
    <w:pPr>
      <w:numPr>
        <w:ilvl w:val="1"/>
        <w:numId w:val="29"/>
      </w:numPr>
    </w:pPr>
  </w:style>
  <w:style w:type="paragraph" w:customStyle="1" w:styleId="ListNumber4Level2">
    <w:name w:val="List Number 4 (Level 2)"/>
    <w:basedOn w:val="Text4"/>
    <w:pPr>
      <w:numPr>
        <w:ilvl w:val="1"/>
        <w:numId w:val="30"/>
      </w:numPr>
    </w:pPr>
  </w:style>
  <w:style w:type="paragraph" w:customStyle="1" w:styleId="ListNumber1Level3">
    <w:name w:val="List Number 1 (Level 3)"/>
    <w:basedOn w:val="Text1"/>
    <w:pPr>
      <w:numPr>
        <w:ilvl w:val="2"/>
        <w:numId w:val="27"/>
      </w:numPr>
    </w:pPr>
  </w:style>
  <w:style w:type="paragraph" w:customStyle="1" w:styleId="ListNumber2Level3">
    <w:name w:val="List Number 2 (Level 3)"/>
    <w:basedOn w:val="Text2"/>
    <w:pPr>
      <w:numPr>
        <w:ilvl w:val="2"/>
        <w:numId w:val="28"/>
      </w:numPr>
    </w:pPr>
  </w:style>
  <w:style w:type="paragraph" w:customStyle="1" w:styleId="ListNumber3Level3">
    <w:name w:val="List Number 3 (Level 3)"/>
    <w:basedOn w:val="Text3"/>
    <w:pPr>
      <w:numPr>
        <w:ilvl w:val="2"/>
        <w:numId w:val="29"/>
      </w:numPr>
    </w:pPr>
  </w:style>
  <w:style w:type="paragraph" w:customStyle="1" w:styleId="ListNumber4Level3">
    <w:name w:val="List Number 4 (Level 3)"/>
    <w:basedOn w:val="Text4"/>
    <w:pPr>
      <w:numPr>
        <w:ilvl w:val="2"/>
        <w:numId w:val="30"/>
      </w:numPr>
    </w:pPr>
  </w:style>
  <w:style w:type="paragraph" w:customStyle="1" w:styleId="ListNumber1Level4">
    <w:name w:val="List Number 1 (Level 4)"/>
    <w:basedOn w:val="Text1"/>
    <w:pPr>
      <w:numPr>
        <w:ilvl w:val="3"/>
        <w:numId w:val="27"/>
      </w:numPr>
    </w:pPr>
  </w:style>
  <w:style w:type="paragraph" w:customStyle="1" w:styleId="ListNumber2Level4">
    <w:name w:val="List Number 2 (Level 4)"/>
    <w:basedOn w:val="Text2"/>
    <w:pPr>
      <w:numPr>
        <w:ilvl w:val="3"/>
        <w:numId w:val="28"/>
      </w:numPr>
    </w:pPr>
  </w:style>
  <w:style w:type="paragraph" w:customStyle="1" w:styleId="ListNumber3Level4">
    <w:name w:val="List Number 3 (Level 4)"/>
    <w:basedOn w:val="Text3"/>
    <w:pPr>
      <w:numPr>
        <w:ilvl w:val="3"/>
        <w:numId w:val="29"/>
      </w:numPr>
    </w:pPr>
  </w:style>
  <w:style w:type="paragraph" w:customStyle="1" w:styleId="ListNumber4Level4">
    <w:name w:val="List Number 4 (Level 4)"/>
    <w:basedOn w:val="Text4"/>
    <w:pPr>
      <w:numPr>
        <w:ilvl w:val="3"/>
        <w:numId w:val="30"/>
      </w:numPr>
    </w:pPr>
  </w:style>
  <w:style w:type="paragraph" w:customStyle="1" w:styleId="Considrant">
    <w:name w:val="Considérant"/>
    <w:basedOn w:val="Normal"/>
    <w:pPr>
      <w:numPr>
        <w:numId w:val="31"/>
      </w:numPr>
      <w:spacing w:before="120" w:after="120"/>
      <w:jc w:val="both"/>
    </w:pPr>
    <w:rPr>
      <w:szCs w:val="20"/>
      <w:lang w:eastAsia="en-GB"/>
    </w:rPr>
  </w:style>
  <w:style w:type="paragraph" w:customStyle="1" w:styleId="EntLogo">
    <w:name w:val="EntLogo"/>
    <w:basedOn w:val="NormalConseil"/>
    <w:next w:val="EntInstit"/>
    <w:pPr>
      <w:spacing w:line="360" w:lineRule="auto"/>
    </w:pPr>
    <w:rPr>
      <w:b/>
    </w:rPr>
  </w:style>
  <w:style w:type="paragraph" w:customStyle="1" w:styleId="NormalConseil">
    <w:name w:val="NormalConseil"/>
    <w:basedOn w:val="Normal"/>
    <w:rPr>
      <w:szCs w:val="20"/>
      <w:lang w:eastAsia="fr-BE"/>
    </w:rPr>
  </w:style>
  <w:style w:type="paragraph" w:customStyle="1" w:styleId="EntInstit">
    <w:name w:val="EntInstit"/>
    <w:basedOn w:val="NormalConseil"/>
    <w:pPr>
      <w:jc w:val="right"/>
    </w:pPr>
    <w:rPr>
      <w:b/>
    </w:rPr>
  </w:style>
  <w:style w:type="paragraph" w:customStyle="1" w:styleId="EntRefer">
    <w:name w:val="EntRefer"/>
    <w:basedOn w:val="NormalConseil"/>
    <w:rPr>
      <w:b/>
    </w:rPr>
  </w:style>
  <w:style w:type="paragraph" w:customStyle="1" w:styleId="EntEmet">
    <w:name w:val="EntEmet"/>
    <w:basedOn w:val="NormalConseil"/>
    <w:pPr>
      <w:tabs>
        <w:tab w:val="left" w:pos="284"/>
        <w:tab w:val="left" w:pos="567"/>
        <w:tab w:val="left" w:pos="851"/>
        <w:tab w:val="left" w:pos="1134"/>
        <w:tab w:val="left" w:pos="1418"/>
      </w:tabs>
      <w:spacing w:before="40"/>
    </w:pPr>
  </w:style>
  <w:style w:type="paragraph" w:customStyle="1" w:styleId="Nomdelinstitution">
    <w:name w:val="Nom de l'institution"/>
    <w:basedOn w:val="Normal"/>
    <w:next w:val="Emission"/>
    <w:rPr>
      <w:rFonts w:ascii="Arial" w:hAnsi="Arial"/>
      <w:szCs w:val="20"/>
      <w:lang w:eastAsia="en-GB"/>
    </w:rPr>
  </w:style>
  <w:style w:type="paragraph" w:customStyle="1" w:styleId="Emission">
    <w:name w:val="Emission"/>
    <w:basedOn w:val="Normal"/>
    <w:next w:val="Rfrenceinstitutionelle"/>
    <w:pPr>
      <w:ind w:left="5103"/>
    </w:pPr>
    <w:rPr>
      <w:szCs w:val="20"/>
      <w:lang w:eastAsia="en-GB"/>
    </w:rPr>
  </w:style>
  <w:style w:type="paragraph" w:customStyle="1" w:styleId="Rfrenceinstitutionelle">
    <w:name w:val="Référence institutionelle"/>
    <w:basedOn w:val="Normal"/>
    <w:next w:val="Statut"/>
    <w:pPr>
      <w:spacing w:after="240"/>
      <w:ind w:left="5103"/>
    </w:pPr>
    <w:rPr>
      <w:szCs w:val="20"/>
      <w:lang w:eastAsia="en-GB"/>
    </w:rPr>
  </w:style>
  <w:style w:type="paragraph" w:customStyle="1" w:styleId="Statut">
    <w:name w:val="Statut"/>
    <w:basedOn w:val="Normal"/>
    <w:next w:val="Typedudocument"/>
    <w:pPr>
      <w:spacing w:before="360"/>
      <w:jc w:val="center"/>
    </w:pPr>
    <w:rPr>
      <w:szCs w:val="20"/>
      <w:lang w:eastAsia="en-GB"/>
    </w:rPr>
  </w:style>
  <w:style w:type="paragraph" w:customStyle="1" w:styleId="Typedudocument">
    <w:name w:val="Type du document"/>
    <w:basedOn w:val="Normal"/>
    <w:next w:val="Datedadoption"/>
    <w:pPr>
      <w:spacing w:before="360"/>
      <w:jc w:val="center"/>
    </w:pPr>
    <w:rPr>
      <w:b/>
      <w:szCs w:val="20"/>
      <w:lang w:eastAsia="en-GB"/>
    </w:rPr>
  </w:style>
  <w:style w:type="paragraph" w:customStyle="1" w:styleId="Datedadoption">
    <w:name w:val="Date d'adoption"/>
    <w:basedOn w:val="Normal"/>
    <w:next w:val="Titreobjet"/>
    <w:pPr>
      <w:spacing w:before="360"/>
      <w:jc w:val="center"/>
    </w:pPr>
    <w:rPr>
      <w:b/>
      <w:szCs w:val="20"/>
      <w:lang w:eastAsia="en-GB"/>
    </w:rPr>
  </w:style>
  <w:style w:type="paragraph" w:customStyle="1" w:styleId="Titreobjet">
    <w:name w:val="Titre objet"/>
    <w:basedOn w:val="Normal"/>
    <w:next w:val="Sous-titreobjet"/>
    <w:pPr>
      <w:spacing w:before="360" w:after="360"/>
      <w:jc w:val="center"/>
    </w:pPr>
    <w:rPr>
      <w:b/>
      <w:szCs w:val="20"/>
      <w:lang w:eastAsia="en-GB"/>
    </w:rPr>
  </w:style>
  <w:style w:type="paragraph" w:customStyle="1" w:styleId="Sous-titreobjet">
    <w:name w:val="Sous-titre objet"/>
    <w:basedOn w:val="Normal"/>
    <w:pPr>
      <w:jc w:val="center"/>
    </w:pPr>
    <w:rPr>
      <w:b/>
      <w:szCs w:val="20"/>
      <w:lang w:eastAsia="en-GB"/>
    </w:rPr>
  </w:style>
  <w:style w:type="paragraph" w:customStyle="1" w:styleId="Confidentialit">
    <w:name w:val="Confidentialité"/>
    <w:basedOn w:val="Normal"/>
    <w:next w:val="Statut"/>
    <w:pPr>
      <w:spacing w:before="240" w:after="240"/>
      <w:ind w:left="5103"/>
      <w:jc w:val="both"/>
    </w:pPr>
    <w:rPr>
      <w:szCs w:val="20"/>
      <w:u w:val="single"/>
      <w:lang w:eastAsia="en-GB"/>
    </w:rPr>
  </w:style>
  <w:style w:type="paragraph" w:customStyle="1" w:styleId="TOCHeading">
    <w:name w:val="TOC Heading"/>
    <w:basedOn w:val="Normal"/>
    <w:next w:val="Normal"/>
    <w:pPr>
      <w:spacing w:before="120" w:after="240"/>
      <w:jc w:val="center"/>
    </w:pPr>
    <w:rPr>
      <w:b/>
      <w:sz w:val="28"/>
      <w:szCs w:val="20"/>
      <w:lang w:eastAsia="en-GB"/>
    </w:rPr>
  </w:style>
  <w:style w:type="paragraph" w:styleId="Innehll1">
    <w:name w:val="toc 1"/>
    <w:basedOn w:val="Normal"/>
    <w:next w:val="Normal"/>
    <w:semiHidden/>
    <w:pPr>
      <w:tabs>
        <w:tab w:val="right" w:leader="dot" w:pos="9071"/>
      </w:tabs>
      <w:spacing w:before="60" w:after="120"/>
      <w:ind w:left="850" w:hanging="850"/>
    </w:pPr>
    <w:rPr>
      <w:szCs w:val="20"/>
      <w:lang w:eastAsia="en-GB"/>
    </w:rPr>
  </w:style>
  <w:style w:type="paragraph" w:styleId="Innehll2">
    <w:name w:val="toc 2"/>
    <w:basedOn w:val="Normal"/>
    <w:next w:val="Normal"/>
    <w:semiHidden/>
    <w:pPr>
      <w:tabs>
        <w:tab w:val="right" w:leader="dot" w:pos="9071"/>
      </w:tabs>
      <w:spacing w:before="60" w:after="120"/>
      <w:ind w:left="850" w:hanging="850"/>
    </w:pPr>
    <w:rPr>
      <w:szCs w:val="20"/>
      <w:lang w:eastAsia="en-GB"/>
    </w:rPr>
  </w:style>
  <w:style w:type="paragraph" w:styleId="Innehll3">
    <w:name w:val="toc 3"/>
    <w:basedOn w:val="Normal"/>
    <w:next w:val="Normal"/>
    <w:semiHidden/>
    <w:pPr>
      <w:tabs>
        <w:tab w:val="right" w:leader="dot" w:pos="9071"/>
      </w:tabs>
      <w:spacing w:before="60" w:after="120"/>
      <w:ind w:left="850" w:hanging="850"/>
    </w:pPr>
    <w:rPr>
      <w:szCs w:val="20"/>
      <w:lang w:eastAsia="en-GB"/>
    </w:rPr>
  </w:style>
  <w:style w:type="paragraph" w:customStyle="1" w:styleId="ManualHeading1">
    <w:name w:val="Manual Heading 1"/>
    <w:basedOn w:val="Normal"/>
    <w:next w:val="Text1"/>
    <w:pPr>
      <w:keepNext/>
      <w:tabs>
        <w:tab w:val="left" w:pos="850"/>
      </w:tabs>
      <w:spacing w:before="360" w:after="120"/>
      <w:ind w:left="850" w:hanging="850"/>
      <w:jc w:val="both"/>
      <w:outlineLvl w:val="0"/>
    </w:pPr>
    <w:rPr>
      <w:b/>
      <w:smallCaps/>
      <w:szCs w:val="20"/>
      <w:lang w:eastAsia="en-GB"/>
    </w:rPr>
  </w:style>
  <w:style w:type="character" w:styleId="Fotnotsreferens">
    <w:name w:val="footnote reference"/>
    <w:basedOn w:val="Standardstycketeckensnitt"/>
    <w:semiHidden/>
    <w:rPr>
      <w:vertAlign w:val="superscript"/>
    </w:rPr>
  </w:style>
  <w:style w:type="paragraph" w:customStyle="1" w:styleId="ManualHeading2">
    <w:name w:val="Manual Heading 2"/>
    <w:basedOn w:val="Normal"/>
    <w:next w:val="Text2"/>
    <w:pPr>
      <w:keepNext/>
      <w:tabs>
        <w:tab w:val="left" w:pos="850"/>
      </w:tabs>
      <w:spacing w:before="120" w:after="120"/>
      <w:ind w:left="850" w:hanging="850"/>
      <w:jc w:val="both"/>
      <w:outlineLvl w:val="1"/>
    </w:pPr>
    <w:rPr>
      <w:b/>
      <w:szCs w:val="20"/>
      <w:lang w:eastAsia="en-GB"/>
    </w:rPr>
  </w:style>
  <w:style w:type="paragraph" w:customStyle="1" w:styleId="ManualHeading3">
    <w:name w:val="Manual Heading 3"/>
    <w:basedOn w:val="Normal"/>
    <w:next w:val="Text3"/>
    <w:pPr>
      <w:keepNext/>
      <w:tabs>
        <w:tab w:val="left" w:pos="850"/>
      </w:tabs>
      <w:spacing w:before="120" w:after="120"/>
      <w:ind w:left="850" w:hanging="850"/>
      <w:jc w:val="both"/>
      <w:outlineLvl w:val="2"/>
    </w:pPr>
    <w:rPr>
      <w:i/>
      <w:szCs w:val="20"/>
      <w:lang w:eastAsia="en-GB"/>
    </w:rPr>
  </w:style>
  <w:style w:type="paragraph" w:customStyle="1" w:styleId="ManualNumPar1">
    <w:name w:val="Manual NumPar 1"/>
    <w:basedOn w:val="Normal"/>
    <w:next w:val="Text1"/>
    <w:pPr>
      <w:spacing w:before="120" w:after="120"/>
      <w:ind w:left="850" w:hanging="850"/>
      <w:jc w:val="both"/>
    </w:pPr>
    <w:rPr>
      <w:szCs w:val="20"/>
      <w:lang w:eastAsia="en-GB"/>
    </w:rPr>
  </w:style>
  <w:style w:type="paragraph" w:styleId="Numreradlista">
    <w:name w:val="List Number"/>
    <w:basedOn w:val="Normal"/>
    <w:semiHidden/>
    <w:pPr>
      <w:tabs>
        <w:tab w:val="num" w:pos="360"/>
      </w:tabs>
      <w:spacing w:before="120" w:after="120"/>
      <w:jc w:val="both"/>
    </w:pPr>
    <w:rPr>
      <w:szCs w:val="20"/>
      <w:lang w:eastAsia="en-GB"/>
    </w:rPr>
  </w:style>
  <w:style w:type="character" w:styleId="Hyperlnk">
    <w:name w:val="Hyperlink"/>
    <w:basedOn w:val="Standardstycketeckensnitt"/>
    <w:semiHidden/>
    <w:rPr>
      <w:color w:val="0000FF"/>
      <w:u w:val="single"/>
    </w:rPr>
  </w:style>
  <w:style w:type="paragraph" w:styleId="Fotnotstext">
    <w:name w:val="footnote text"/>
    <w:basedOn w:val="Normal"/>
    <w:semiHidden/>
    <w:pPr>
      <w:ind w:left="720" w:hanging="720"/>
      <w:jc w:val="both"/>
    </w:pPr>
    <w:rPr>
      <w:sz w:val="20"/>
      <w:szCs w:val="20"/>
      <w:lang w:eastAsia="en-GB"/>
    </w:rPr>
  </w:style>
  <w:style w:type="paragraph" w:styleId="Sidhuvud">
    <w:name w:val="header"/>
    <w:basedOn w:val="Normal"/>
    <w:semiHidden/>
    <w:pPr>
      <w:tabs>
        <w:tab w:val="right" w:pos="9071"/>
      </w:tabs>
      <w:spacing w:before="120" w:after="120"/>
      <w:jc w:val="both"/>
    </w:pPr>
    <w:rPr>
      <w:szCs w:val="20"/>
      <w:lang w:eastAsia="en-GB"/>
    </w:rPr>
  </w:style>
  <w:style w:type="paragraph" w:styleId="Sidfot">
    <w:name w:val="footer"/>
    <w:basedOn w:val="Normal"/>
    <w:semiHidden/>
    <w:pPr>
      <w:tabs>
        <w:tab w:val="center" w:pos="4535"/>
        <w:tab w:val="right" w:pos="9071"/>
        <w:tab w:val="right" w:pos="9921"/>
      </w:tabs>
      <w:spacing w:before="360"/>
      <w:ind w:left="-850" w:right="-850"/>
    </w:pPr>
    <w:rPr>
      <w:szCs w:val="20"/>
      <w:lang w:eastAsia="en-GB"/>
    </w:rPr>
  </w:style>
  <w:style w:type="paragraph" w:customStyle="1" w:styleId="FooterConseil">
    <w:name w:val="FooterConseil"/>
    <w:basedOn w:val="NormalConseil"/>
    <w:pPr>
      <w:tabs>
        <w:tab w:val="center" w:pos="4820"/>
        <w:tab w:val="center" w:pos="7371"/>
        <w:tab w:val="right" w:pos="963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yperlink" Target="http://econ.worldbank.org/external/default/main?theSitePK=1572893&amp;contentMDK=20693491&amp;pagePK=64168182&amp;piPK=64168060" TargetMode="External"/><Relationship Id="rId3" Type="http://schemas.openxmlformats.org/officeDocument/2006/relationships/settings" Target="settings.xml"/><Relationship Id="rId21" Type="http://schemas.openxmlformats.org/officeDocument/2006/relationships/hyperlink" Target="http://epp.eurostat.cec.eu.int/pls/portal/docs/PAGE/PGP_PRD_CAT_PREREL/PGE_CAT_PREREL_YEAR_2005/PGE_CAT_PREREL_YEAR_2005_MONTH_04/3-08042005-EN-AP.PDF"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www.gcim.org"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epp.eurostat.cec.eu.int/cache/ITY_OFFPUB/KS-NK-05-015/EN/KS-NK-05-015-EN.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europa.eu.int/comm/employment_social/employment_analysis/immigr_new_stud_en.htm" TargetMode="Externa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europa.eu.int/comm/justice_home/doc_centre/immigration/integration/doc/handbook_en.pdf" TargetMode="External"/><Relationship Id="rId28" Type="http://schemas.openxmlformats.org/officeDocument/2006/relationships/hyperlink" Target="http://www.ilo.org/public/english/standards/relm/ilc/ilc92/pdf/rep-vi.pdf" TargetMode="Externa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hyperlink" Target="http://europa.eu.int/comm/economy_finance/publications/occasional_papers/2005/ocp19en.pdf" TargetMode="External"/><Relationship Id="rId27" Type="http://schemas.openxmlformats.org/officeDocument/2006/relationships/hyperlink" Target="http://www.ilo.org/public/english/protection/migrant/download/ilcmig_res-eng.pdf"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uropa.eu.int/eracareers" TargetMode="External"/><Relationship Id="rId2" Type="http://schemas.openxmlformats.org/officeDocument/2006/relationships/hyperlink" Target="http://europa.eu.int/eures" TargetMode="External"/><Relationship Id="rId1" Type="http://schemas.openxmlformats.org/officeDocument/2006/relationships/hyperlink" Target="http://europa.eu.int/comm/justice_home/news/consulting_public/economic_migration/news_contributions_economic_migration_en.h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10470</Words>
  <Characters>60625</Characters>
  <Application>Microsoft Office Word</Application>
  <DocSecurity>4</DocSecurity>
  <Lines>2331</Lines>
  <Paragraphs>1692</Paragraphs>
  <ScaleCrop>false</ScaleCrop>
  <HeadingPairs>
    <vt:vector size="2" baseType="variant">
      <vt:variant>
        <vt:lpstr>Titel</vt:lpstr>
      </vt:variant>
      <vt:variant>
        <vt:i4>1</vt:i4>
      </vt:variant>
    </vt:vector>
  </HeadingPairs>
  <TitlesOfParts>
    <vt:vector size="1" baseType="lpstr">
      <vt:lpstr/>
    </vt:vector>
  </TitlesOfParts>
  <Company>Regeringskansliet</Company>
  <LinksUpToDate>false</LinksUpToDate>
  <CharactersWithSpaces>69403</CharactersWithSpaces>
  <SharedDoc>false</SharedDoc>
  <HLinks>
    <vt:vector size="78" baseType="variant">
      <vt:variant>
        <vt:i4>852051</vt:i4>
      </vt:variant>
      <vt:variant>
        <vt:i4>27</vt:i4>
      </vt:variant>
      <vt:variant>
        <vt:i4>0</vt:i4>
      </vt:variant>
      <vt:variant>
        <vt:i4>5</vt:i4>
      </vt:variant>
      <vt:variant>
        <vt:lpwstr>http://www.ilo.org/public/english/standards/relm/ilc/ilc92/pdf/rep-vi.pdf</vt:lpwstr>
      </vt:variant>
      <vt:variant>
        <vt:lpwstr/>
      </vt:variant>
      <vt:variant>
        <vt:i4>1048696</vt:i4>
      </vt:variant>
      <vt:variant>
        <vt:i4>24</vt:i4>
      </vt:variant>
      <vt:variant>
        <vt:i4>0</vt:i4>
      </vt:variant>
      <vt:variant>
        <vt:i4>5</vt:i4>
      </vt:variant>
      <vt:variant>
        <vt:lpwstr>http://www.ilo.org/public/english/protection/migrant/download/ilcmig_res-eng.pdf</vt:lpwstr>
      </vt:variant>
      <vt:variant>
        <vt:lpwstr/>
      </vt:variant>
      <vt:variant>
        <vt:i4>7340132</vt:i4>
      </vt:variant>
      <vt:variant>
        <vt:i4>21</vt:i4>
      </vt:variant>
      <vt:variant>
        <vt:i4>0</vt:i4>
      </vt:variant>
      <vt:variant>
        <vt:i4>5</vt:i4>
      </vt:variant>
      <vt:variant>
        <vt:lpwstr>http://econ.worldbank.org/external/default/main?theSitePK=1572893&amp;contentMDK=20693491&amp;pagePK=64168182&amp;piPK=64168060</vt:lpwstr>
      </vt:variant>
      <vt:variant>
        <vt:lpwstr/>
      </vt:variant>
      <vt:variant>
        <vt:i4>5636182</vt:i4>
      </vt:variant>
      <vt:variant>
        <vt:i4>18</vt:i4>
      </vt:variant>
      <vt:variant>
        <vt:i4>0</vt:i4>
      </vt:variant>
      <vt:variant>
        <vt:i4>5</vt:i4>
      </vt:variant>
      <vt:variant>
        <vt:lpwstr>http://www.gcim.org/</vt:lpwstr>
      </vt:variant>
      <vt:variant>
        <vt:lpwstr/>
      </vt:variant>
      <vt:variant>
        <vt:i4>1507387</vt:i4>
      </vt:variant>
      <vt:variant>
        <vt:i4>15</vt:i4>
      </vt:variant>
      <vt:variant>
        <vt:i4>0</vt:i4>
      </vt:variant>
      <vt:variant>
        <vt:i4>5</vt:i4>
      </vt:variant>
      <vt:variant>
        <vt:lpwstr>http://europa.eu.int/comm/employment_social/employment_analysis/immigr_new_stud_en.htm</vt:lpwstr>
      </vt:variant>
      <vt:variant>
        <vt:lpwstr/>
      </vt:variant>
      <vt:variant>
        <vt:i4>2752597</vt:i4>
      </vt:variant>
      <vt:variant>
        <vt:i4>12</vt:i4>
      </vt:variant>
      <vt:variant>
        <vt:i4>0</vt:i4>
      </vt:variant>
      <vt:variant>
        <vt:i4>5</vt:i4>
      </vt:variant>
      <vt:variant>
        <vt:lpwstr>http://europa.eu.int/comm/justice_home/doc_centre/immigration/integration/doc/handbook_en.pdf</vt:lpwstr>
      </vt:variant>
      <vt:variant>
        <vt:lpwstr/>
      </vt:variant>
      <vt:variant>
        <vt:i4>4915294</vt:i4>
      </vt:variant>
      <vt:variant>
        <vt:i4>9</vt:i4>
      </vt:variant>
      <vt:variant>
        <vt:i4>0</vt:i4>
      </vt:variant>
      <vt:variant>
        <vt:i4>5</vt:i4>
      </vt:variant>
      <vt:variant>
        <vt:lpwstr>http://europa.eu.int/comm/economy_finance/publications/occasional_papers/2005/ocp19en.pdf</vt:lpwstr>
      </vt:variant>
      <vt:variant>
        <vt:lpwstr/>
      </vt:variant>
      <vt:variant>
        <vt:i4>5963877</vt:i4>
      </vt:variant>
      <vt:variant>
        <vt:i4>6</vt:i4>
      </vt:variant>
      <vt:variant>
        <vt:i4>0</vt:i4>
      </vt:variant>
      <vt:variant>
        <vt:i4>5</vt:i4>
      </vt:variant>
      <vt:variant>
        <vt:lpwstr>http://epp.eurostat.cec.eu.int/pls/portal/docs/PAGE/PGP_PRD_CAT_PREREL/PGE_CAT_PREREL_YEAR_2005/PGE_CAT_PREREL_YEAR_2005_MONTH_04/3-08042005-EN-AP.PDF</vt:lpwstr>
      </vt:variant>
      <vt:variant>
        <vt:lpwstr/>
      </vt:variant>
      <vt:variant>
        <vt:i4>7667788</vt:i4>
      </vt:variant>
      <vt:variant>
        <vt:i4>3</vt:i4>
      </vt:variant>
      <vt:variant>
        <vt:i4>0</vt:i4>
      </vt:variant>
      <vt:variant>
        <vt:i4>5</vt:i4>
      </vt:variant>
      <vt:variant>
        <vt:lpwstr>http://epp.eurostat.cec.eu.int/cache/ITY_OFFPUB/KS-NK-05-015/EN/KS-NK-05-015-EN.PDF</vt:lpwstr>
      </vt:variant>
      <vt:variant>
        <vt:lpwstr/>
      </vt:variant>
      <vt:variant>
        <vt:i4>7864446</vt:i4>
      </vt:variant>
      <vt:variant>
        <vt:i4>6</vt:i4>
      </vt:variant>
      <vt:variant>
        <vt:i4>0</vt:i4>
      </vt:variant>
      <vt:variant>
        <vt:i4>5</vt:i4>
      </vt:variant>
      <vt:variant>
        <vt:lpwstr>http://europa.eu.int/eracareers</vt:lpwstr>
      </vt:variant>
      <vt:variant>
        <vt:lpwstr/>
      </vt:variant>
      <vt:variant>
        <vt:i4>7209064</vt:i4>
      </vt:variant>
      <vt:variant>
        <vt:i4>3</vt:i4>
      </vt:variant>
      <vt:variant>
        <vt:i4>0</vt:i4>
      </vt:variant>
      <vt:variant>
        <vt:i4>5</vt:i4>
      </vt:variant>
      <vt:variant>
        <vt:lpwstr>http://europa.eu.int/eures</vt:lpwstr>
      </vt:variant>
      <vt:variant>
        <vt:lpwstr/>
      </vt:variant>
      <vt:variant>
        <vt:i4>2490369</vt:i4>
      </vt:variant>
      <vt:variant>
        <vt:i4>0</vt:i4>
      </vt:variant>
      <vt:variant>
        <vt:i4>0</vt:i4>
      </vt:variant>
      <vt:variant>
        <vt:i4>5</vt:i4>
      </vt:variant>
      <vt:variant>
        <vt:lpwstr>http://europa.eu.int/comm/justice_home/news/consulting_public/economic_migration/news_contributions_economic_migration_en.htm</vt:lpwstr>
      </vt:variant>
      <vt:variant>
        <vt:lpwstr/>
      </vt:variant>
      <vt:variant>
        <vt:i4>1835014</vt:i4>
      </vt:variant>
      <vt:variant>
        <vt:i4>-1</vt:i4>
      </vt:variant>
      <vt:variant>
        <vt:i4>1026</vt:i4>
      </vt:variant>
      <vt:variant>
        <vt:i4>1</vt:i4>
      </vt:variant>
      <vt:variant>
        <vt:lpwstr>LogoCons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dcterms:created xsi:type="dcterms:W3CDTF">2025-12-16T23:12:00Z</dcterms:created>
  <dcterms:modified xsi:type="dcterms:W3CDTF">2025-12-16T23:12:00Z</dcterms:modified>
</cp:coreProperties>
</file>