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052F9A" w:rsidRPr="008B692A" w:rsidTr="00A61CF3">
        <w:tblPrEx>
          <w:tblCellMar>
            <w:top w:w="0" w:type="dxa"/>
            <w:bottom w:w="0" w:type="dxa"/>
          </w:tblCellMar>
        </w:tblPrEx>
        <w:tc>
          <w:tcPr>
            <w:tcW w:w="3368" w:type="dxa"/>
          </w:tcPr>
          <w:p w:rsidR="00052F9A" w:rsidRPr="008B692A" w:rsidRDefault="00052F9A" w:rsidP="00A61CF3">
            <w:pPr>
              <w:framePr w:w="4400" w:h="1644" w:wrap="notBeside" w:vAnchor="page" w:hAnchor="page" w:x="6573" w:y="721"/>
              <w:rPr>
                <w:rFonts w:ascii="TradeGothic" w:hAnsi="TradeGothic"/>
                <w:i/>
                <w:sz w:val="18"/>
              </w:rPr>
            </w:pPr>
          </w:p>
        </w:tc>
        <w:tc>
          <w:tcPr>
            <w:tcW w:w="2347" w:type="dxa"/>
            <w:gridSpan w:val="2"/>
          </w:tcPr>
          <w:p w:rsidR="00052F9A" w:rsidRPr="008B692A" w:rsidRDefault="00052F9A" w:rsidP="00A61CF3">
            <w:pPr>
              <w:framePr w:w="4400" w:h="1644" w:wrap="notBeside" w:vAnchor="page" w:hAnchor="page" w:x="6573" w:y="721"/>
              <w:rPr>
                <w:rFonts w:ascii="TradeGothic" w:hAnsi="TradeGothic"/>
                <w:i/>
                <w:sz w:val="18"/>
              </w:rPr>
            </w:pPr>
          </w:p>
        </w:tc>
      </w:tr>
      <w:tr w:rsidR="00052F9A" w:rsidRPr="008B692A" w:rsidTr="00A61CF3">
        <w:tblPrEx>
          <w:tblCellMar>
            <w:top w:w="0" w:type="dxa"/>
            <w:bottom w:w="0" w:type="dxa"/>
          </w:tblCellMar>
        </w:tblPrEx>
        <w:tc>
          <w:tcPr>
            <w:tcW w:w="3368" w:type="dxa"/>
          </w:tcPr>
          <w:p w:rsidR="00052F9A" w:rsidRPr="008B692A" w:rsidRDefault="00052F9A" w:rsidP="00A61CF3">
            <w:pPr>
              <w:framePr w:w="4400" w:h="1644" w:wrap="notBeside" w:vAnchor="page" w:hAnchor="page" w:x="6573" w:y="721"/>
              <w:rPr>
                <w:rFonts w:ascii="TradeGothic" w:hAnsi="TradeGothic"/>
                <w:b/>
                <w:sz w:val="22"/>
              </w:rPr>
            </w:pPr>
            <w:r w:rsidRPr="008B692A">
              <w:rPr>
                <w:rFonts w:ascii="TradeGothic" w:hAnsi="TradeGothic"/>
                <w:b/>
                <w:sz w:val="22"/>
              </w:rPr>
              <w:t>Promemoria</w:t>
            </w:r>
          </w:p>
        </w:tc>
        <w:tc>
          <w:tcPr>
            <w:tcW w:w="2347" w:type="dxa"/>
            <w:gridSpan w:val="2"/>
          </w:tcPr>
          <w:p w:rsidR="00052F9A" w:rsidRPr="008B692A" w:rsidRDefault="00052F9A" w:rsidP="00A61CF3">
            <w:pPr>
              <w:framePr w:w="4400" w:h="1644" w:wrap="notBeside" w:vAnchor="page" w:hAnchor="page" w:x="6573" w:y="721"/>
              <w:rPr>
                <w:rFonts w:ascii="TradeGothic" w:hAnsi="TradeGothic"/>
                <w:b/>
                <w:sz w:val="22"/>
              </w:rPr>
            </w:pPr>
          </w:p>
        </w:tc>
      </w:tr>
      <w:tr w:rsidR="00052F9A" w:rsidRPr="008B692A" w:rsidTr="00A61CF3">
        <w:tblPrEx>
          <w:tblCellMar>
            <w:top w:w="0" w:type="dxa"/>
            <w:bottom w:w="0" w:type="dxa"/>
          </w:tblCellMar>
        </w:tblPrEx>
        <w:tc>
          <w:tcPr>
            <w:tcW w:w="4502" w:type="dxa"/>
            <w:gridSpan w:val="2"/>
          </w:tcPr>
          <w:p w:rsidR="00052F9A" w:rsidRPr="008B692A" w:rsidRDefault="00052F9A" w:rsidP="00A61CF3">
            <w:pPr>
              <w:framePr w:w="4400" w:h="1644" w:wrap="notBeside" w:vAnchor="page" w:hAnchor="page" w:x="6573" w:y="721"/>
            </w:pPr>
          </w:p>
        </w:tc>
        <w:tc>
          <w:tcPr>
            <w:tcW w:w="1213" w:type="dxa"/>
          </w:tcPr>
          <w:p w:rsidR="00052F9A" w:rsidRPr="008B692A" w:rsidRDefault="00052F9A" w:rsidP="00A61CF3">
            <w:pPr>
              <w:framePr w:w="4400" w:h="1644" w:wrap="notBeside" w:vAnchor="page" w:hAnchor="page" w:x="6573" w:y="721"/>
            </w:pPr>
          </w:p>
        </w:tc>
      </w:tr>
      <w:tr w:rsidR="00052F9A" w:rsidRPr="008B692A" w:rsidTr="00A61CF3">
        <w:tblPrEx>
          <w:tblCellMar>
            <w:top w:w="0" w:type="dxa"/>
            <w:bottom w:w="0" w:type="dxa"/>
          </w:tblCellMar>
        </w:tblPrEx>
        <w:tc>
          <w:tcPr>
            <w:tcW w:w="3368" w:type="dxa"/>
          </w:tcPr>
          <w:p w:rsidR="00052F9A" w:rsidRPr="008B692A" w:rsidRDefault="000D1E89" w:rsidP="00A61CF3">
            <w:pPr>
              <w:framePr w:w="4400" w:h="1644" w:wrap="notBeside" w:vAnchor="page" w:hAnchor="page" w:x="6573" w:y="721"/>
            </w:pPr>
            <w:r w:rsidRPr="008B692A">
              <w:t>2007-12-03</w:t>
            </w:r>
          </w:p>
          <w:p w:rsidR="00052F9A" w:rsidRPr="008B692A" w:rsidRDefault="00052F9A" w:rsidP="00A61CF3">
            <w:pPr>
              <w:framePr w:w="4400" w:h="1644" w:wrap="notBeside" w:vAnchor="page" w:hAnchor="page" w:x="6573" w:y="721"/>
            </w:pPr>
          </w:p>
        </w:tc>
        <w:tc>
          <w:tcPr>
            <w:tcW w:w="2347" w:type="dxa"/>
            <w:gridSpan w:val="2"/>
          </w:tcPr>
          <w:p w:rsidR="00052F9A" w:rsidRPr="008B692A" w:rsidRDefault="00052F9A" w:rsidP="00A61CF3">
            <w:pPr>
              <w:framePr w:w="4400" w:h="1644" w:wrap="notBeside" w:vAnchor="page" w:hAnchor="page" w:x="6573" w:y="721"/>
            </w:pPr>
          </w:p>
        </w:tc>
      </w:tr>
      <w:tr w:rsidR="00052F9A" w:rsidRPr="008B692A" w:rsidTr="00A61CF3">
        <w:tblPrEx>
          <w:tblCellMar>
            <w:top w:w="0" w:type="dxa"/>
            <w:bottom w:w="0" w:type="dxa"/>
          </w:tblCellMar>
        </w:tblPrEx>
        <w:tc>
          <w:tcPr>
            <w:tcW w:w="3368" w:type="dxa"/>
          </w:tcPr>
          <w:p w:rsidR="00052F9A" w:rsidRPr="008B692A" w:rsidRDefault="00052F9A" w:rsidP="00A61CF3">
            <w:pPr>
              <w:framePr w:w="4400" w:h="1644" w:wrap="notBeside" w:vAnchor="page" w:hAnchor="page" w:x="6573" w:y="721"/>
            </w:pPr>
            <w:r w:rsidRPr="008B692A">
              <w:t>Delges: EU-nämndens kansli</w:t>
            </w:r>
          </w:p>
        </w:tc>
        <w:tc>
          <w:tcPr>
            <w:tcW w:w="2347" w:type="dxa"/>
            <w:gridSpan w:val="2"/>
          </w:tcPr>
          <w:p w:rsidR="00052F9A" w:rsidRPr="008B692A" w:rsidRDefault="00052F9A" w:rsidP="00A61CF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
                <w:i w:val="0"/>
                <w:sz w:val="22"/>
              </w:rPr>
            </w:pPr>
            <w:r w:rsidRPr="008B692A">
              <w:rPr>
                <w:b/>
                <w:i w:val="0"/>
                <w:sz w:val="22"/>
              </w:rPr>
              <w:t>Statsrådsberedningen</w:t>
            </w:r>
          </w:p>
        </w:tc>
      </w:tr>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Cs/>
                <w:iCs/>
              </w:rPr>
            </w:pPr>
          </w:p>
        </w:tc>
      </w:tr>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Cs/>
                <w:iCs/>
              </w:rPr>
            </w:pPr>
            <w:r w:rsidRPr="008B692A">
              <w:rPr>
                <w:bCs/>
                <w:iCs/>
              </w:rPr>
              <w:t>EU-kansliet</w:t>
            </w:r>
          </w:p>
        </w:tc>
      </w:tr>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Cs/>
                <w:iCs/>
              </w:rPr>
            </w:pPr>
            <w:r w:rsidRPr="008B692A">
              <w:rPr>
                <w:bCs/>
                <w:iCs/>
              </w:rPr>
              <w:t>Johanna Jansson</w:t>
            </w:r>
          </w:p>
        </w:tc>
      </w:tr>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Cs/>
                <w:iCs/>
              </w:rPr>
            </w:pPr>
          </w:p>
        </w:tc>
      </w:tr>
      <w:tr w:rsidR="00052F9A" w:rsidRPr="008B692A" w:rsidTr="00A61CF3">
        <w:tblPrEx>
          <w:tblCellMar>
            <w:top w:w="0" w:type="dxa"/>
            <w:bottom w:w="0" w:type="dxa"/>
          </w:tblCellMar>
        </w:tblPrEx>
        <w:trPr>
          <w:trHeight w:val="284"/>
        </w:trPr>
        <w:tc>
          <w:tcPr>
            <w:tcW w:w="4911" w:type="dxa"/>
          </w:tcPr>
          <w:p w:rsidR="00052F9A" w:rsidRPr="008B692A" w:rsidRDefault="00052F9A" w:rsidP="00A61CF3">
            <w:pPr>
              <w:pStyle w:val="Avsndare"/>
              <w:framePr w:h="2483" w:wrap="notBeside" w:x="1504"/>
              <w:rPr>
                <w:bCs/>
                <w:iCs/>
              </w:rPr>
            </w:pPr>
          </w:p>
        </w:tc>
      </w:tr>
    </w:tbl>
    <w:p w:rsidR="00052F9A" w:rsidRPr="008B692A" w:rsidRDefault="00052F9A" w:rsidP="00052F9A">
      <w:pPr>
        <w:framePr w:w="4400" w:h="2523" w:wrap="notBeside" w:vAnchor="page" w:hAnchor="page" w:x="6382" w:y="2465"/>
        <w:ind w:left="142"/>
      </w:pPr>
    </w:p>
    <w:p w:rsidR="00052F9A" w:rsidRPr="008B692A" w:rsidRDefault="00052F9A" w:rsidP="00052F9A">
      <w:pPr>
        <w:pStyle w:val="RKrubrik"/>
        <w:pBdr>
          <w:bottom w:val="single" w:sz="4" w:space="1" w:color="000000"/>
        </w:pBdr>
        <w:spacing w:before="0" w:after="0"/>
      </w:pPr>
      <w:r w:rsidRPr="008B692A">
        <w:t xml:space="preserve">Underlag för information till EU-nämnden den 7 december samt inför GAERC (december) Antagna resolutioner i Europaparlamentet under perioden </w:t>
      </w:r>
      <w:r w:rsidR="00DE1C03" w:rsidRPr="008B692A">
        <w:t>12-15 november och 28-29 november</w:t>
      </w:r>
      <w:r w:rsidRPr="008B692A">
        <w:t xml:space="preserve"> 2007</w:t>
      </w:r>
    </w:p>
    <w:p w:rsidR="00052F9A" w:rsidRPr="008B692A" w:rsidRDefault="00052F9A" w:rsidP="00052F9A">
      <w:r w:rsidRPr="008B692A">
        <w:t>Under november månad antog Europaparlamentet bl.a. nedanstående resolutioner. Dessutom antogs ett antal lagstiftningsresolutioner som redovisas i sedvanlig ordning inför behandling i respektive rådskonstellation.</w:t>
      </w:r>
    </w:p>
    <w:p w:rsidR="00052F9A" w:rsidRPr="008B692A" w:rsidRDefault="00052F9A" w:rsidP="00052F9A"/>
    <w:p w:rsidR="00052F9A" w:rsidRPr="008B692A" w:rsidRDefault="00052F9A" w:rsidP="00052F9A">
      <w:pPr>
        <w:pStyle w:val="RKnormal"/>
        <w:rPr>
          <w:b/>
        </w:rPr>
      </w:pPr>
      <w:r w:rsidRPr="008B692A">
        <w:rPr>
          <w:b/>
        </w:rPr>
        <w:t>1. Europeiskt samförstånd om humanitärt bistånd</w:t>
      </w:r>
    </w:p>
    <w:p w:rsidR="00052F9A" w:rsidRPr="008B692A" w:rsidRDefault="00052F9A" w:rsidP="00052F9A">
      <w:pPr>
        <w:pStyle w:val="RKnormal"/>
        <w:rPr>
          <w:b/>
        </w:rPr>
      </w:pPr>
    </w:p>
    <w:p w:rsidR="00052F9A" w:rsidRPr="008B692A" w:rsidRDefault="00052F9A" w:rsidP="00052F9A">
      <w:pPr>
        <w:pStyle w:val="RKnormal"/>
      </w:pPr>
      <w:r w:rsidRPr="008B692A">
        <w:t>Europaparlamentet understryker att EU:s humanitära insatser bör grundas på de humanitära principerna som anges i principerna och bästa praxis för tillhandahållande av humanitärt bistånd (GHD), dvs. följande:</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95"/>
        <w:gridCol w:w="330"/>
        <w:gridCol w:w="6846"/>
      </w:tblGrid>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Humanitet, vilket innebär att de centrala prioriteringarna ska vara att rädda liv och mildra lidande var det än förekommer.</w:t>
            </w:r>
          </w:p>
        </w:tc>
      </w:tr>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Opartiskhet, vilket innebär att man enbart ska genomföra biståndsåtgärder utifrån de behov som finns, utan diskriminering mellan eller inom drabbade befolkningsgrupper.</w:t>
            </w:r>
          </w:p>
        </w:tc>
      </w:tr>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Neutralitet, vilket innebär att man inte får gynna någon part i en väpnad konflikt eller andra fientligheter när humanitärt bistånd tillhandahålls.</w:t>
            </w:r>
          </w:p>
        </w:tc>
      </w:tr>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9D6183"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xml:space="preserve">Oberoende, vilket innebär att de humanitära målen ska vara fristående från de politiska, ekonomiska, militära eller andra mål som aktörerna </w:t>
            </w:r>
            <w:smartTag w:uri="urn:schemas-microsoft-com:office:smarttags" w:element="State">
              <w:smartTag w:uri="urn:schemas-microsoft-com:office:smarttags" w:element="place">
                <w:r w:rsidRPr="008B692A">
                  <w:rPr>
                    <w:rFonts w:cs="Arial"/>
                    <w:color w:val="000000"/>
                    <w:szCs w:val="24"/>
                  </w:rPr>
                  <w:t>kan</w:t>
                </w:r>
              </w:smartTag>
            </w:smartTag>
            <w:r w:rsidRPr="008B692A">
              <w:rPr>
                <w:rFonts w:cs="Arial"/>
                <w:color w:val="000000"/>
                <w:szCs w:val="24"/>
              </w:rPr>
              <w:t xml:space="preserve"> ha i de områden där humanitärt biståndsarbete genomförs.</w:t>
            </w:r>
            <w:r w:rsidR="009D6183" w:rsidRPr="008B692A">
              <w:rPr>
                <w:rFonts w:cs="Arial"/>
                <w:color w:val="000000"/>
                <w:szCs w:val="24"/>
              </w:rPr>
              <w:t xml:space="preserve"> </w:t>
            </w:r>
          </w:p>
          <w:p w:rsidR="009D6183" w:rsidRPr="008B692A" w:rsidRDefault="009D6183" w:rsidP="00052F9A">
            <w:pPr>
              <w:overflowPunct/>
              <w:autoSpaceDE/>
              <w:autoSpaceDN/>
              <w:adjustRightInd/>
              <w:spacing w:line="240" w:lineRule="auto"/>
              <w:textAlignment w:val="auto"/>
              <w:rPr>
                <w:rFonts w:cs="Arial"/>
                <w:color w:val="000000"/>
                <w:szCs w:val="24"/>
              </w:rPr>
            </w:pPr>
          </w:p>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Dessutom framhåller parlamentet att humanitärt biståndsarbete bör genomföras i enlighet med följande två prioriteringar:</w:t>
            </w:r>
          </w:p>
        </w:tc>
      </w:tr>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Omedelbarhet, vilket innebär att man bör koncentrera sig mer på att undanröja alla oberättigade förseningar i tillhandahållandet av humanitärt bistånd och i förekommande fall ifrågasätta uppenbara förseningar,</w:t>
            </w:r>
          </w:p>
        </w:tc>
      </w:tr>
      <w:tr w:rsidR="00052F9A" w:rsidRPr="008B692A">
        <w:trPr>
          <w:tblCellSpacing w:w="15" w:type="dxa"/>
        </w:trPr>
        <w:tc>
          <w:tcPr>
            <w:tcW w:w="0" w:type="auto"/>
            <w:vAlign w:val="center"/>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  </w:t>
            </w:r>
          </w:p>
        </w:tc>
        <w:tc>
          <w:tcPr>
            <w:tcW w:w="300" w:type="dxa"/>
          </w:tcPr>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w:t>
            </w:r>
          </w:p>
        </w:tc>
        <w:tc>
          <w:tcPr>
            <w:tcW w:w="0" w:type="auto"/>
          </w:tcPr>
          <w:p w:rsidR="009D6183"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Effektivitet, vilket innebär att prestationerna ska vara tydligt mätbara för att möjliggöra vederbörlig demokratisk ansvarsskyldighet.</w:t>
            </w:r>
            <w:r w:rsidRPr="008B692A">
              <w:rPr>
                <w:rFonts w:cs="Arial"/>
                <w:color w:val="000000"/>
                <w:szCs w:val="24"/>
              </w:rPr>
              <w:br/>
            </w:r>
          </w:p>
          <w:p w:rsidR="00052F9A" w:rsidRPr="008B692A" w:rsidRDefault="00052F9A" w:rsidP="00052F9A">
            <w:pPr>
              <w:overflowPunct/>
              <w:autoSpaceDE/>
              <w:autoSpaceDN/>
              <w:adjustRightInd/>
              <w:spacing w:line="240" w:lineRule="auto"/>
              <w:textAlignment w:val="auto"/>
              <w:rPr>
                <w:rFonts w:cs="Arial"/>
                <w:color w:val="000000"/>
                <w:szCs w:val="24"/>
              </w:rPr>
            </w:pPr>
            <w:r w:rsidRPr="008B692A">
              <w:rPr>
                <w:rFonts w:cs="Arial"/>
                <w:color w:val="000000"/>
                <w:szCs w:val="24"/>
              </w:rPr>
              <w:t>Parlamentet anser att EU mot bakgrund av sin politiska tyngd och sitt inflytande som största internationella givare konsekvent bör främja dessa principer för att säkerställa tillträde till de krisdrabbade befolkningarna och respekt för "det humanitära utrymmet".</w:t>
            </w:r>
          </w:p>
          <w:p w:rsidR="00E558EC" w:rsidRPr="008B692A" w:rsidRDefault="00E558EC" w:rsidP="00052F9A">
            <w:pPr>
              <w:overflowPunct/>
              <w:autoSpaceDE/>
              <w:autoSpaceDN/>
              <w:adjustRightInd/>
              <w:spacing w:line="240" w:lineRule="auto"/>
              <w:textAlignment w:val="auto"/>
              <w:rPr>
                <w:rFonts w:cs="Arial"/>
                <w:color w:val="000000"/>
                <w:szCs w:val="24"/>
              </w:rPr>
            </w:pPr>
          </w:p>
          <w:p w:rsidR="00E558EC" w:rsidRPr="008B692A" w:rsidRDefault="009D6183" w:rsidP="00E558EC">
            <w:pPr>
              <w:pStyle w:val="RKnormal"/>
            </w:pPr>
            <w:r w:rsidRPr="008B692A">
              <w:t>Europap</w:t>
            </w:r>
            <w:r w:rsidR="00E558EC" w:rsidRPr="008B692A">
              <w:t>arlamentet uppmanar alla medlemsstater som ännu inte har undertecknat de ovannämnda principerna och bästa praxis för humanitärt bistånd (GHD) att göra det utan reservationer. Parlamentet betonar att dessa principer måste genomföras i praxis och att EU-institutionerna och parlamentets ständiga föredragande för humanitärt bistånd regelbundet (vartannat år) måste utvärdera hur principerna och bästa praxis följs.</w:t>
            </w:r>
          </w:p>
          <w:p w:rsidR="00E558EC" w:rsidRPr="008B692A" w:rsidRDefault="00E558EC" w:rsidP="00E558EC">
            <w:pPr>
              <w:pStyle w:val="RKnormal"/>
            </w:pPr>
          </w:p>
          <w:p w:rsidR="00E558EC" w:rsidRPr="008B692A" w:rsidRDefault="00E558EC" w:rsidP="00E558EC">
            <w:pPr>
              <w:pStyle w:val="RKnormal"/>
              <w:rPr>
                <w:szCs w:val="18"/>
              </w:rPr>
            </w:pPr>
            <w:r w:rsidRPr="008B692A">
              <w:rPr>
                <w:szCs w:val="18"/>
              </w:rPr>
              <w:t>Parlamentet uppmanar EU att utarbeta en vägledning för humanitära biståndsgivare, liknande den som har tagits fram för EU:s utvecklingsstöd.</w:t>
            </w:r>
          </w:p>
          <w:p w:rsidR="00E558EC" w:rsidRPr="008B692A" w:rsidRDefault="00E558EC" w:rsidP="00E558EC">
            <w:pPr>
              <w:pStyle w:val="RKnormal"/>
              <w:rPr>
                <w:szCs w:val="18"/>
              </w:rPr>
            </w:pPr>
          </w:p>
          <w:p w:rsidR="00E558EC" w:rsidRPr="008B692A" w:rsidRDefault="00E558EC" w:rsidP="00E558EC">
            <w:pPr>
              <w:pStyle w:val="RKnormal"/>
            </w:pPr>
            <w:r w:rsidRPr="008B692A">
              <w:t xml:space="preserve">Parlamentet uppmanar </w:t>
            </w:r>
            <w:r w:rsidR="009D6183" w:rsidRPr="008B692A">
              <w:t xml:space="preserve">även </w:t>
            </w:r>
            <w:r w:rsidRPr="008B692A">
              <w:t>EU att stödja och komplettera de internationella insatser som leds av FN och OCHA för att förbättra förmågan att reagera snabbt på kriser, medräknat omedelbar tillgång till finansiering samt beredskapsgrupper för katastrofinsatser.</w:t>
            </w:r>
          </w:p>
          <w:p w:rsidR="00E558EC" w:rsidRPr="008B692A" w:rsidRDefault="00E558EC" w:rsidP="00E558EC">
            <w:pPr>
              <w:pStyle w:val="RKnormal"/>
            </w:pPr>
          </w:p>
          <w:p w:rsidR="00E558EC" w:rsidRPr="008B692A" w:rsidRDefault="00E558EC" w:rsidP="00E558EC">
            <w:pPr>
              <w:pStyle w:val="RKnormal"/>
              <w:rPr>
                <w:szCs w:val="18"/>
              </w:rPr>
            </w:pPr>
            <w:r w:rsidRPr="008B692A">
              <w:rPr>
                <w:szCs w:val="18"/>
              </w:rPr>
              <w:t>Europaparlamentet anser att EU bör investera mer i förståelse för och övervakning av de faktorer som gör befolkningarna särskilt sårbara, och uppmanar EU att särskilt se till att befolkningarnas omedelbara hälsobehov uppfylls vid alla humanitära kriser, särskilt behoven i fråga om reproduktiv hälsa, i linje med respektive Sphere-normer.</w:t>
            </w:r>
          </w:p>
          <w:p w:rsidR="00E558EC" w:rsidRPr="008B692A" w:rsidRDefault="00E558EC" w:rsidP="00E558EC">
            <w:pPr>
              <w:pStyle w:val="RKnormal"/>
              <w:rPr>
                <w:szCs w:val="18"/>
              </w:rPr>
            </w:pPr>
          </w:p>
          <w:p w:rsidR="00E558EC" w:rsidRPr="008B692A" w:rsidRDefault="009D6183" w:rsidP="00E558EC">
            <w:pPr>
              <w:pStyle w:val="RKnormal"/>
              <w:rPr>
                <w:szCs w:val="18"/>
              </w:rPr>
            </w:pPr>
            <w:r w:rsidRPr="008B692A">
              <w:rPr>
                <w:szCs w:val="18"/>
              </w:rPr>
              <w:t>P</w:t>
            </w:r>
            <w:r w:rsidR="00E558EC" w:rsidRPr="008B692A">
              <w:rPr>
                <w:szCs w:val="18"/>
              </w:rPr>
              <w:t>arlamentet välkomnar kommissionens förslag att betona EU:s stöd för en mångfald av genomförandepartner, särskilt icke-statliga organisationer, FN och Röda korset/Röda halvmånen, och stöder de föreslagna kriterierna för val av partner. Parlamentet uppmanar dessutom kommissionen att bidra till arbetet för att integrera de nya medlemsstaternas genomförandeorgan (dvs. de tio medlemsstater som anslöts till EU 2004 samt Bulgarien och Rumänien, som anslöts till EU 2007) fullt ut i den humanitära biståndsverksamheten.</w:t>
            </w:r>
          </w:p>
          <w:p w:rsidR="00E558EC" w:rsidRPr="008B692A" w:rsidRDefault="00E558EC" w:rsidP="00E558EC">
            <w:pPr>
              <w:pStyle w:val="RKnormal"/>
              <w:rPr>
                <w:szCs w:val="18"/>
              </w:rPr>
            </w:pPr>
          </w:p>
          <w:p w:rsidR="00E558EC" w:rsidRPr="008B692A" w:rsidRDefault="00E558EC" w:rsidP="00E558EC">
            <w:pPr>
              <w:pStyle w:val="RKnormal"/>
              <w:rPr>
                <w:szCs w:val="18"/>
              </w:rPr>
            </w:pPr>
            <w:r w:rsidRPr="008B692A">
              <w:rPr>
                <w:szCs w:val="18"/>
              </w:rPr>
              <w:t xml:space="preserve">Europaparlamentet uppmanar </w:t>
            </w:r>
            <w:r w:rsidR="009D6183" w:rsidRPr="008B692A">
              <w:rPr>
                <w:szCs w:val="18"/>
              </w:rPr>
              <w:t xml:space="preserve">vidare </w:t>
            </w:r>
            <w:r w:rsidRPr="008B692A">
              <w:rPr>
                <w:szCs w:val="18"/>
              </w:rPr>
              <w:t>EU att anslå minst 10 procent av ytterligare nya medel till budgetar för humanitära insatser för att minska riskerna för katastrofer och avsevärt öka medlen för katastrofförebyggande åtgärder i utvecklingsstödsbudgetarna.</w:t>
            </w:r>
          </w:p>
          <w:p w:rsidR="00FC0D36" w:rsidRPr="008B692A" w:rsidRDefault="00FC0D36" w:rsidP="00E558EC">
            <w:pPr>
              <w:pStyle w:val="RKnormal"/>
              <w:rPr>
                <w:szCs w:val="18"/>
              </w:rPr>
            </w:pPr>
          </w:p>
          <w:p w:rsidR="00FC0D36" w:rsidRPr="008B692A" w:rsidRDefault="009D6183" w:rsidP="00FC0D36">
            <w:pPr>
              <w:pStyle w:val="RKnormal"/>
            </w:pPr>
            <w:r w:rsidRPr="008B692A">
              <w:rPr>
                <w:szCs w:val="18"/>
              </w:rPr>
              <w:t>P</w:t>
            </w:r>
            <w:r w:rsidR="00FC0D36" w:rsidRPr="008B692A">
              <w:rPr>
                <w:szCs w:val="18"/>
              </w:rPr>
              <w:t xml:space="preserve">arlamentet uppmanar </w:t>
            </w:r>
            <w:r w:rsidRPr="008B692A">
              <w:rPr>
                <w:szCs w:val="18"/>
              </w:rPr>
              <w:t xml:space="preserve">också </w:t>
            </w:r>
            <w:r w:rsidR="00FC0D36" w:rsidRPr="008B692A">
              <w:rPr>
                <w:szCs w:val="18"/>
              </w:rPr>
              <w:t>EU att i samarbete med de internationella aktörerna inom humanitärt bistånd utveckla riktlinjer som syftar till att förstärka sambandet mellan katastrof-, återanpassnings- och utvecklingsbistånd för att undvika potentiella luckor mellan katastrofinsatserna, återanpassningsfasen och utvecklingsfasen och att göra detta på grundval av bästa praxis och de lärdomar som dragits.</w:t>
            </w:r>
          </w:p>
        </w:tc>
      </w:tr>
    </w:tbl>
    <w:p w:rsidR="00E558EC" w:rsidRPr="008B692A" w:rsidRDefault="00E558EC" w:rsidP="00052F9A">
      <w:pPr>
        <w:pStyle w:val="RKnormal"/>
        <w:rPr>
          <w:b/>
        </w:rPr>
      </w:pPr>
    </w:p>
    <w:p w:rsidR="00052F9A" w:rsidRPr="008B692A" w:rsidRDefault="00052F9A" w:rsidP="00052F9A">
      <w:pPr>
        <w:pStyle w:val="RKnormal"/>
      </w:pPr>
      <w:r w:rsidRPr="008B692A">
        <w:rPr>
          <w:b/>
        </w:rPr>
        <w:t xml:space="preserve">2.  </w:t>
      </w:r>
      <w:r w:rsidR="00FC0D36" w:rsidRPr="008B692A">
        <w:rPr>
          <w:b/>
        </w:rPr>
        <w:t xml:space="preserve">Toppmötet mellan EU och </w:t>
      </w:r>
      <w:r w:rsidR="00F9370B" w:rsidRPr="008B692A">
        <w:rPr>
          <w:b/>
        </w:rPr>
        <w:t>Ryssland</w:t>
      </w:r>
    </w:p>
    <w:p w:rsidR="00052F9A" w:rsidRPr="008B692A" w:rsidRDefault="00052F9A" w:rsidP="00052F9A">
      <w:pPr>
        <w:pStyle w:val="RKnormal"/>
      </w:pPr>
    </w:p>
    <w:p w:rsidR="00F9370B" w:rsidRPr="008B692A" w:rsidRDefault="00F9370B" w:rsidP="00F9370B">
      <w:r w:rsidRPr="008B692A">
        <w:t>Europaparlamentet uppmanar med kraft rådet och kommissionen att uppmana Ryska federationen att ratificera tilläggsprotokoll nr 14 till den europeiska konventionen om de mänskliga rättigheterna.</w:t>
      </w:r>
    </w:p>
    <w:p w:rsidR="00F9370B" w:rsidRPr="008B692A" w:rsidRDefault="00F9370B" w:rsidP="00F9370B"/>
    <w:p w:rsidR="00F9370B" w:rsidRPr="008B692A" w:rsidRDefault="00F9370B" w:rsidP="00F9370B">
      <w:pPr>
        <w:pStyle w:val="RKnormal"/>
      </w:pPr>
      <w:r w:rsidRPr="008B692A">
        <w:t xml:space="preserve">Parlamentet uppmanar </w:t>
      </w:r>
      <w:r w:rsidR="009D6183" w:rsidRPr="008B692A">
        <w:t xml:space="preserve">vidare </w:t>
      </w:r>
      <w:r w:rsidRPr="008B692A">
        <w:t>rådet och kommissionen att se till att principerna i energistadgefördraget – vilket enligt artikel 45 i det avtalet är bindande för Ryssland även innan den ryska statsduman har ratificerat det –, dess transiteringsprotokoll och G8-slutsatserna ingår i ett nytt partnerskaps- och samarbetsavtal mellan EU och Ryssland. Avtalet bör omfatta stärkt samarbete om energieffektivitet, energisparande och förnybar energi. Principerna bör tillämpas vid större energiinfrastrukturprojekt, såsom gasledningen i Östersjön. Parlamentet uppmanar Europeiska unionen att stå samlat i samtalen med Ryssland i dessa känsliga frågor som rör energi.</w:t>
      </w:r>
    </w:p>
    <w:p w:rsidR="00F9370B" w:rsidRPr="008B692A" w:rsidRDefault="00F9370B" w:rsidP="00F9370B">
      <w:pPr>
        <w:pStyle w:val="RKnormal"/>
      </w:pPr>
    </w:p>
    <w:p w:rsidR="00F9370B" w:rsidRPr="008B692A" w:rsidRDefault="00F9370B" w:rsidP="00F9370B">
      <w:pPr>
        <w:pStyle w:val="RKnormal"/>
      </w:pPr>
      <w:r w:rsidRPr="008B692A">
        <w:t>Europaparlamentet uppmanar vidare rådet och kommissionen att fördubbla sina ansträngningar för att lösa problemen vid gränsövergångarna mellan EU och Ryssland och att inleda konkreta projekt och fullt ut dra nytta av det nya grannskaps- och partnerskapsinstrumentet samt medel från Interreg för gränsöverskridande samarbete.</w:t>
      </w:r>
    </w:p>
    <w:p w:rsidR="00F9370B" w:rsidRPr="008B692A" w:rsidRDefault="00F9370B" w:rsidP="00F9370B">
      <w:pPr>
        <w:pStyle w:val="RKnormal"/>
      </w:pPr>
    </w:p>
    <w:p w:rsidR="00F9370B" w:rsidRPr="008B692A" w:rsidRDefault="009D6183" w:rsidP="00F9370B">
      <w:pPr>
        <w:pStyle w:val="RKnormal"/>
      </w:pPr>
      <w:r w:rsidRPr="008B692A">
        <w:t>P</w:t>
      </w:r>
      <w:r w:rsidR="00F9370B" w:rsidRPr="008B692A">
        <w:t xml:space="preserve">arlamentet uppmanar </w:t>
      </w:r>
      <w:r w:rsidRPr="008B692A">
        <w:t xml:space="preserve">också </w:t>
      </w:r>
      <w:r w:rsidR="00F9370B" w:rsidRPr="008B692A">
        <w:t>EU och Ryssland, som medlem av FN:s säkerhetsråd, att fortsätta ansträngningarna för att finna en lösning på frågan om Irans kärnvapen.</w:t>
      </w:r>
    </w:p>
    <w:p w:rsidR="00875232" w:rsidRPr="008B692A" w:rsidRDefault="00052F9A" w:rsidP="009D6183">
      <w:pPr>
        <w:pStyle w:val="RKrubrik"/>
      </w:pPr>
      <w:r w:rsidRPr="008B692A">
        <w:t xml:space="preserve">3. </w:t>
      </w:r>
      <w:r w:rsidR="00A61CF3" w:rsidRPr="008B692A">
        <w:t>Situationen i Pakistan</w:t>
      </w:r>
    </w:p>
    <w:p w:rsidR="00875232" w:rsidRPr="008B692A" w:rsidRDefault="00875232" w:rsidP="00875232">
      <w:pPr>
        <w:pStyle w:val="RKnormal"/>
      </w:pPr>
      <w:r w:rsidRPr="008B692A">
        <w:t>Europaparlamentet uppmanar kommissionen att noggrant överväga att sända ytterligare en undersökningsgrupp, under förutsättning att undantagstillståndet upphävs, i syfte att undersöka om det är möjligt att sända en EU-valövervakningsgrupp på ett längre uppdrag.</w:t>
      </w:r>
    </w:p>
    <w:p w:rsidR="00875232" w:rsidRPr="008B692A" w:rsidRDefault="00875232" w:rsidP="00875232">
      <w:pPr>
        <w:pStyle w:val="RKnormal"/>
      </w:pPr>
    </w:p>
    <w:p w:rsidR="00875232" w:rsidRPr="008B692A" w:rsidRDefault="00875232" w:rsidP="00875232">
      <w:pPr>
        <w:pStyle w:val="RKnormal"/>
      </w:pPr>
      <w:r w:rsidRPr="008B692A">
        <w:t xml:space="preserve">Parlamentet uppmanar också rådet och kommissionen att insistera på att Pakistans regering ser till att samtliga principer i samarbetsavtalet respekteras, särskilt klausulen om demokrati och mänskliga rättigheter. </w:t>
      </w:r>
    </w:p>
    <w:p w:rsidR="00875232" w:rsidRPr="008B692A" w:rsidRDefault="00875232" w:rsidP="00875232">
      <w:pPr>
        <w:pStyle w:val="RKnormal"/>
      </w:pPr>
    </w:p>
    <w:p w:rsidR="00875232" w:rsidRPr="008B692A" w:rsidRDefault="00875232" w:rsidP="00875232">
      <w:pPr>
        <w:pStyle w:val="RKnormal"/>
      </w:pPr>
      <w:r w:rsidRPr="008B692A">
        <w:t xml:space="preserve">Vidare uppmanar Europaparlamentet kommissionen att lägga fram en rapport om genomförandet av samarbetsavtalet och att i detta sammanhang överväga att utöka biståndet till Pakistan för utbildning, fattigdomsminskning, hälsovård och nödhjälpsarbete och låta medlen förmedlas av icke-religiösa frivillighetsorganisationer. </w:t>
      </w:r>
    </w:p>
    <w:p w:rsidR="00875232" w:rsidRPr="008B692A" w:rsidRDefault="00875232" w:rsidP="00875232">
      <w:pPr>
        <w:pStyle w:val="RKnormal"/>
      </w:pPr>
    </w:p>
    <w:p w:rsidR="00875232" w:rsidRPr="008B692A" w:rsidRDefault="00875232" w:rsidP="00875232">
      <w:pPr>
        <w:pStyle w:val="RKnormal"/>
      </w:pPr>
      <w:r w:rsidRPr="008B692A">
        <w:t xml:space="preserve">Parlamentet uppmanar också EU:s medlemsstater att fullt ut respektera EU:s regler för vapenexport. </w:t>
      </w:r>
    </w:p>
    <w:p w:rsidR="00A61CF3" w:rsidRPr="008B692A" w:rsidRDefault="00A61CF3" w:rsidP="00052F9A">
      <w:pPr>
        <w:pStyle w:val="RKnormal"/>
        <w:rPr>
          <w:b/>
        </w:rPr>
      </w:pPr>
    </w:p>
    <w:p w:rsidR="00052F9A" w:rsidRPr="008B692A" w:rsidRDefault="00875232" w:rsidP="00052F9A">
      <w:pPr>
        <w:pStyle w:val="RKnormal"/>
        <w:rPr>
          <w:b/>
        </w:rPr>
      </w:pPr>
      <w:r w:rsidRPr="008B692A">
        <w:rPr>
          <w:b/>
        </w:rPr>
        <w:t xml:space="preserve">4. Stärkande av den europeiska grannskapspolitiken </w:t>
      </w:r>
    </w:p>
    <w:p w:rsidR="00875232" w:rsidRPr="008B692A" w:rsidRDefault="00875232" w:rsidP="00052F9A">
      <w:pPr>
        <w:pStyle w:val="RKnormal"/>
        <w:rPr>
          <w:b/>
        </w:rPr>
      </w:pPr>
    </w:p>
    <w:p w:rsidR="00875232" w:rsidRPr="008B692A" w:rsidRDefault="00875232" w:rsidP="00DA640B">
      <w:pPr>
        <w:pStyle w:val="RKnormal"/>
      </w:pPr>
      <w:r w:rsidRPr="008B692A">
        <w:t>Parlamentet uppmanar kommissionen att förhandla om inrättandet av underutskott för mänskliga rättigheter och demokrati med samtliga partnerländer för att garantera en effektiv politisk dialog om denna fråga.</w:t>
      </w:r>
    </w:p>
    <w:p w:rsidR="00875232" w:rsidRPr="008B692A" w:rsidRDefault="00875232" w:rsidP="00DA640B">
      <w:pPr>
        <w:pStyle w:val="RKnormal"/>
      </w:pPr>
    </w:p>
    <w:p w:rsidR="00875232" w:rsidRPr="008B692A" w:rsidRDefault="00DA640B" w:rsidP="00DA640B">
      <w:pPr>
        <w:pStyle w:val="RKnormal"/>
      </w:pPr>
      <w:r w:rsidRPr="008B692A">
        <w:t>Europap</w:t>
      </w:r>
      <w:r w:rsidR="00875232" w:rsidRPr="008B692A">
        <w:t xml:space="preserve">arlamentet uppmanar </w:t>
      </w:r>
      <w:r w:rsidRPr="008B692A">
        <w:t xml:space="preserve">vidare </w:t>
      </w:r>
      <w:r w:rsidR="00875232" w:rsidRPr="008B692A">
        <w:t>med kraft EU-medlemsstaterna att anpassa sin egen politik i partnerländerna så mycket som möjligt till de prioriteringar som har fastställts i den europeiska grannskapspolitikens landsstrategidokument för att garantera politisk kompatibilitet, koherens och komplettering.</w:t>
      </w:r>
    </w:p>
    <w:p w:rsidR="00875232" w:rsidRPr="008B692A" w:rsidRDefault="00875232" w:rsidP="00DA640B">
      <w:pPr>
        <w:pStyle w:val="RKnormal"/>
      </w:pPr>
    </w:p>
    <w:p w:rsidR="00875232" w:rsidRPr="008B692A" w:rsidRDefault="00DA640B" w:rsidP="00DA640B">
      <w:pPr>
        <w:pStyle w:val="RKnormal"/>
      </w:pPr>
      <w:r w:rsidRPr="008B692A">
        <w:t>P</w:t>
      </w:r>
      <w:r w:rsidR="00875232" w:rsidRPr="008B692A">
        <w:t>arlamentet uppmanar medlemsstaterna att snarast förbättra hanteringen av viseringar för att underlätta rörligheten och göra lagliga resor till EU mindre betungande och billigare, särskilt för grupper som studenter, forskare, affärsmän och företrädare för det civila samhället. Parlamentet uppmanar medlemsstaterna att hantera de problem som konstaterats vid sina konsulära myndigheter på ett effektivt sätt.</w:t>
      </w:r>
    </w:p>
    <w:p w:rsidR="00DA640B" w:rsidRPr="008B692A" w:rsidRDefault="00DA640B" w:rsidP="00DA640B">
      <w:pPr>
        <w:pStyle w:val="RKnormal"/>
      </w:pPr>
    </w:p>
    <w:p w:rsidR="00DA640B" w:rsidRPr="008B692A" w:rsidRDefault="00DA640B" w:rsidP="00DA640B">
      <w:pPr>
        <w:pStyle w:val="RKnormal"/>
      </w:pPr>
      <w:r w:rsidRPr="008B692A">
        <w:t>Europaparlamentet uppmanar vidare kommissionen att samordna sina ekonomiska resurser och sin kapacitet för politisk analys med resurser och kapacitet hos de internationella finansinstitutionerna (Europeiska investeringsbanken, Europeiska banken för återuppbyggnad och utveckling, Världsbanken), för att skapa samverkansvinster i arbetet med att skapa villkor för och stimulera till reformer utgående från handlingsplanerna inom den europeiska grannskapspolitiken.</w:t>
      </w:r>
    </w:p>
    <w:p w:rsidR="00DA640B" w:rsidRPr="008B692A" w:rsidRDefault="00DA640B" w:rsidP="00DA640B">
      <w:pPr>
        <w:pStyle w:val="RKnormal"/>
      </w:pPr>
    </w:p>
    <w:p w:rsidR="00DA640B" w:rsidRPr="008B692A" w:rsidRDefault="00DA640B" w:rsidP="00DA640B">
      <w:pPr>
        <w:pStyle w:val="RKnormal"/>
      </w:pPr>
      <w:r w:rsidRPr="008B692A">
        <w:t>Parlamentet uppmanar rådet och kommissionen att tydligt klargöra för de länder som medverkar i den europeiska grannskapspolitiken att de därmed påtar sig en skyldighet att upprätthålla goda grannförbindelser, och att grannskapspolitiken, för att dess fulla potential ska kunna förverkligas, förpliktar länderna i fråga att göra förnyade och genuina ansträngningar för att finna hållbara och bestående lösningar på de konflikter som råder i regionen samt avhålla sig från aggressiva uttalanden, hot och andra handlingar som kan förvärra situationen ytterligare och undergräva det internationella samfundets ansträngningar.</w:t>
      </w:r>
    </w:p>
    <w:p w:rsidR="00DA640B" w:rsidRPr="008B692A" w:rsidRDefault="00DA640B" w:rsidP="00DA640B">
      <w:pPr>
        <w:pStyle w:val="RKnormal"/>
      </w:pPr>
    </w:p>
    <w:p w:rsidR="00DA640B" w:rsidRPr="008B692A" w:rsidRDefault="00DA640B" w:rsidP="00DA640B">
      <w:pPr>
        <w:pStyle w:val="RKnormal"/>
      </w:pPr>
      <w:r w:rsidRPr="008B692A">
        <w:t>I syfte att stärka den parlamentariska dimensionen uppmuntrar Europaparlamentet rådet, kommissionen och medlemsstaterna att i samarbete med regeringarna i de länder som omfattas i den europeiska grannskapspolitikens östra del utveckla en plattform för regionalt multilateralt samarbete på ministernivå som ytterligare stärker den europeiska grannskapspolitikens politiska dimension i östra Europa.</w:t>
      </w:r>
    </w:p>
    <w:p w:rsidR="00DA640B" w:rsidRPr="008B692A" w:rsidRDefault="00DA640B" w:rsidP="00DA640B">
      <w:pPr>
        <w:pStyle w:val="RKnormal"/>
      </w:pPr>
    </w:p>
    <w:p w:rsidR="00DA640B" w:rsidRPr="008B692A" w:rsidRDefault="00DA640B" w:rsidP="00DA640B">
      <w:pPr>
        <w:pStyle w:val="RKnormal"/>
      </w:pPr>
      <w:r w:rsidRPr="008B692A">
        <w:t>Parlamentet uppmanar kommissionen att grundligare undersöka alternativen för nästa generations övergripande avtal med de södra partnerländerna.</w:t>
      </w:r>
    </w:p>
    <w:p w:rsidR="00875232" w:rsidRPr="008B692A" w:rsidRDefault="00875232" w:rsidP="00052F9A">
      <w:pPr>
        <w:pStyle w:val="RKnormal"/>
      </w:pPr>
    </w:p>
    <w:p w:rsidR="00AB35E5" w:rsidRPr="008B692A" w:rsidRDefault="00AB35E5" w:rsidP="00052F9A">
      <w:pPr>
        <w:pStyle w:val="RKnormal"/>
        <w:rPr>
          <w:b/>
        </w:rPr>
      </w:pPr>
      <w:r w:rsidRPr="008B692A">
        <w:rPr>
          <w:b/>
        </w:rPr>
        <w:t>5. Somalia</w:t>
      </w:r>
    </w:p>
    <w:p w:rsidR="00AB35E5" w:rsidRPr="008B692A" w:rsidRDefault="00AB35E5" w:rsidP="00052F9A">
      <w:pPr>
        <w:pStyle w:val="RKnormal"/>
        <w:rPr>
          <w:b/>
        </w:rPr>
      </w:pPr>
    </w:p>
    <w:p w:rsidR="00AB35E5" w:rsidRPr="008B692A" w:rsidRDefault="00AB35E5" w:rsidP="00AB35E5">
      <w:pPr>
        <w:pStyle w:val="RKnormal"/>
      </w:pPr>
      <w:r w:rsidRPr="008B692A">
        <w:t>Europaparlamentet välkomnar Afrikanska unionens insatser för att skapa en fredsbevarande styrka som ska bistå den nationella försoningsprocessen, men beklagar att hittills endast 1 600 av de 8 000 soldater som Afrikanska unionen accepterat faktiskt har placerats ut. Parlamentet uppmanar därför Afrikanska unionen att uppmuntra sina medlemsstater att leva upp till sitt åtagande att bidra till den fredsbevarande styrkan. EU uppmanas i detta avseende att utöka sina insatser för att tillhandahålla nödvändigt politiskt, finansiellt och logistiskt stöd i samband med utplaceringen av Afrikanska unionens fredsbevarande styrkor och att vidta alla andra åtgärder som kan underlätta fredsprocessen.</w:t>
      </w:r>
    </w:p>
    <w:p w:rsidR="00AB35E5" w:rsidRPr="008B692A" w:rsidRDefault="00AB35E5" w:rsidP="00052F9A">
      <w:pPr>
        <w:pStyle w:val="RKnormal"/>
        <w:rPr>
          <w:rFonts w:ascii="Arial" w:hAnsi="Arial" w:cs="Arial"/>
          <w:color w:val="666666"/>
          <w:sz w:val="18"/>
          <w:szCs w:val="18"/>
        </w:rPr>
      </w:pPr>
    </w:p>
    <w:p w:rsidR="00AB35E5" w:rsidRPr="008B692A" w:rsidRDefault="00AB35E5" w:rsidP="00AB35E5">
      <w:pPr>
        <w:pStyle w:val="RKnormal"/>
      </w:pPr>
      <w:r w:rsidRPr="008B692A">
        <w:t>Europaparlamentet upprepar sin uppmaning till den internationella kontaktgruppen för Somalia, som består av Afrikanska unionen, FN, EU, Förenta staterna, Sverige, Norge, Italien, Tanzania med flera, att uppmuntra positiva politiska utvecklingar och samarbete med aktörer i Somalia för att stödja genomförandet av övergångsstadgan och övergångsinstitutionerna, införa effektiva styrelseformer och stabilitet och tackla det internationella samfundets oro för terrorism.</w:t>
      </w:r>
    </w:p>
    <w:p w:rsidR="00AB35E5" w:rsidRPr="008B692A" w:rsidRDefault="00AB35E5" w:rsidP="00AB35E5">
      <w:pPr>
        <w:pStyle w:val="RKnormal"/>
      </w:pPr>
    </w:p>
    <w:p w:rsidR="00AB35E5" w:rsidRPr="008B692A" w:rsidRDefault="00AB35E5" w:rsidP="00AB35E5">
      <w:pPr>
        <w:pStyle w:val="RKnormal"/>
      </w:pPr>
      <w:r w:rsidRPr="008B692A">
        <w:t>Parlamentet uppmanar vidare det internationella samfundet, och särskilt EU, att utöka det humanitära biståndet till internt fördrivna personer och personer i nöd.</w:t>
      </w:r>
    </w:p>
    <w:p w:rsidR="00AB35E5" w:rsidRPr="008B692A" w:rsidRDefault="00AB35E5" w:rsidP="00AB35E5">
      <w:pPr>
        <w:pStyle w:val="RKnormal"/>
      </w:pPr>
    </w:p>
    <w:p w:rsidR="00AB35E5" w:rsidRPr="008B692A" w:rsidRDefault="00AB35E5" w:rsidP="00AB35E5">
      <w:pPr>
        <w:pStyle w:val="RKnormal"/>
      </w:pPr>
      <w:r w:rsidRPr="008B692A">
        <w:t>Europaparlamentet uppmanar också toppmötet mellan EU och Afrika att utan dröjsmål beakta den allvarliga situation som råder i Somalia.</w:t>
      </w:r>
    </w:p>
    <w:p w:rsidR="00AB35E5" w:rsidRPr="008B692A" w:rsidRDefault="00AB35E5" w:rsidP="00052F9A">
      <w:pPr>
        <w:pStyle w:val="RKnormal"/>
        <w:rPr>
          <w:b/>
        </w:rPr>
      </w:pPr>
    </w:p>
    <w:p w:rsidR="00AB35E5" w:rsidRPr="008B692A" w:rsidRDefault="00052F9A" w:rsidP="00052F9A">
      <w:pPr>
        <w:pStyle w:val="RKnormal"/>
        <w:rPr>
          <w:b/>
        </w:rPr>
      </w:pPr>
      <w:r w:rsidRPr="008B692A">
        <w:rPr>
          <w:b/>
        </w:rPr>
        <w:t xml:space="preserve">6. </w:t>
      </w:r>
      <w:r w:rsidR="00AB35E5" w:rsidRPr="008B692A">
        <w:rPr>
          <w:b/>
        </w:rPr>
        <w:t>Uzbekistan</w:t>
      </w:r>
    </w:p>
    <w:p w:rsidR="00C84F93" w:rsidRPr="008B692A" w:rsidRDefault="00C84F93" w:rsidP="00AB35E5">
      <w:pPr>
        <w:pStyle w:val="RKnormal"/>
      </w:pPr>
    </w:p>
    <w:p w:rsidR="00AB35E5" w:rsidRPr="008B692A" w:rsidRDefault="00AB35E5" w:rsidP="00AB35E5">
      <w:pPr>
        <w:pStyle w:val="RKnormal"/>
      </w:pPr>
      <w:r w:rsidRPr="008B692A">
        <w:t>Europaparlamentet påpekar att taktiken med riktade sanktioner hittills inte gett några positiva resultat, och anser det därför berättigat att uppmuntra de uzbekiska myndigheterna genom att för sex månader häva visumförbudet för de uzbekiska tjänstemän som finns upptagna i bilagan till rådets gemensamma ståndpunkt 2007/338/GUSP.</w:t>
      </w:r>
    </w:p>
    <w:p w:rsidR="00AB35E5" w:rsidRPr="008B692A" w:rsidRDefault="00AB35E5" w:rsidP="00AB35E5">
      <w:pPr>
        <w:pStyle w:val="RKnormal"/>
      </w:pPr>
    </w:p>
    <w:p w:rsidR="00AB35E5" w:rsidRPr="008B692A" w:rsidRDefault="00AB35E5" w:rsidP="00AB35E5">
      <w:pPr>
        <w:pStyle w:val="RKnormal"/>
      </w:pPr>
      <w:r w:rsidRPr="008B692A">
        <w:t>Parlamentet uppmanar Europeiska rådet att övervaka och efter sex månader noggrant utvärdera effekterna av denna åtgärd på förbindelserna mellan EU och Uzbekistan, och eventuellt dra relevanta slutsatser på grundval av utvärderingen.</w:t>
      </w:r>
    </w:p>
    <w:p w:rsidR="00AB35E5" w:rsidRPr="008B692A" w:rsidRDefault="00052F9A" w:rsidP="00052F9A">
      <w:pPr>
        <w:pStyle w:val="RKnormal"/>
        <w:rPr>
          <w:b/>
        </w:rPr>
      </w:pPr>
      <w:r w:rsidRPr="008B692A">
        <w:rPr>
          <w:b/>
        </w:rPr>
        <w:t xml:space="preserve">7. </w:t>
      </w:r>
      <w:r w:rsidR="00AB35E5" w:rsidRPr="008B692A">
        <w:rPr>
          <w:b/>
        </w:rPr>
        <w:t>Instabila situationer i utvecklingsländer</w:t>
      </w:r>
    </w:p>
    <w:p w:rsidR="00AB35E5" w:rsidRPr="008B692A" w:rsidRDefault="00AB35E5" w:rsidP="00052F9A">
      <w:pPr>
        <w:pStyle w:val="RKnormal"/>
        <w:rPr>
          <w:b/>
        </w:rPr>
      </w:pPr>
    </w:p>
    <w:p w:rsidR="00AB35E5" w:rsidRPr="008B692A" w:rsidRDefault="00AB35E5" w:rsidP="00840297">
      <w:pPr>
        <w:pStyle w:val="RKnormal"/>
        <w:rPr>
          <w:b/>
        </w:rPr>
      </w:pPr>
      <w:r w:rsidRPr="008B692A">
        <w:t>Europaparlamentet anser att långsiktig strategisk planering måste samordnas med genomförande av program på plats. Programmen måste vara flexibla och anpassningsbara och utformade i förhållande till den situation som gäller för det ifrågavarande landet. Europaparlamentet uppmanar därför kommissionen att främja långsiktig utveckling, och även att erbjuda grundläggande tjänster såsom hälsovård och utbildning på kort sikt.</w:t>
      </w:r>
    </w:p>
    <w:p w:rsidR="00AB35E5" w:rsidRPr="008B692A" w:rsidRDefault="00AB35E5" w:rsidP="00840297">
      <w:pPr>
        <w:pStyle w:val="RKnormal"/>
        <w:rPr>
          <w:b/>
        </w:rPr>
      </w:pPr>
    </w:p>
    <w:p w:rsidR="00840297" w:rsidRPr="008B692A" w:rsidRDefault="00840297" w:rsidP="00840297">
      <w:pPr>
        <w:pStyle w:val="RKnormal"/>
      </w:pPr>
      <w:r w:rsidRPr="008B692A">
        <w:t>Europaparlamentet uppmanar dessutom kommissionen att stödja allomfattande fredsdialog, politisk dialog och försoningsprocess och att stärka olika gruppers och civilsamhällens medverkan i alla faser av återhämtningsperioden och utvecklingsstrategierna.</w:t>
      </w:r>
    </w:p>
    <w:p w:rsidR="00840297" w:rsidRPr="008B692A" w:rsidRDefault="00840297" w:rsidP="00840297">
      <w:pPr>
        <w:pStyle w:val="RKnormal"/>
      </w:pPr>
    </w:p>
    <w:p w:rsidR="00840297" w:rsidRPr="008B692A" w:rsidRDefault="00840297" w:rsidP="00840297">
      <w:pPr>
        <w:pStyle w:val="RKnormal"/>
      </w:pPr>
      <w:r w:rsidRPr="008B692A">
        <w:t>Parlamentet betonar att varaktig fred endast kan uppnås om rättvisa skipas och upplevs vara skipad, särskilt i fråga om krigsbrott och brott mot mänskligheten. I detta sammanhang uppmanas kommissionen att stödja en förstärkning av rättssystemen och domstolarna i instabila stater, för att se till att de som begår allvarliga brott mot mänskligheten överlämnas till rättvisan, men även för att möjliggöra parallella framsteg inom initiativ för rättvisa och försoning.</w:t>
      </w:r>
    </w:p>
    <w:p w:rsidR="00840297" w:rsidRPr="008B692A" w:rsidRDefault="00840297" w:rsidP="00840297">
      <w:pPr>
        <w:pStyle w:val="RKnormal"/>
      </w:pPr>
    </w:p>
    <w:p w:rsidR="00840297" w:rsidRPr="008B692A" w:rsidRDefault="00840297" w:rsidP="00840297">
      <w:pPr>
        <w:pStyle w:val="RKnormal"/>
      </w:pPr>
      <w:r w:rsidRPr="008B692A">
        <w:t>Europaparlamentet hävdar att en övergripande modell för instabilitet och utveckling måste ta hänsyn till befintliga lokala, regionala och kontinentala initiativ såsom AU:s politik för återuppbyggnad och utveckling efter konflikter, det nya partnerskapet för Afrikas utveckling (Nepad), det afrikanska systemet för inbördes utvärdering och stadgan om demokrati, val och styrelseskick i Afrika. Kommissionen uppmanas därför att stödja ansträngningar för att förstärka syd-syd-samarbete på detta område.</w:t>
      </w:r>
    </w:p>
    <w:p w:rsidR="00840297" w:rsidRPr="008B692A" w:rsidRDefault="00840297" w:rsidP="00840297">
      <w:pPr>
        <w:pStyle w:val="RKnormal"/>
      </w:pPr>
    </w:p>
    <w:p w:rsidR="00840297" w:rsidRPr="008B692A" w:rsidRDefault="00840297" w:rsidP="00840297">
      <w:pPr>
        <w:pStyle w:val="RKnormal"/>
      </w:pPr>
      <w:r w:rsidRPr="008B692A">
        <w:t>Parlamentet uppmanar dessutom kommissionen att se till att inrikes- intressenter medverkar fullt ut i ansträngningarna för att bekämpa instabila situationer, men även att man tar hänsyn till deras egen uppfattning och definition av statsbygge och deras statsmodell, och att lokal expertis utnyttjas.</w:t>
      </w:r>
    </w:p>
    <w:p w:rsidR="00840297" w:rsidRPr="008B692A" w:rsidRDefault="00840297" w:rsidP="00840297">
      <w:pPr>
        <w:pStyle w:val="RKnormal"/>
      </w:pPr>
    </w:p>
    <w:p w:rsidR="00840297" w:rsidRPr="008B692A" w:rsidRDefault="00840297" w:rsidP="00840297">
      <w:pPr>
        <w:pStyle w:val="RKnormal"/>
      </w:pPr>
      <w:r w:rsidRPr="008B692A">
        <w:t>Europaparlamentet understryker att ta itu med instabila situationer är problematiskt och kräver betydande ekonomiska och personella resurser, liksom långsiktiga åtaganden. Europaparlamentet uppmanar därför kommissionen att se till att sådana resurser görs tillgängliga i tillräcklig, lämplig och förutsebar form, och att det råder konsekvens mellan olika biståndsorgan.</w:t>
      </w:r>
    </w:p>
    <w:p w:rsidR="00840297" w:rsidRPr="008B692A" w:rsidRDefault="00840297" w:rsidP="00840297">
      <w:pPr>
        <w:pStyle w:val="RKnormal"/>
      </w:pPr>
    </w:p>
    <w:p w:rsidR="00840297" w:rsidRPr="008B692A" w:rsidRDefault="00840297" w:rsidP="00840297">
      <w:pPr>
        <w:pStyle w:val="RKnormal"/>
      </w:pPr>
      <w:r w:rsidRPr="008B692A">
        <w:t>Parlamentet uppmanar vidare kommissionen att ge parlamentet en översikt över biståndsgivare och internationella aktörer och vilket slags arbete de utför, i syfte att möjliggöra kontroll samt bästa möjliga användning av tillgängliga redskap och resurser.</w:t>
      </w:r>
    </w:p>
    <w:p w:rsidR="00840297" w:rsidRPr="008B692A" w:rsidRDefault="00840297" w:rsidP="00052F9A">
      <w:pPr>
        <w:pStyle w:val="RKnormal"/>
        <w:rPr>
          <w:rFonts w:ascii="Arial" w:hAnsi="Arial" w:cs="Arial"/>
          <w:color w:val="666666"/>
          <w:sz w:val="18"/>
          <w:szCs w:val="18"/>
        </w:rPr>
      </w:pPr>
    </w:p>
    <w:p w:rsidR="00AB35E5" w:rsidRPr="008B692A" w:rsidRDefault="00AB35E5" w:rsidP="00052F9A">
      <w:pPr>
        <w:pStyle w:val="RKnormal"/>
        <w:rPr>
          <w:b/>
        </w:rPr>
      </w:pPr>
    </w:p>
    <w:p w:rsidR="00840297" w:rsidRPr="008B692A" w:rsidRDefault="00052F9A" w:rsidP="00052F9A">
      <w:pPr>
        <w:pStyle w:val="RKnormal"/>
        <w:rPr>
          <w:b/>
        </w:rPr>
      </w:pPr>
      <w:r w:rsidRPr="008B692A">
        <w:rPr>
          <w:b/>
        </w:rPr>
        <w:t xml:space="preserve">8. </w:t>
      </w:r>
      <w:r w:rsidR="00840297" w:rsidRPr="008B692A">
        <w:rPr>
          <w:b/>
        </w:rPr>
        <w:t>Handel och ekonomiska förbindelser med Ukraina</w:t>
      </w:r>
    </w:p>
    <w:p w:rsidR="00840297" w:rsidRPr="008B692A" w:rsidRDefault="00840297" w:rsidP="00052F9A">
      <w:pPr>
        <w:pStyle w:val="RKnormal"/>
        <w:rPr>
          <w:b/>
        </w:rPr>
      </w:pPr>
    </w:p>
    <w:p w:rsidR="00840297" w:rsidRPr="008B692A" w:rsidRDefault="00840297" w:rsidP="005B3328">
      <w:pPr>
        <w:pStyle w:val="RKnormal"/>
      </w:pPr>
      <w:r w:rsidRPr="008B692A">
        <w:t>Europaparlamentet uppmanar kommissionen och medlemsstaterna att erbjuda ytterligare politiskt och diplomatiskt stöd när det gäller Ukrainas WTO-anslutning och ge Ukraina fortsatt hjälp för att kunna uppnå de nödvändiga kraven. Parlamentet uppmanar kommissionen att hjälpa Ukraina att till fullo utnyttja de övergångsperioder som beviljats för uppfyllandet av de ofta hårda krav som är förenade med dess medlemskap i WTO.</w:t>
      </w:r>
    </w:p>
    <w:p w:rsidR="00840297" w:rsidRPr="008B692A" w:rsidRDefault="00840297" w:rsidP="005B3328">
      <w:pPr>
        <w:pStyle w:val="RKnormal"/>
      </w:pPr>
    </w:p>
    <w:p w:rsidR="005B3328" w:rsidRPr="008B692A" w:rsidRDefault="00840297" w:rsidP="005B3328">
      <w:pPr>
        <w:pStyle w:val="RKnormal"/>
      </w:pPr>
      <w:r w:rsidRPr="008B692A">
        <w:t xml:space="preserve">Parlamentet uppmanar </w:t>
      </w:r>
      <w:r w:rsidR="005B3328" w:rsidRPr="008B692A">
        <w:t xml:space="preserve">vidare </w:t>
      </w:r>
      <w:r w:rsidRPr="008B692A">
        <w:t>kommissionen och den ukrainska regeringen att noggrant beakta resultaten av bedömningen av konsekvenserna för hållbar utveckling när de genomför frihandelsområdet.</w:t>
      </w:r>
      <w:r w:rsidR="005B3328" w:rsidRPr="008B692A">
        <w:t xml:space="preserve"> Parlamentet uppmanar kommissionen och Ukrainas regering att upprätta ett forum för hållbar utveckling med ett tydligt klimatinslag, som står öppet för företrädare för det civila samhället, redan innan förhandlingarna om ett frihandelsområde avslutas.</w:t>
      </w:r>
    </w:p>
    <w:p w:rsidR="00840297" w:rsidRPr="008B692A" w:rsidRDefault="00840297" w:rsidP="005B3328">
      <w:pPr>
        <w:pStyle w:val="RKnormal"/>
      </w:pPr>
    </w:p>
    <w:p w:rsidR="00840297" w:rsidRPr="008B692A" w:rsidRDefault="00840297" w:rsidP="005B3328">
      <w:pPr>
        <w:pStyle w:val="RKnormal"/>
      </w:pPr>
      <w:r w:rsidRPr="008B692A">
        <w:t xml:space="preserve">Europaparlamentet uppmanar </w:t>
      </w:r>
      <w:r w:rsidR="005B3328" w:rsidRPr="008B692A">
        <w:t xml:space="preserve">dessutom </w:t>
      </w:r>
      <w:r w:rsidRPr="008B692A">
        <w:t>de kontraktsslutande parterna att noggrant beakta upprättandet av en sund och effektiv institutionell ram i samband med inrättandet av och maktfördelningen till rådgivande gemensamma kommittéer med uppgift att utfärda rekommendationer för ytterligare förbättring av den ömsesidiga handeln och de ekonomiska förbindelserna samt sporra upprättandet av fungerande tvistlösningsmekanismer.</w:t>
      </w:r>
    </w:p>
    <w:p w:rsidR="00840297" w:rsidRPr="008B692A" w:rsidRDefault="00840297" w:rsidP="005B3328">
      <w:pPr>
        <w:pStyle w:val="RKnormal"/>
      </w:pPr>
    </w:p>
    <w:p w:rsidR="00840297" w:rsidRPr="008B692A" w:rsidRDefault="00840297" w:rsidP="005B3328">
      <w:pPr>
        <w:pStyle w:val="RKnormal"/>
      </w:pPr>
      <w:r w:rsidRPr="008B692A">
        <w:t xml:space="preserve">Parlamentet uppmanar </w:t>
      </w:r>
      <w:r w:rsidR="005B3328" w:rsidRPr="008B692A">
        <w:t xml:space="preserve">även </w:t>
      </w:r>
      <w:r w:rsidRPr="008B692A">
        <w:t>kommissionen och medlemsstaterna att överväga ytterligare avreglering gentemot Ukraina genom att ge möjlighet till särskilda förmånsordningar enligt klausulen om "arbetstagares rättigheter" (varigenom länder som Ukraina, som genomfört ILO:s regler om grundläggande arbetstagarrättigheter, beviljas förmånsbehandling).</w:t>
      </w:r>
    </w:p>
    <w:p w:rsidR="005B3328" w:rsidRPr="008B692A" w:rsidRDefault="005B3328" w:rsidP="005B3328">
      <w:pPr>
        <w:pStyle w:val="RKnormal"/>
      </w:pPr>
    </w:p>
    <w:p w:rsidR="005B3328" w:rsidRPr="008B692A" w:rsidRDefault="005B3328" w:rsidP="005B3328">
      <w:pPr>
        <w:pStyle w:val="RKnormal"/>
      </w:pPr>
      <w:r w:rsidRPr="008B692A">
        <w:t>Europaparlamentet uppmanar likaså kommissionen att se till att handelsskyddsåtgärder endast tillämpas när de snedvridande effekterna inom handeln har lett till skadlig dumpning eller skadligt stöd.</w:t>
      </w:r>
    </w:p>
    <w:p w:rsidR="005B3328" w:rsidRPr="008B692A" w:rsidRDefault="005B3328" w:rsidP="005B3328">
      <w:pPr>
        <w:pStyle w:val="RKnormal"/>
      </w:pPr>
    </w:p>
    <w:p w:rsidR="005B3328" w:rsidRPr="008B692A" w:rsidRDefault="005B3328" w:rsidP="005B3328">
      <w:pPr>
        <w:pStyle w:val="RKnormal"/>
      </w:pPr>
      <w:r w:rsidRPr="008B692A">
        <w:t>Parlamentet uppmanar vidare till ytterligare högnivåsamtal mellan Ukraina och EU om energifrågor i syfte att fullständigt genomföra samförståndsavtalet om samarbete på energiområdet mellan EU och Ukraina.</w:t>
      </w:r>
    </w:p>
    <w:p w:rsidR="005B3328" w:rsidRPr="008B692A" w:rsidRDefault="005B3328" w:rsidP="005B3328">
      <w:pPr>
        <w:pStyle w:val="RKnormal"/>
      </w:pPr>
    </w:p>
    <w:p w:rsidR="005B3328" w:rsidRPr="008B692A" w:rsidRDefault="005B3328" w:rsidP="005B3328">
      <w:pPr>
        <w:pStyle w:val="RKnormal"/>
      </w:pPr>
      <w:r w:rsidRPr="008B692A">
        <w:t>Europaparlamentet uppmanar kommissionen och Ukrainas regering att stärka samarbetet i fråga om program för vetenskap, teknik, utbildning, yrkesutbildning och vetenskapliga studier, t.ex. Erasmus Mundus och Jean Monnet-programmet.</w:t>
      </w:r>
    </w:p>
    <w:p w:rsidR="005B3328" w:rsidRPr="008B692A" w:rsidRDefault="005B3328" w:rsidP="005B3328">
      <w:pPr>
        <w:pStyle w:val="RKnormal"/>
      </w:pPr>
    </w:p>
    <w:p w:rsidR="005B3328" w:rsidRPr="008B692A" w:rsidRDefault="005B3328" w:rsidP="005B3328">
      <w:pPr>
        <w:pStyle w:val="RKnormal"/>
      </w:pPr>
      <w:r w:rsidRPr="008B692A">
        <w:t>Parlamentet uppmanar också kommissionen att inleda diskussioner i syfte att få till stånd ett rättsligt samarbete om sanitära och fytosanitära frågor. Parlamentet uppmanar kommissionen att inleda förhandlingar med Ukraina om skydd av geografiska beteckningar och införliva resultaten av dessa förhandlingar i det framtida frihandelsavtalet.</w:t>
      </w:r>
    </w:p>
    <w:p w:rsidR="005B3328" w:rsidRPr="008B692A" w:rsidRDefault="005B3328" w:rsidP="005B3328">
      <w:pPr>
        <w:pStyle w:val="RKnormal"/>
      </w:pPr>
    </w:p>
    <w:p w:rsidR="005B3328" w:rsidRPr="008B692A" w:rsidRDefault="005B3328" w:rsidP="005B3328">
      <w:pPr>
        <w:pStyle w:val="RKnormal"/>
      </w:pPr>
      <w:r w:rsidRPr="008B692A">
        <w:t>Europaparlamentet uppmanar även kommissionen att främja en trepartsdialog mellan Ukraina, Ryssland och EU för att främja ett klimat av säkerhet och fred i regionen, en dialog som bör ge Ukraina möjlighet att stärka sin egen oberoende identitet utan att bli isolerat.</w:t>
      </w:r>
    </w:p>
    <w:p w:rsidR="005B3328" w:rsidRPr="008B692A" w:rsidRDefault="005B3328" w:rsidP="005B3328">
      <w:pPr>
        <w:pStyle w:val="RKnormal"/>
      </w:pPr>
    </w:p>
    <w:p w:rsidR="005B3328" w:rsidRPr="008B692A" w:rsidRDefault="005B3328" w:rsidP="005B3328">
      <w:pPr>
        <w:pStyle w:val="RKnormal"/>
      </w:pPr>
      <w:r w:rsidRPr="008B692A">
        <w:t xml:space="preserve">Parlamentet uppmanar </w:t>
      </w:r>
      <w:r w:rsidR="00C84F93" w:rsidRPr="008B692A">
        <w:t>de</w:t>
      </w:r>
      <w:r w:rsidRPr="008B692A">
        <w:t>ssutom kommissionen och Ukrainas regering att fortsätta genomföra övervakningsåtgärder (som fastställs med utgångspunkt i resultatet av en korrekt utvärdering) när det gäller hur EU:s utvidgning nyligen har påverkat handeln mellan EU och Ukraina.</w:t>
      </w:r>
    </w:p>
    <w:p w:rsidR="00DE1C03" w:rsidRPr="008B692A" w:rsidRDefault="00DE1C03" w:rsidP="005B3328">
      <w:pPr>
        <w:pStyle w:val="RKnormal"/>
      </w:pPr>
    </w:p>
    <w:p w:rsidR="00DE1C03" w:rsidRPr="008B692A" w:rsidRDefault="00DE1C03" w:rsidP="005B3328">
      <w:pPr>
        <w:pStyle w:val="RKnormal"/>
        <w:rPr>
          <w:b/>
        </w:rPr>
      </w:pPr>
      <w:r w:rsidRPr="008B692A">
        <w:rPr>
          <w:b/>
        </w:rPr>
        <w:t xml:space="preserve">9. </w:t>
      </w:r>
      <w:r w:rsidR="0044447D" w:rsidRPr="008B692A">
        <w:rPr>
          <w:b/>
        </w:rPr>
        <w:t xml:space="preserve"> Utropandet av ett europeiskt samförstånd om humanitärt bistånd</w:t>
      </w:r>
    </w:p>
    <w:p w:rsidR="0044447D" w:rsidRPr="008B692A" w:rsidRDefault="0044447D" w:rsidP="005B3328">
      <w:pPr>
        <w:pStyle w:val="RKnormal"/>
      </w:pPr>
    </w:p>
    <w:p w:rsidR="0044447D" w:rsidRPr="008B692A" w:rsidRDefault="0044447D" w:rsidP="0044447D">
      <w:pPr>
        <w:pStyle w:val="RKnormal"/>
      </w:pPr>
      <w:r w:rsidRPr="008B692A">
        <w:t xml:space="preserve">Europaparlamentet välkomnar att rådet, företrädarna för medlemsstaternas regeringar församlade i rådet, Europaparlamentet och kommissionen för första gången har kommit överens om att fastställa en gemensam vision, politiska mål och gemensamma principer för att EU ska kunna tillhandahålla ett effektivare humanitärt bistånd till tredjeländer. </w:t>
      </w:r>
    </w:p>
    <w:p w:rsidR="0044447D" w:rsidRPr="008B692A" w:rsidRDefault="0044447D" w:rsidP="0044447D">
      <w:pPr>
        <w:pStyle w:val="RKnormal"/>
      </w:pPr>
    </w:p>
    <w:p w:rsidR="0044447D" w:rsidRPr="008B692A" w:rsidRDefault="0044447D" w:rsidP="0044447D">
      <w:pPr>
        <w:pStyle w:val="RKnormal"/>
      </w:pPr>
      <w:r w:rsidRPr="008B692A">
        <w:t>Därför godkänner Europaparlamentet den gemensamma förklaringen av rådet och företrädarna för medlemsstaternas regeringar församlade i rådet, Europaparlamentet och kommissionen om ett europeiskt samförstånd om humanitärt bistånd.</w:t>
      </w:r>
    </w:p>
    <w:p w:rsidR="0044447D" w:rsidRPr="008B692A" w:rsidRDefault="0044447D" w:rsidP="0044447D">
      <w:pPr>
        <w:pStyle w:val="RKnormal"/>
      </w:pPr>
    </w:p>
    <w:p w:rsidR="0044447D" w:rsidRPr="008B692A" w:rsidRDefault="007C3144" w:rsidP="0044447D">
      <w:pPr>
        <w:pStyle w:val="RKnormal"/>
        <w:rPr>
          <w:b/>
        </w:rPr>
      </w:pPr>
      <w:r w:rsidRPr="008B692A">
        <w:rPr>
          <w:b/>
        </w:rPr>
        <w:t>10. Situationen i Georgien</w:t>
      </w:r>
    </w:p>
    <w:p w:rsidR="007C3144" w:rsidRPr="008B692A" w:rsidRDefault="007C3144" w:rsidP="0044447D">
      <w:pPr>
        <w:pStyle w:val="RKnormal"/>
      </w:pPr>
    </w:p>
    <w:p w:rsidR="007C3144" w:rsidRPr="008B692A" w:rsidRDefault="007C3144" w:rsidP="007C3144">
      <w:pPr>
        <w:pStyle w:val="RKnormal"/>
      </w:pPr>
      <w:r w:rsidRPr="008B692A">
        <w:t>Europaparlamentet uppmanar de georgiska myndigheterna att till fullo respektera alla politiska partiers rätt att delta i en genuint demokratisk valprocess som uppfyller europeiska och internationella normer.</w:t>
      </w:r>
    </w:p>
    <w:p w:rsidR="007C3144" w:rsidRPr="008B692A" w:rsidRDefault="007C3144" w:rsidP="007C3144">
      <w:pPr>
        <w:pStyle w:val="RKnormal"/>
      </w:pPr>
    </w:p>
    <w:p w:rsidR="007C3144" w:rsidRPr="008B692A" w:rsidRDefault="007C3144" w:rsidP="007C3144">
      <w:pPr>
        <w:pStyle w:val="RKnormal"/>
      </w:pPr>
      <w:r w:rsidRPr="008B692A">
        <w:t>Parlamentet uppmanar vidare Georgiens president och regering att inleda konstruktiva samtal med alla oppositionspartier för att skapa ett brett samförstånd i brådskande konstitutionella och valrelaterade frågor.</w:t>
      </w:r>
    </w:p>
    <w:p w:rsidR="007C3144" w:rsidRPr="008B692A" w:rsidRDefault="007C3144" w:rsidP="007C3144">
      <w:pPr>
        <w:pStyle w:val="RKnormal"/>
      </w:pPr>
    </w:p>
    <w:p w:rsidR="007C3144" w:rsidRPr="008B692A" w:rsidRDefault="007C3144" w:rsidP="007C3144">
      <w:pPr>
        <w:pStyle w:val="RKnormal"/>
      </w:pPr>
      <w:r w:rsidRPr="008B692A">
        <w:t xml:space="preserve">Europaparlamentet uppmanar också de ryska myndigheterna att inte försöka påverka Georgiens inre angelägenheter, t.ex. genom påtryckningar på de georgiska oppositionspolitikerna, mediakampanjer, upptrappning av diplomatiska kriser och konflikter i </w:t>
      </w:r>
      <w:r w:rsidRPr="008B692A">
        <w:rPr>
          <w:szCs w:val="24"/>
        </w:rPr>
        <w:t xml:space="preserve">Abchazien </w:t>
      </w:r>
      <w:r w:rsidRPr="008B692A">
        <w:t>och Sydossetien där det ofta förekommer våldsamma incidenter.</w:t>
      </w:r>
    </w:p>
    <w:p w:rsidR="007C3144" w:rsidRPr="008B692A" w:rsidRDefault="007C3144" w:rsidP="007C3144">
      <w:pPr>
        <w:pStyle w:val="RKnormal"/>
      </w:pPr>
    </w:p>
    <w:p w:rsidR="007C3144" w:rsidRPr="008B692A" w:rsidRDefault="007C3144" w:rsidP="007C3144">
      <w:pPr>
        <w:pStyle w:val="RKnormal"/>
      </w:pPr>
      <w:r w:rsidRPr="008B692A">
        <w:t xml:space="preserve">Parlamentet uppmanar vidare Ryssland att sluta stödja separatistaktiviteterna i </w:t>
      </w:r>
      <w:r w:rsidRPr="008B692A">
        <w:rPr>
          <w:szCs w:val="24"/>
        </w:rPr>
        <w:t>Abchazien</w:t>
      </w:r>
      <w:r w:rsidRPr="008B692A">
        <w:t>, Adjzarien och Sydossetien samt respektera Georgiens rätt att bibehålla sin territoriella integritet som suverän</w:t>
      </w:r>
      <w:bookmarkStart w:id="0" w:name="DocEPLastPosition"/>
      <w:bookmarkEnd w:id="0"/>
      <w:r w:rsidRPr="008B692A">
        <w:t xml:space="preserve"> stat.</w:t>
      </w:r>
    </w:p>
    <w:p w:rsidR="007C3144" w:rsidRPr="008B692A" w:rsidRDefault="007C3144" w:rsidP="007C3144">
      <w:pPr>
        <w:pStyle w:val="RKnormal"/>
      </w:pPr>
    </w:p>
    <w:p w:rsidR="007C3144" w:rsidRPr="008B692A" w:rsidRDefault="007C3144" w:rsidP="007C3144">
      <w:pPr>
        <w:pStyle w:val="RKnormal"/>
      </w:pPr>
      <w:r w:rsidRPr="008B692A">
        <w:t>Europaparlamentet erkänner att Europeiska unionen inte har vidtagit några åtgärder för att Ryssland ska häva embargot mot georgiska varor. Parlamentet föreslår att embargofrågan ska tas upp på nästa toppmöte mellan EU och Ryssland.</w:t>
      </w:r>
    </w:p>
    <w:p w:rsidR="00480322" w:rsidRPr="008B692A" w:rsidRDefault="00480322" w:rsidP="007C3144">
      <w:pPr>
        <w:pStyle w:val="RKnormal"/>
      </w:pPr>
    </w:p>
    <w:p w:rsidR="00480322" w:rsidRPr="008B692A" w:rsidRDefault="00480322" w:rsidP="007C3144">
      <w:pPr>
        <w:pStyle w:val="RKnormal"/>
        <w:rPr>
          <w:b/>
        </w:rPr>
      </w:pPr>
      <w:r w:rsidRPr="008B692A">
        <w:rPr>
          <w:b/>
        </w:rPr>
        <w:t>11. Vidareutveckling av Afrikas jordbruk – Förslag till jordbruksutveckling och livsmedelssäkerhet i Afrika</w:t>
      </w:r>
    </w:p>
    <w:p w:rsidR="00480322" w:rsidRPr="008B692A" w:rsidRDefault="00480322" w:rsidP="007C3144">
      <w:pPr>
        <w:pStyle w:val="RKnormal"/>
        <w:rPr>
          <w:b/>
        </w:rPr>
      </w:pPr>
    </w:p>
    <w:p w:rsidR="00480322" w:rsidRPr="008B692A" w:rsidRDefault="00480322" w:rsidP="00480322">
      <w:pPr>
        <w:pStyle w:val="RKnormal"/>
      </w:pPr>
      <w:r w:rsidRPr="008B692A">
        <w:t>Parlamentet uppmanar kommissionen att inleda en förhandlingsprocess med parlament och aktörer från civilsamhället om deras roll i genomförandet och övervakningen av den gemensamma EU/Afrika-strategin.</w:t>
      </w:r>
    </w:p>
    <w:p w:rsidR="00480322" w:rsidRPr="008B692A" w:rsidRDefault="00480322" w:rsidP="007C3144">
      <w:pPr>
        <w:pStyle w:val="RKnormal"/>
        <w:rPr>
          <w:rFonts w:ascii="Arial" w:hAnsi="Arial" w:cs="Arial"/>
          <w:color w:val="666666"/>
          <w:sz w:val="18"/>
          <w:szCs w:val="18"/>
        </w:rPr>
      </w:pPr>
    </w:p>
    <w:p w:rsidR="00480322" w:rsidRPr="008B692A" w:rsidRDefault="00480322" w:rsidP="00480322">
      <w:pPr>
        <w:pStyle w:val="RKnormal"/>
      </w:pPr>
      <w:r w:rsidRPr="008B692A">
        <w:t>Europaparlamentet betonar vikten av att främja ökat deltagande av regeringar, lokala myndigheter och såväl nationella som regionala parlament i beslutsprocessen om jordbrukspolitik och livsmedelstrygghet, och även underlätta ett mer omfattande deltagande från civilsamhällets sida. Parlamentet uppmanar därför kommissionen att stödja arbetet för att utforma och tillämpa en gemensam regional jordbrukspolitik, med verkligt deltagande av berörda parter.</w:t>
      </w:r>
    </w:p>
    <w:p w:rsidR="00480322" w:rsidRPr="008B692A" w:rsidRDefault="00480322" w:rsidP="00480322">
      <w:pPr>
        <w:pStyle w:val="RKnormal"/>
      </w:pPr>
    </w:p>
    <w:p w:rsidR="00480322" w:rsidRPr="008B692A" w:rsidRDefault="00480322" w:rsidP="00480322">
      <w:pPr>
        <w:pStyle w:val="RKnormal"/>
      </w:pPr>
      <w:r w:rsidRPr="008B692A">
        <w:t>Parlamentet uppmanar de internationella organen att arbeta för att gradvis ersätta livsmedelsbiståndet genom att främja stöd till och utveckling av lokala jordbruk, om livsmedelsbistånd är det enda alternativet. Parlamentet betonar att lokala inköp och/eller inköp i angränsande områden i ett land som befinner sig i svårigheter eller inom regionen måste prioriteras.</w:t>
      </w:r>
    </w:p>
    <w:p w:rsidR="00480322" w:rsidRPr="008B692A" w:rsidRDefault="00480322" w:rsidP="00480322">
      <w:pPr>
        <w:pStyle w:val="RKnormal"/>
      </w:pPr>
    </w:p>
    <w:p w:rsidR="00480322" w:rsidRPr="008B692A" w:rsidRDefault="00480322" w:rsidP="00480322">
      <w:pPr>
        <w:pStyle w:val="RKnormal"/>
      </w:pPr>
      <w:r w:rsidRPr="008B692A">
        <w:t>Europaparlamentet uppmanar EU att utarbeta en tidtabell för att avskaffa politik för jordbruksexport som är skadlig för sårbara jordbruksföretag i utvecklingsländerna, och att utöva påtryckningar på andra internationella aktörer att göra detsamma.</w:t>
      </w:r>
    </w:p>
    <w:p w:rsidR="00480322" w:rsidRPr="008B692A" w:rsidRDefault="00480322" w:rsidP="00480322">
      <w:pPr>
        <w:pStyle w:val="RKnormal"/>
      </w:pPr>
    </w:p>
    <w:p w:rsidR="00480322" w:rsidRPr="008B692A" w:rsidRDefault="00480322" w:rsidP="00480322">
      <w:pPr>
        <w:pStyle w:val="RKnormal"/>
      </w:pPr>
      <w:r w:rsidRPr="008B692A">
        <w:t>Parlamentet upprepar vidare att EU-länderna måste respektera åtagandet att nå en varaktig fred som en nödvändig förutsättning för livsmedelssäkerhet och följaktligen särskilt prioritera främjande av fred. Parlamentet uppmanar regeringarna i både nord och syd att söka fredliga lösningar på konflikter och upprepar att kravet när det gäller handel med vapen och antipersonella minor måste stoppas.</w:t>
      </w:r>
    </w:p>
    <w:p w:rsidR="00480322" w:rsidRPr="008B692A" w:rsidRDefault="00480322" w:rsidP="00480322">
      <w:pPr>
        <w:pStyle w:val="RKnormal"/>
      </w:pPr>
    </w:p>
    <w:p w:rsidR="00480322" w:rsidRPr="008B692A" w:rsidRDefault="00480322" w:rsidP="00480322">
      <w:pPr>
        <w:pStyle w:val="RKnormal"/>
      </w:pPr>
      <w:r w:rsidRPr="008B692A">
        <w:t>Europaparlamentet uppmanar kommissionen och medlemsstaterna att utforma en effektivare utvecklingspolitik för att göra det möjligt att inrätta mer omfattande grundläggande infrastrukturer för jordbrukssektorn (konstbevattning, elektricitet, transporter, vägnät osv.) och att de medel som anslås för central samhällsservice av detta slag ska fördelas bättre.</w:t>
      </w:r>
    </w:p>
    <w:p w:rsidR="00480322" w:rsidRPr="008B692A" w:rsidRDefault="00480322" w:rsidP="00480322">
      <w:pPr>
        <w:pStyle w:val="RKnormal"/>
      </w:pPr>
    </w:p>
    <w:p w:rsidR="00480322" w:rsidRPr="008B692A" w:rsidRDefault="009D6183" w:rsidP="00480322">
      <w:pPr>
        <w:pStyle w:val="RKnormal"/>
      </w:pPr>
      <w:r w:rsidRPr="008B692A">
        <w:t>P</w:t>
      </w:r>
      <w:r w:rsidR="00480322" w:rsidRPr="008B692A">
        <w:t xml:space="preserve">arlamentet uppmanar </w:t>
      </w:r>
      <w:r w:rsidRPr="008B692A">
        <w:t xml:space="preserve">också </w:t>
      </w:r>
      <w:r w:rsidR="00480322" w:rsidRPr="008B692A">
        <w:t>EU att inom ramen för FN:s konvention för bekämpning av ökenspridning (UNCCD) främja en mer effektiv integration av de nationella planerna i de afrikanska parternas nationella utvecklingsstrategier.</w:t>
      </w:r>
    </w:p>
    <w:p w:rsidR="009D6183" w:rsidRPr="008B692A" w:rsidRDefault="009D6183" w:rsidP="00480322">
      <w:pPr>
        <w:pStyle w:val="RKnormal"/>
      </w:pPr>
    </w:p>
    <w:p w:rsidR="00480322" w:rsidRPr="008B692A" w:rsidRDefault="00480322" w:rsidP="00480322">
      <w:pPr>
        <w:pStyle w:val="RKnormal"/>
      </w:pPr>
      <w:r w:rsidRPr="008B692A">
        <w:t xml:space="preserve">Europaparlamentet uppmanar </w:t>
      </w:r>
      <w:r w:rsidR="009D6183" w:rsidRPr="008B692A">
        <w:t xml:space="preserve">dessutom </w:t>
      </w:r>
      <w:r w:rsidRPr="008B692A">
        <w:t>kommissionen att bygga upp ett effektivt samarbete med FN:s livsmedels- och jordbruksorganisation (FAO) och Internationella jordbruksutvecklingsfonden (IFAD), som grundas på dessa institutioners komparativa fördelar på jordbruks- och landsbygdutvecklingsområdet.</w:t>
      </w:r>
    </w:p>
    <w:p w:rsidR="00480322" w:rsidRPr="008B692A" w:rsidRDefault="00480322" w:rsidP="007C3144">
      <w:pPr>
        <w:pStyle w:val="RKnormal"/>
        <w:rPr>
          <w:b/>
        </w:rPr>
      </w:pPr>
    </w:p>
    <w:p w:rsidR="007C3144" w:rsidRPr="008B692A" w:rsidRDefault="007C3144" w:rsidP="007C3144">
      <w:pPr>
        <w:pStyle w:val="RKnormal"/>
      </w:pPr>
    </w:p>
    <w:p w:rsidR="007C3144" w:rsidRPr="008B692A" w:rsidRDefault="007C3144" w:rsidP="007C3144">
      <w:pPr>
        <w:pStyle w:val="RKnormal"/>
      </w:pPr>
    </w:p>
    <w:p w:rsidR="007C3144" w:rsidRPr="008B692A" w:rsidRDefault="007C3144" w:rsidP="0044447D">
      <w:pPr>
        <w:pStyle w:val="RKnormal"/>
      </w:pPr>
    </w:p>
    <w:p w:rsidR="0044447D" w:rsidRPr="008B692A" w:rsidRDefault="0044447D" w:rsidP="0044447D">
      <w:pPr>
        <w:pStyle w:val="RKnormal"/>
      </w:pPr>
    </w:p>
    <w:p w:rsidR="0044447D" w:rsidRPr="008B692A" w:rsidRDefault="0044447D" w:rsidP="005B3328">
      <w:pPr>
        <w:pStyle w:val="RKnormal"/>
      </w:pPr>
    </w:p>
    <w:p w:rsidR="0044447D" w:rsidRPr="008B692A" w:rsidRDefault="0044447D" w:rsidP="005B3328">
      <w:pPr>
        <w:pStyle w:val="RKnormal"/>
      </w:pPr>
    </w:p>
    <w:p w:rsidR="00840297" w:rsidRPr="008B692A" w:rsidRDefault="00840297" w:rsidP="00052F9A">
      <w:pPr>
        <w:pStyle w:val="RKnormal"/>
        <w:rPr>
          <w:b/>
        </w:rPr>
      </w:pPr>
    </w:p>
    <w:sectPr w:rsidR="00840297" w:rsidRPr="008B692A" w:rsidSect="00A61CF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542" w:rsidRPr="008B692A" w:rsidRDefault="00115542">
      <w:r w:rsidRPr="008B692A">
        <w:separator/>
      </w:r>
    </w:p>
  </w:endnote>
  <w:endnote w:type="continuationSeparator" w:id="0">
    <w:p w:rsidR="00115542" w:rsidRPr="008B692A" w:rsidRDefault="00115542">
      <w:r w:rsidRPr="008B6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542" w:rsidRPr="008B692A" w:rsidRDefault="00115542">
      <w:r w:rsidRPr="008B692A">
        <w:separator/>
      </w:r>
    </w:p>
  </w:footnote>
  <w:footnote w:type="continuationSeparator" w:id="0">
    <w:p w:rsidR="00115542" w:rsidRPr="008B692A" w:rsidRDefault="00115542">
      <w:r w:rsidRPr="008B6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07" w:rsidRPr="008B692A" w:rsidRDefault="00CA6307">
    <w:pPr>
      <w:pStyle w:val="Sidhuvud"/>
      <w:framePr w:wrap="around" w:vAnchor="text" w:hAnchor="margin" w:xAlign="right" w:y="1"/>
      <w:rPr>
        <w:rStyle w:val="Sidnummer"/>
      </w:rPr>
    </w:pPr>
    <w:r w:rsidRPr="008B692A">
      <w:rPr>
        <w:rStyle w:val="Sidnummer"/>
      </w:rPr>
      <w:fldChar w:fldCharType="begin" w:fldLock="1"/>
    </w:r>
    <w:r w:rsidRPr="008B692A">
      <w:rPr>
        <w:rStyle w:val="Sidnummer"/>
      </w:rPr>
      <w:instrText xml:space="preserve">PAGE  </w:instrText>
    </w:r>
    <w:r w:rsidRPr="008B692A">
      <w:rPr>
        <w:rStyle w:val="Sidnummer"/>
      </w:rPr>
      <w:fldChar w:fldCharType="separate"/>
    </w:r>
    <w:r w:rsidRPr="008B692A">
      <w:rPr>
        <w:rStyle w:val="Sidnummer"/>
      </w:rPr>
      <w:t>2</w:t>
    </w:r>
    <w:r w:rsidRPr="008B69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6307" w:rsidRPr="008B692A">
      <w:tblPrEx>
        <w:tblCellMar>
          <w:top w:w="0" w:type="dxa"/>
          <w:bottom w:w="0" w:type="dxa"/>
        </w:tblCellMar>
      </w:tblPrEx>
      <w:trPr>
        <w:cantSplit/>
      </w:trPr>
      <w:tc>
        <w:tcPr>
          <w:tcW w:w="3119" w:type="dxa"/>
        </w:tcPr>
        <w:p w:rsidR="00CA6307" w:rsidRPr="008B692A" w:rsidRDefault="00CA6307">
          <w:pPr>
            <w:pStyle w:val="Sidhuvud"/>
            <w:spacing w:line="200" w:lineRule="atLeast"/>
            <w:ind w:right="357"/>
            <w:rPr>
              <w:rFonts w:ascii="TradeGothic" w:hAnsi="TradeGothic"/>
              <w:b/>
              <w:bCs/>
              <w:sz w:val="16"/>
            </w:rPr>
          </w:pPr>
        </w:p>
      </w:tc>
      <w:tc>
        <w:tcPr>
          <w:tcW w:w="4111" w:type="dxa"/>
          <w:tcMar>
            <w:left w:w="567" w:type="dxa"/>
          </w:tcMar>
        </w:tcPr>
        <w:p w:rsidR="00CA6307" w:rsidRPr="008B692A" w:rsidRDefault="00CA6307">
          <w:pPr>
            <w:pStyle w:val="Sidhuvud"/>
            <w:ind w:right="360"/>
          </w:pPr>
        </w:p>
      </w:tc>
      <w:tc>
        <w:tcPr>
          <w:tcW w:w="1525" w:type="dxa"/>
        </w:tcPr>
        <w:p w:rsidR="00CA6307" w:rsidRPr="008B692A" w:rsidRDefault="00CA6307">
          <w:pPr>
            <w:pStyle w:val="Sidhuvud"/>
            <w:ind w:right="360"/>
          </w:pPr>
        </w:p>
      </w:tc>
    </w:tr>
  </w:tbl>
  <w:p w:rsidR="00CA6307" w:rsidRPr="008B692A" w:rsidRDefault="00CA630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07" w:rsidRPr="008B692A" w:rsidRDefault="00CA6307">
    <w:pPr>
      <w:pStyle w:val="Sidhuvud"/>
      <w:framePr w:wrap="around" w:vAnchor="text" w:hAnchor="margin" w:xAlign="right" w:y="1"/>
      <w:rPr>
        <w:rStyle w:val="Sidnummer"/>
      </w:rPr>
    </w:pPr>
    <w:r w:rsidRPr="008B692A">
      <w:rPr>
        <w:rStyle w:val="Sidnummer"/>
      </w:rPr>
      <w:fldChar w:fldCharType="begin" w:fldLock="1"/>
    </w:r>
    <w:r w:rsidRPr="008B692A">
      <w:rPr>
        <w:rStyle w:val="Sidnummer"/>
      </w:rPr>
      <w:instrText xml:space="preserve">PAGE  </w:instrText>
    </w:r>
    <w:r w:rsidRPr="008B692A">
      <w:rPr>
        <w:rStyle w:val="Sidnummer"/>
      </w:rPr>
      <w:fldChar w:fldCharType="separate"/>
    </w:r>
    <w:r w:rsidRPr="008B692A">
      <w:rPr>
        <w:rStyle w:val="Sidnummer"/>
      </w:rPr>
      <w:t>10</w:t>
    </w:r>
    <w:r w:rsidRPr="008B69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6307" w:rsidRPr="008B692A">
      <w:tblPrEx>
        <w:tblCellMar>
          <w:top w:w="0" w:type="dxa"/>
          <w:bottom w:w="0" w:type="dxa"/>
        </w:tblCellMar>
      </w:tblPrEx>
      <w:trPr>
        <w:cantSplit/>
      </w:trPr>
      <w:tc>
        <w:tcPr>
          <w:tcW w:w="3119" w:type="dxa"/>
        </w:tcPr>
        <w:p w:rsidR="00CA6307" w:rsidRPr="008B692A" w:rsidRDefault="00CA6307">
          <w:pPr>
            <w:pStyle w:val="Sidhuvud"/>
            <w:spacing w:line="200" w:lineRule="atLeast"/>
            <w:ind w:right="357"/>
            <w:rPr>
              <w:rFonts w:ascii="TradeGothic" w:hAnsi="TradeGothic"/>
              <w:b/>
              <w:bCs/>
              <w:sz w:val="16"/>
            </w:rPr>
          </w:pPr>
        </w:p>
      </w:tc>
      <w:tc>
        <w:tcPr>
          <w:tcW w:w="4111" w:type="dxa"/>
          <w:tcMar>
            <w:left w:w="567" w:type="dxa"/>
          </w:tcMar>
        </w:tcPr>
        <w:p w:rsidR="00CA6307" w:rsidRPr="008B692A" w:rsidRDefault="00CA6307">
          <w:pPr>
            <w:pStyle w:val="Sidhuvud"/>
            <w:ind w:right="360"/>
          </w:pPr>
        </w:p>
      </w:tc>
      <w:tc>
        <w:tcPr>
          <w:tcW w:w="1525" w:type="dxa"/>
        </w:tcPr>
        <w:p w:rsidR="00CA6307" w:rsidRPr="008B692A" w:rsidRDefault="00CA6307">
          <w:pPr>
            <w:pStyle w:val="Sidhuvud"/>
            <w:ind w:right="360"/>
          </w:pPr>
        </w:p>
      </w:tc>
    </w:tr>
  </w:tbl>
  <w:p w:rsidR="00CA6307" w:rsidRPr="008B692A" w:rsidRDefault="00CA630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07" w:rsidRPr="008B692A" w:rsidRDefault="008B692A">
    <w:pPr>
      <w:framePr w:w="2948" w:h="1321" w:hRule="exact" w:wrap="notBeside" w:vAnchor="page" w:hAnchor="page" w:x="1362" w:y="653"/>
    </w:pPr>
    <w:r w:rsidRPr="008B692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A6307" w:rsidRPr="008B692A" w:rsidRDefault="00CA6307">
    <w:pPr>
      <w:pStyle w:val="RKrubrik"/>
      <w:keepNext w:val="0"/>
      <w:tabs>
        <w:tab w:val="clear" w:pos="1134"/>
        <w:tab w:val="clear" w:pos="2835"/>
      </w:tabs>
      <w:spacing w:before="0" w:after="0" w:line="320" w:lineRule="atLeast"/>
      <w:rPr>
        <w:bCs/>
      </w:rPr>
    </w:pPr>
  </w:p>
  <w:p w:rsidR="00CA6307" w:rsidRPr="008B692A" w:rsidRDefault="00CA6307">
    <w:pPr>
      <w:rPr>
        <w:rFonts w:ascii="TradeGothic" w:hAnsi="TradeGothic"/>
        <w:b/>
        <w:bCs/>
        <w:spacing w:val="12"/>
        <w:sz w:val="22"/>
      </w:rPr>
    </w:pPr>
  </w:p>
  <w:p w:rsidR="00CA6307" w:rsidRPr="008B692A" w:rsidRDefault="00CA6307">
    <w:pPr>
      <w:pStyle w:val="RKrubrik"/>
      <w:keepNext w:val="0"/>
      <w:tabs>
        <w:tab w:val="clear" w:pos="1134"/>
        <w:tab w:val="clear" w:pos="2835"/>
      </w:tabs>
      <w:spacing w:before="0" w:after="0" w:line="320" w:lineRule="atLeast"/>
      <w:rPr>
        <w:bCs/>
      </w:rPr>
    </w:pPr>
  </w:p>
  <w:p w:rsidR="00CA6307" w:rsidRPr="008B692A" w:rsidRDefault="00CA630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6484E"/>
    <w:multiLevelType w:val="hybridMultilevel"/>
    <w:tmpl w:val="E1E83E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571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9A"/>
    <w:rsid w:val="00052F9A"/>
    <w:rsid w:val="000B16C2"/>
    <w:rsid w:val="000D1E89"/>
    <w:rsid w:val="00115542"/>
    <w:rsid w:val="00420E67"/>
    <w:rsid w:val="0044447D"/>
    <w:rsid w:val="00480322"/>
    <w:rsid w:val="00513631"/>
    <w:rsid w:val="005B3328"/>
    <w:rsid w:val="007863CC"/>
    <w:rsid w:val="00786BAE"/>
    <w:rsid w:val="007C3144"/>
    <w:rsid w:val="00840297"/>
    <w:rsid w:val="00875232"/>
    <w:rsid w:val="008B692A"/>
    <w:rsid w:val="009D6183"/>
    <w:rsid w:val="009E0A2B"/>
    <w:rsid w:val="00A6096C"/>
    <w:rsid w:val="00A61CF3"/>
    <w:rsid w:val="00AB35E5"/>
    <w:rsid w:val="00C84F93"/>
    <w:rsid w:val="00CA6307"/>
    <w:rsid w:val="00DA640B"/>
    <w:rsid w:val="00DE1C03"/>
    <w:rsid w:val="00E558EC"/>
    <w:rsid w:val="00F9370B"/>
    <w:rsid w:val="00FC0D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94BBFF4-F9DC-4E09-84FB-1ED775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F9A"/>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52F9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052F9A"/>
    <w:pPr>
      <w:tabs>
        <w:tab w:val="center" w:pos="4153"/>
        <w:tab w:val="right" w:pos="8306"/>
      </w:tabs>
    </w:pPr>
  </w:style>
  <w:style w:type="paragraph" w:customStyle="1" w:styleId="RKnormal">
    <w:name w:val="RKnormal"/>
    <w:basedOn w:val="Normal"/>
    <w:link w:val="RKnormalChar"/>
    <w:rsid w:val="00052F9A"/>
    <w:pPr>
      <w:tabs>
        <w:tab w:val="left" w:pos="2835"/>
      </w:tabs>
      <w:spacing w:line="240" w:lineRule="atLeast"/>
    </w:pPr>
  </w:style>
  <w:style w:type="paragraph" w:customStyle="1" w:styleId="RKrubrik">
    <w:name w:val="RKrubrik"/>
    <w:basedOn w:val="RKnormal"/>
    <w:next w:val="RKnormal"/>
    <w:rsid w:val="00052F9A"/>
    <w:pPr>
      <w:keepNext/>
      <w:tabs>
        <w:tab w:val="left" w:pos="1134"/>
      </w:tabs>
      <w:spacing w:before="360" w:after="120"/>
    </w:pPr>
    <w:rPr>
      <w:rFonts w:ascii="TradeGothic" w:hAnsi="TradeGothic"/>
      <w:b/>
      <w:sz w:val="22"/>
    </w:rPr>
  </w:style>
  <w:style w:type="character" w:styleId="Sidnummer">
    <w:name w:val="page number"/>
    <w:basedOn w:val="Standardstycketeckensnitt"/>
    <w:rsid w:val="00052F9A"/>
  </w:style>
  <w:style w:type="character" w:customStyle="1" w:styleId="RKnormalChar">
    <w:name w:val="RKnormal Char"/>
    <w:basedOn w:val="Standardstycketeckensnitt"/>
    <w:link w:val="RKnormal"/>
    <w:rsid w:val="00052F9A"/>
    <w:rPr>
      <w:rFonts w:ascii="OrigGarmnd BT" w:hAnsi="OrigGarmnd BT"/>
      <w:sz w:val="24"/>
      <w:lang w:val="sv-SE" w:eastAsia="en-US" w:bidi="ar-SA"/>
    </w:rPr>
  </w:style>
  <w:style w:type="paragraph" w:styleId="Normalwebb">
    <w:name w:val="Normal (Web)"/>
    <w:basedOn w:val="Normal"/>
    <w:rsid w:val="00052F9A"/>
    <w:pPr>
      <w:overflowPunct/>
      <w:autoSpaceDE/>
      <w:autoSpaceDN/>
      <w:adjustRightInd/>
      <w:spacing w:before="100" w:beforeAutospacing="1" w:after="100" w:afterAutospacing="1" w:line="240" w:lineRule="auto"/>
      <w:textAlignment w:val="auto"/>
    </w:pPr>
    <w:rPr>
      <w:rFonts w:ascii="Times New Roman" w:hAnsi="Times New Roman"/>
      <w:szCs w:val="24"/>
      <w:lang w:val="en-US"/>
    </w:rPr>
  </w:style>
  <w:style w:type="paragraph" w:customStyle="1" w:styleId="Normal12Hanging">
    <w:name w:val="Normal12Hanging"/>
    <w:basedOn w:val="Normal"/>
    <w:rsid w:val="007C3144"/>
    <w:pPr>
      <w:widowControl w:val="0"/>
      <w:overflowPunct/>
      <w:autoSpaceDE/>
      <w:autoSpaceDN/>
      <w:adjustRightInd/>
      <w:spacing w:after="240" w:line="240" w:lineRule="auto"/>
      <w:ind w:left="357" w:hanging="357"/>
      <w:textAlignment w:val="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19046</Characters>
  <Application>Microsoft Office Word</Application>
  <DocSecurity>4</DocSecurity>
  <Lines>453</Lines>
  <Paragraphs>101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dcterms:created xsi:type="dcterms:W3CDTF">2025-12-17T13:22:00Z</dcterms:created>
  <dcterms:modified xsi:type="dcterms:W3CDTF">2025-12-17T13:22:00Z</dcterms:modified>
</cp:coreProperties>
</file>