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4B2" w:rsidRPr="001E1F56" w:rsidRDefault="008564B2">
      <w:pPr>
        <w:pStyle w:val="Hemstlrubrik"/>
      </w:pPr>
      <w:r w:rsidRPr="001E1F56">
        <w:t>Förslag till riksdagsbeslut</w:t>
      </w:r>
    </w:p>
    <w:p w:rsidR="008564B2" w:rsidRPr="001E1F56" w:rsidRDefault="008564B2">
      <w:pPr>
        <w:pStyle w:val="Hemstlatt"/>
        <w:ind w:left="0"/>
      </w:pPr>
      <w:r w:rsidRPr="001E1F56">
        <w:t>Riksdagen tillkännager för regeringen som sin mening vad som anförs i motionen om att Sverige ska genomföra det man åtagit sig i Agenda 22 vad gäller tillgänglighet för alla.</w:t>
      </w:r>
    </w:p>
    <w:p w:rsidR="008564B2" w:rsidRPr="001E1F56" w:rsidRDefault="008564B2">
      <w:pPr>
        <w:pStyle w:val="Rubrik1"/>
      </w:pPr>
      <w:r w:rsidRPr="001E1F56">
        <w:t>Motivering</w:t>
      </w:r>
    </w:p>
    <w:p w:rsidR="008564B2" w:rsidRPr="001E1F56" w:rsidRDefault="008564B2">
      <w:r w:rsidRPr="001E1F56">
        <w:t>Regeringen undertecknade den 30 mars 2007 FN:s standardregler för fun</w:t>
      </w:r>
      <w:r w:rsidRPr="001E1F56">
        <w:t>k</w:t>
      </w:r>
      <w:r w:rsidRPr="001E1F56">
        <w:t>tionshindrade, Agenda 22. Detta var målet i ett långt arbete som har bedrivits sedan flera år och flera regeringar i FN. De nya reglerna förpliktar dock. När det gäller tillgänglighet har den förra regeringen satt upp målet om att till 2005 ska alla offentliga lokaler vara tillgängliga för alla. Vi kan fortfarande se brister vad gäller detta. Det har blivit mycket bättre, men det finns fortfarande många brister. Inte minst gäller det för lokaler som inte de offentliga direkt förfogar över men som ändå bedr</w:t>
      </w:r>
      <w:r w:rsidRPr="001E1F56">
        <w:t>iver samhällstjänster, t.ex. Posten AB:s uppdragsgivare för utlämning och mottagning av brev och paket, kulturlok</w:t>
      </w:r>
      <w:r w:rsidRPr="001E1F56">
        <w:t>a</w:t>
      </w:r>
      <w:r w:rsidRPr="001E1F56">
        <w:t>ler som är av äldre datum. Det finns självklart exempel som är strålande där man klarat tillgängligheten på ett utmärkt sätt, och sådana exempel borde tas fram för att visa hur man kan arbeta med tillgänglighet.</w:t>
      </w:r>
    </w:p>
    <w:p w:rsidR="008564B2" w:rsidRPr="001E1F56" w:rsidRDefault="008564B2">
      <w:pPr>
        <w:pStyle w:val="Normaltindrag"/>
      </w:pPr>
      <w:r w:rsidRPr="001E1F56">
        <w:t>Tillgänglighet gäller ju inte endast myndigheter, kommuner och landsting. Det gäller i allra högsta grad för kommersiella lokaler, och där finns tydliga regler vid ny-, om- och tillbyggn</w:t>
      </w:r>
      <w:r w:rsidRPr="001E1F56">
        <w:t>ad – men då handlar det om bygglov. Detta är ett område där det finns mycket övrigt att önska. Vi kan så gott som årligen läsa artiklar där offensiva funktionshindrade försökt komma in i butiker, r</w:t>
      </w:r>
      <w:r w:rsidRPr="001E1F56">
        <w:t>e</w:t>
      </w:r>
      <w:r w:rsidRPr="001E1F56">
        <w:t xml:space="preserve">stauranger etc. I andra fall kan det gälla just nya lokaler men där man ändrat i planen under resans gång, inte på ett sådant sätt att man behöver nytt bygglov utan i detaljer. Ett bra exempel på detta är där man i ett nybyggt hotell har byggt en lobby som är </w:t>
      </w:r>
      <w:smartTag w:uri="urn:schemas-microsoft-com:office:smarttags" w:element="metricconverter">
        <w:smartTagPr>
          <w:attr w:name="ProductID" w:val="30 meter"/>
        </w:smartTagPr>
        <w:r w:rsidRPr="001E1F56">
          <w:t>30 meter</w:t>
        </w:r>
      </w:smartTag>
      <w:r w:rsidRPr="001E1F56">
        <w:t xml:space="preserve"> lång och golvet har en sluttning hela vägen. </w:t>
      </w:r>
      <w:r w:rsidRPr="001E1F56">
        <w:t xml:space="preserve">Detta innebär att en manuell rullstol blir praktiskt taget omöjlig att använda. </w:t>
      </w:r>
      <w:r w:rsidRPr="001E1F56">
        <w:lastRenderedPageBreak/>
        <w:t>Lagstiftningen behöver ses över för att funktionshindrade ska kunna få til</w:t>
      </w:r>
      <w:r w:rsidRPr="001E1F56">
        <w:t>l</w:t>
      </w:r>
      <w:r w:rsidRPr="001E1F56">
        <w:t>gång till alla lokaler, såväl myndigheter som kommersiella lokaler.</w:t>
      </w:r>
    </w:p>
    <w:p w:rsidR="008564B2" w:rsidRPr="001E1F56" w:rsidRDefault="008564B2">
      <w:pPr>
        <w:pStyle w:val="Normaltindrag"/>
      </w:pPr>
      <w:r w:rsidRPr="001E1F56">
        <w:t>När nu Sverige undertecknat FN:s standardregler för funktionshindrade förpliktar det, och det måste också följas av faktiska åtgärder från statens sida. En första sådan åtgärd borde väl vara att se över lagstiftningen om tillgän</w:t>
      </w:r>
      <w:r w:rsidRPr="001E1F56">
        <w:t>g</w:t>
      </w:r>
      <w:r w:rsidRPr="001E1F56">
        <w:t>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F56">
        <w:trPr>
          <w:cantSplit/>
        </w:trPr>
        <w:tc>
          <w:tcPr>
            <w:tcW w:w="3046" w:type="dxa"/>
          </w:tcPr>
          <w:p w:rsidR="008564B2" w:rsidRPr="001E1F56" w:rsidRDefault="008564B2">
            <w:pPr>
              <w:pStyle w:val="UnderskriftDatum"/>
              <w:spacing w:before="240"/>
            </w:pPr>
            <w:r w:rsidRPr="001E1F56">
              <w:t>Stockholm den 1 oktober 2007</w:t>
            </w:r>
          </w:p>
        </w:tc>
        <w:tc>
          <w:tcPr>
            <w:tcW w:w="3047" w:type="dxa"/>
          </w:tcPr>
          <w:p w:rsidR="008564B2" w:rsidRPr="001E1F56" w:rsidRDefault="008564B2">
            <w:pPr>
              <w:pStyle w:val="Underskrifter"/>
              <w:spacing w:before="240"/>
            </w:pPr>
          </w:p>
        </w:tc>
      </w:tr>
      <w:tr w:rsidR="00000000" w:rsidRPr="001E1F56">
        <w:trPr>
          <w:cantSplit/>
        </w:trPr>
        <w:tc>
          <w:tcPr>
            <w:tcW w:w="3046" w:type="dxa"/>
          </w:tcPr>
          <w:p w:rsidR="008564B2" w:rsidRPr="001E1F56" w:rsidRDefault="008564B2">
            <w:pPr>
              <w:pStyle w:val="Underskrifter"/>
            </w:pPr>
            <w:r w:rsidRPr="001E1F56">
              <w:t>Börje Vestlund (s)</w:t>
            </w:r>
          </w:p>
        </w:tc>
        <w:tc>
          <w:tcPr>
            <w:tcW w:w="3046" w:type="dxa"/>
          </w:tcPr>
          <w:p w:rsidR="008564B2" w:rsidRPr="001E1F56" w:rsidRDefault="008564B2">
            <w:pPr>
              <w:pStyle w:val="Underskrifter"/>
            </w:pPr>
            <w:r w:rsidRPr="001E1F56">
              <w:t>Sylvia Lindgren (s)</w:t>
            </w:r>
          </w:p>
        </w:tc>
      </w:tr>
    </w:tbl>
    <w:p w:rsidR="008564B2" w:rsidRPr="001E1F56" w:rsidRDefault="008564B2">
      <w:pPr>
        <w:pStyle w:val="Normaltindrag"/>
      </w:pPr>
    </w:p>
    <w:sectPr w:rsidR="008564B2" w:rsidRPr="001E1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4B2" w:rsidRPr="001E1F56" w:rsidRDefault="008564B2">
      <w:r w:rsidRPr="001E1F56">
        <w:separator/>
      </w:r>
    </w:p>
  </w:endnote>
  <w:endnote w:type="continuationSeparator" w:id="0">
    <w:p w:rsidR="008564B2" w:rsidRPr="001E1F56" w:rsidRDefault="008564B2">
      <w:r w:rsidRPr="001E1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1E1F56">
    <w:pPr>
      <w:pStyle w:val="Sidfot"/>
    </w:pPr>
    <w:r w:rsidRPr="001E1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1276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B2" w:rsidRDefault="00856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4B2" w:rsidRDefault="00856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1E1F56">
    <w:pPr>
      <w:pStyle w:val="Sidfot"/>
    </w:pPr>
    <w:r w:rsidRPr="001E1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944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B2" w:rsidRDefault="00856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4B2" w:rsidRDefault="00856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1E1F56">
    <w:pPr>
      <w:pStyle w:val="Sidfot"/>
    </w:pPr>
    <w:r w:rsidRPr="001E1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616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B2" w:rsidRDefault="00856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4B2" w:rsidRDefault="00856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4B2" w:rsidRPr="001E1F56" w:rsidRDefault="008564B2">
      <w:r w:rsidRPr="001E1F56">
        <w:separator/>
      </w:r>
    </w:p>
  </w:footnote>
  <w:footnote w:type="continuationSeparator" w:id="0">
    <w:p w:rsidR="008564B2" w:rsidRPr="001E1F56" w:rsidRDefault="008564B2">
      <w:r w:rsidRPr="001E1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1E1F56">
    <w:pPr>
      <w:pStyle w:val="Sidhuvud"/>
    </w:pPr>
    <w:r w:rsidRPr="001E1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350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B2" w:rsidRDefault="00856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4B2" w:rsidRDefault="00856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1E1F56">
    <w:pPr>
      <w:pStyle w:val="Sidhuvud"/>
    </w:pPr>
    <w:r w:rsidRPr="001E1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275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B2" w:rsidRDefault="00856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4B2" w:rsidRDefault="00856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4B2" w:rsidRPr="001E1F56" w:rsidRDefault="008564B2">
    <w:pPr>
      <w:pStyle w:val="FSHNormal"/>
      <w:tabs>
        <w:tab w:val="right" w:pos="5840"/>
      </w:tabs>
    </w:pPr>
    <w:r w:rsidRPr="001E1F56">
      <w:br/>
    </w:r>
    <w:r w:rsidRPr="001E1F56">
      <w:fldChar w:fldCharType="begin" w:fldLock="1"/>
    </w:r>
    <w:r w:rsidRPr="001E1F56">
      <w:instrText xml:space="preserve"> DOCPROPERTY</w:instrText>
    </w:r>
    <w:r w:rsidRPr="001E1F56">
      <w:rPr>
        <w:sz w:val="18"/>
      </w:rPr>
      <w:instrText xml:space="preserve"> "YearUser" *\charformat </w:instrText>
    </w:r>
    <w:r w:rsidRPr="001E1F56">
      <w:fldChar w:fldCharType="separate"/>
    </w:r>
    <w:r w:rsidRPr="001E1F56">
      <w:t>2007/08</w:t>
    </w:r>
    <w:r w:rsidRPr="001E1F56">
      <w:fldChar w:fldCharType="end"/>
    </w:r>
    <w:r w:rsidRPr="001E1F56">
      <w:t xml:space="preserve"> </w:t>
    </w:r>
    <w:r w:rsidRPr="001E1F56">
      <w:tab/>
      <w:t xml:space="preserve">mnr: </w:t>
    </w:r>
    <w:r w:rsidRPr="001E1F56">
      <w:fldChar w:fldCharType="begin" w:fldLock="1"/>
    </w:r>
    <w:r w:rsidRPr="001E1F56">
      <w:instrText xml:space="preserve"> DOCPROPERTY</w:instrText>
    </w:r>
    <w:r w:rsidRPr="001E1F56">
      <w:rPr>
        <w:sz w:val="18"/>
      </w:rPr>
      <w:instrText xml:space="preserve"> "Motionsnummer" *\charformat </w:instrText>
    </w:r>
    <w:r w:rsidRPr="001E1F56">
      <w:fldChar w:fldCharType="separate"/>
    </w:r>
    <w:r w:rsidRPr="001E1F56">
      <w:t>C326</w:t>
    </w:r>
    <w:r w:rsidRPr="001E1F56">
      <w:fldChar w:fldCharType="end"/>
    </w:r>
    <w:r w:rsidRPr="001E1F56">
      <w:br/>
    </w:r>
    <w:r w:rsidRPr="001E1F56">
      <w:fldChar w:fldCharType="begin" w:fldLock="1"/>
    </w:r>
    <w:r w:rsidRPr="001E1F56">
      <w:instrText xml:space="preserve"> DOCPROPERTY</w:instrText>
    </w:r>
    <w:r w:rsidRPr="001E1F56">
      <w:rPr>
        <w:sz w:val="18"/>
      </w:rPr>
      <w:instrText xml:space="preserve"> "Samling" *\charformat </w:instrText>
    </w:r>
    <w:r w:rsidRPr="001E1F56">
      <w:fldChar w:fldCharType="end"/>
    </w:r>
    <w:r w:rsidRPr="001E1F56">
      <w:tab/>
      <w:t xml:space="preserve">pnr: </w:t>
    </w:r>
    <w:r w:rsidRPr="001E1F56">
      <w:fldChar w:fldCharType="begin" w:fldLock="1"/>
    </w:r>
    <w:r w:rsidRPr="001E1F56">
      <w:instrText xml:space="preserve"> DOCPROPERTY</w:instrText>
    </w:r>
    <w:r w:rsidRPr="001E1F56">
      <w:rPr>
        <w:sz w:val="18"/>
      </w:rPr>
      <w:instrText xml:space="preserve"> "Partinummer" *\charformat </w:instrText>
    </w:r>
    <w:r w:rsidRPr="001E1F56">
      <w:fldChar w:fldCharType="separate"/>
    </w:r>
    <w:r w:rsidRPr="001E1F56">
      <w:t>s26021</w:t>
    </w:r>
    <w:r w:rsidRPr="001E1F56">
      <w:fldChar w:fldCharType="end"/>
    </w:r>
  </w:p>
  <w:p w:rsidR="008564B2" w:rsidRPr="001E1F56" w:rsidRDefault="008564B2">
    <w:pPr>
      <w:pStyle w:val="FSHRub1"/>
    </w:pPr>
    <w:r w:rsidRPr="001E1F56">
      <w:t>Motion till riksdagen</w:t>
    </w:r>
    <w:r w:rsidRPr="001E1F56">
      <w:br/>
    </w:r>
    <w:r w:rsidRPr="001E1F56">
      <w:fldChar w:fldCharType="begin" w:fldLock="1"/>
    </w:r>
    <w:r w:rsidRPr="001E1F56">
      <w:instrText xml:space="preserve"> DOCPROPERTY "YearUser" *\charformat </w:instrText>
    </w:r>
    <w:r w:rsidRPr="001E1F56">
      <w:fldChar w:fldCharType="separate"/>
    </w:r>
    <w:r w:rsidRPr="001E1F56">
      <w:t>2007/08</w:t>
    </w:r>
    <w:r w:rsidRPr="001E1F56">
      <w:fldChar w:fldCharType="end"/>
    </w:r>
    <w:r w:rsidRPr="001E1F56">
      <w:t>:</w:t>
    </w:r>
    <w:r w:rsidRPr="001E1F56">
      <w:fldChar w:fldCharType="begin" w:fldLock="1"/>
    </w:r>
    <w:r w:rsidRPr="001E1F56">
      <w:instrText xml:space="preserve"> DOCPROPERTY "Motionsnummer" *\charformat </w:instrText>
    </w:r>
    <w:r w:rsidRPr="001E1F56">
      <w:fldChar w:fldCharType="separate"/>
    </w:r>
    <w:r w:rsidRPr="001E1F56">
      <w:t>C326</w:t>
    </w:r>
    <w:r w:rsidRPr="001E1F56">
      <w:fldChar w:fldCharType="end"/>
    </w:r>
  </w:p>
  <w:p w:rsidR="008564B2" w:rsidRPr="001E1F56" w:rsidRDefault="008564B2">
    <w:pPr>
      <w:pStyle w:val="FSHNormalS5"/>
    </w:pPr>
    <w:r w:rsidRPr="001E1F56">
      <w:fldChar w:fldCharType="begin" w:fldLock="1"/>
    </w:r>
    <w:r w:rsidRPr="001E1F56">
      <w:instrText xml:space="preserve"> DOCPROPERTY "MotionarText" *\charformat </w:instrText>
    </w:r>
    <w:r w:rsidRPr="001E1F56">
      <w:fldChar w:fldCharType="separate"/>
    </w:r>
    <w:r w:rsidRPr="001E1F56">
      <w:t>av Börje Vestlund och Sylvia Lindgren (s)</w:t>
    </w:r>
    <w:r w:rsidRPr="001E1F56">
      <w:fldChar w:fldCharType="end"/>
    </w:r>
    <w:r w:rsidRPr="001E1F56">
      <w:br/>
    </w:r>
    <w:r w:rsidRPr="001E1F56">
      <w:fldChar w:fldCharType="begin" w:fldLock="1"/>
    </w:r>
    <w:r w:rsidRPr="001E1F56">
      <w:instrText xml:space="preserve"> DOCPROPERTY "SvarFrasKort" *\charformat </w:instrText>
    </w:r>
    <w:r w:rsidRPr="001E1F56">
      <w:fldChar w:fldCharType="end"/>
    </w:r>
  </w:p>
  <w:p w:rsidR="008564B2" w:rsidRPr="001E1F56" w:rsidRDefault="008564B2">
    <w:pPr>
      <w:pStyle w:val="FSHTitel"/>
    </w:pPr>
    <w:r w:rsidRPr="001E1F56">
      <w:fldChar w:fldCharType="begin" w:fldLock="1"/>
    </w:r>
    <w:r w:rsidRPr="001E1F56">
      <w:instrText xml:space="preserve"> DOCPROPERTY</w:instrText>
    </w:r>
    <w:r w:rsidRPr="001E1F56">
      <w:rPr>
        <w:sz w:val="18"/>
      </w:rPr>
      <w:instrText xml:space="preserve"> "RubrikSvar" *\charformat </w:instrText>
    </w:r>
    <w:r w:rsidRPr="001E1F56">
      <w:fldChar w:fldCharType="separate"/>
    </w:r>
    <w:r w:rsidRPr="001E1F56">
      <w:t>Tillgänglighet för alla</w:t>
    </w:r>
    <w:r w:rsidRPr="001E1F56">
      <w:fldChar w:fldCharType="end"/>
    </w:r>
  </w:p>
  <w:p w:rsidR="008564B2" w:rsidRPr="001E1F56" w:rsidRDefault="008564B2">
    <w:pPr>
      <w:pStyle w:val="Normal00"/>
    </w:pPr>
  </w:p>
  <w:p w:rsidR="008564B2" w:rsidRPr="001E1F56" w:rsidRDefault="00856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4140834">
    <w:abstractNumId w:val="8"/>
  </w:num>
  <w:num w:numId="2" w16cid:durableId="1405878702">
    <w:abstractNumId w:val="9"/>
  </w:num>
  <w:num w:numId="3" w16cid:durableId="575213051">
    <w:abstractNumId w:val="8"/>
  </w:num>
  <w:num w:numId="4" w16cid:durableId="333579634">
    <w:abstractNumId w:val="9"/>
  </w:num>
  <w:num w:numId="5" w16cid:durableId="575751637">
    <w:abstractNumId w:val="13"/>
  </w:num>
  <w:num w:numId="6" w16cid:durableId="1166359608">
    <w:abstractNumId w:val="10"/>
  </w:num>
  <w:num w:numId="7" w16cid:durableId="1954163311">
    <w:abstractNumId w:val="11"/>
  </w:num>
  <w:num w:numId="8" w16cid:durableId="306516807">
    <w:abstractNumId w:val="12"/>
  </w:num>
  <w:num w:numId="9" w16cid:durableId="912617852">
    <w:abstractNumId w:val="8"/>
  </w:num>
  <w:num w:numId="10" w16cid:durableId="63260585">
    <w:abstractNumId w:val="3"/>
  </w:num>
  <w:num w:numId="11" w16cid:durableId="1725716207">
    <w:abstractNumId w:val="2"/>
  </w:num>
  <w:num w:numId="12" w16cid:durableId="1274290574">
    <w:abstractNumId w:val="1"/>
  </w:num>
  <w:num w:numId="13" w16cid:durableId="1885288378">
    <w:abstractNumId w:val="0"/>
  </w:num>
  <w:num w:numId="14" w16cid:durableId="409541061">
    <w:abstractNumId w:val="9"/>
  </w:num>
  <w:num w:numId="15" w16cid:durableId="1332487641">
    <w:abstractNumId w:val="7"/>
  </w:num>
  <w:num w:numId="16" w16cid:durableId="838469055">
    <w:abstractNumId w:val="6"/>
  </w:num>
  <w:num w:numId="17" w16cid:durableId="823475015">
    <w:abstractNumId w:val="5"/>
  </w:num>
  <w:num w:numId="18" w16cid:durableId="118386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62D198-27F7-48B9-A0E6-F542C19DBB78},{D844E07A-6AB5-4D53-9179-DEEBAD9B655D}"/>
  </w:docVars>
  <w:rsids>
    <w:rsidRoot w:val="002E1F82"/>
    <w:rsid w:val="001E1F56"/>
    <w:rsid w:val="002E1F82"/>
    <w:rsid w:val="00856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76D087B-EEA6-4FD7-B217-CC13A1B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1977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s26021</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s26021</dc:title>
  <dc:subject>s26021</dc:subject>
  <dc:creator>Riksdagen</dc:creator>
  <cp:keywords>Riksdagen</cp:keywords>
  <dc:description>TKG-ktrl, MSMQ4mb, PersReg-Distribution mm</dc:description>
  <cp:lastModifiedBy>Lars Brink</cp:lastModifiedBy>
  <cp:revision>2</cp:revision>
  <cp:lastPrinted>2007-11-22T11:21:00Z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Tillgänglighet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20072008000000000115000260210069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20072008000000000115000260210069</vt:lpwstr>
  </property>
  <property fmtid="{D5CDD505-2E9C-101B-9397-08002B2CF9AE}" pid="50" name="nummer">
    <vt:lpwstr>326</vt:lpwstr>
  </property>
  <property fmtid="{D5CDD505-2E9C-101B-9397-08002B2CF9AE}" pid="51" name="utskottsbeteckning">
    <vt:lpwstr>C</vt:lpwstr>
  </property>
  <property fmtid="{D5CDD505-2E9C-101B-9397-08002B2CF9AE}" pid="52" name="GlobalUID">
    <vt:lpwstr>{1B45FCE1-BB41-4F06-951A-682CAC5A2ACF}</vt:lpwstr>
  </property>
  <property fmtid="{D5CDD505-2E9C-101B-9397-08002B2CF9AE}" pid="53" name="Överföringar">
    <vt:i4>0</vt:i4>
  </property>
  <property fmtid="{D5CDD505-2E9C-101B-9397-08002B2CF9AE}" pid="54" name="Checksum">
    <vt:lpwstr>*1016877099312*</vt:lpwstr>
  </property>
  <property fmtid="{D5CDD505-2E9C-101B-9397-08002B2CF9AE}" pid="55" name="skuggnummer">
    <vt:lpwstr>1635</vt:lpwstr>
  </property>
  <property fmtid="{D5CDD505-2E9C-101B-9397-08002B2CF9AE}" pid="56" name="urixVersion">
    <vt:lpwstr>3.2.0.8</vt:lpwstr>
  </property>
  <property fmtid="{D5CDD505-2E9C-101B-9397-08002B2CF9AE}" pid="57" name="urixOrigin">
    <vt:lpwstr>071122 12:21:30.886</vt:lpwstr>
  </property>
  <property fmtid="{D5CDD505-2E9C-101B-9397-08002B2CF9AE}" pid="58" name="urixGuid">
    <vt:lpwstr>{20F008AB-8C41-4F50-9DFE-C8A38275CC99}</vt:lpwstr>
  </property>
</Properties>
</file>