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B40" w:rsidRPr="00F133EF" w:rsidRDefault="001D0B40" w:rsidP="009723B8">
      <w:pPr>
        <w:pStyle w:val="Hemstlrubrik"/>
      </w:pPr>
      <w:r w:rsidRPr="00F133EF">
        <w:t>Förslag till riksdagsbeslut</w:t>
      </w:r>
    </w:p>
    <w:p w:rsidR="001D0B40" w:rsidRPr="00F133EF" w:rsidRDefault="001D0B40" w:rsidP="009723B8">
      <w:pPr>
        <w:pStyle w:val="Hemstlatt"/>
      </w:pPr>
      <w:r w:rsidRPr="00F133EF">
        <w:t xml:space="preserve">Riksdagen tillkännager för regeringen som sin mening vad i motionen anförs </w:t>
      </w:r>
      <w:r w:rsidR="009723B8" w:rsidRPr="00F133EF">
        <w:t xml:space="preserve">om </w:t>
      </w:r>
      <w:r w:rsidRPr="00F133EF">
        <w:t>krav på hög kvalitet inom energiforskningen.</w:t>
      </w:r>
    </w:p>
    <w:p w:rsidR="001D0B40" w:rsidRPr="00F133EF" w:rsidRDefault="001D0B40" w:rsidP="001D0B40">
      <w:pPr>
        <w:pStyle w:val="Hemstlatt"/>
      </w:pPr>
      <w:r w:rsidRPr="00F133EF">
        <w:t>Riksdagen avslår regeringens förslag att Energimyndigheten skall ansv</w:t>
      </w:r>
      <w:r w:rsidRPr="00F133EF">
        <w:t>a</w:t>
      </w:r>
      <w:r w:rsidRPr="00F133EF">
        <w:t>ra för statliga medel till energiforskningen.</w:t>
      </w:r>
    </w:p>
    <w:p w:rsidR="002B20DD" w:rsidRPr="00F133EF" w:rsidRDefault="002B20DD" w:rsidP="002B20DD">
      <w:pPr>
        <w:pStyle w:val="Rubrik1"/>
      </w:pPr>
      <w:r w:rsidRPr="00F133EF">
        <w:t>Motivering</w:t>
      </w:r>
    </w:p>
    <w:p w:rsidR="001D0B40" w:rsidRPr="00F133EF" w:rsidRDefault="002B20DD" w:rsidP="009723B8">
      <w:r w:rsidRPr="00F133EF">
        <w:t>Vi m</w:t>
      </w:r>
      <w:r w:rsidR="001D0B40" w:rsidRPr="00F133EF">
        <w:t>oderater stödjer att betydande resurser används för energiforskning. Det är vår övertygelse att vår framtida energiförsörjning endast kan lösas på ett sätt som uppfyller högt ställda krav på miljö och säkerhet samtidigt som ind</w:t>
      </w:r>
      <w:r w:rsidR="001D0B40" w:rsidRPr="00F133EF">
        <w:t>u</w:t>
      </w:r>
      <w:r w:rsidR="001D0B40" w:rsidRPr="00F133EF">
        <w:t>strins och hushållens behov av energi till konkurrenskraftiga priser genom att bejaka tekniska framsteg och avancerad forskning. Vi välkomnar därför att regeringen vill ge finansieringen av energiforskningen ökad långsiktighet, och att den ligger på en hög nivå.</w:t>
      </w:r>
    </w:p>
    <w:p w:rsidR="001D0B40" w:rsidRPr="00F133EF" w:rsidRDefault="001D0B40" w:rsidP="00133612">
      <w:pPr>
        <w:pStyle w:val="Normaltindrag"/>
      </w:pPr>
      <w:r w:rsidRPr="00F133EF">
        <w:t>Däremot är det beklagligt att regeringen presenterar en proposition på ett så viktigt område som är så tom på innehåll. En betydande del av propositi</w:t>
      </w:r>
      <w:r w:rsidRPr="00F133EF">
        <w:t>o</w:t>
      </w:r>
      <w:r w:rsidRPr="00F133EF">
        <w:t>nen upptas av tämligen innehållslös retorik och otydliga förslag såsom att ”insatser kring forskning, utveckling och demonstration på energiområdet skall kompletteras med vis</w:t>
      </w:r>
      <w:r w:rsidR="00133612" w:rsidRPr="00F133EF">
        <w:t>ioner, operativa mål och delmål</w:t>
      </w:r>
      <w:r w:rsidRPr="00F133EF">
        <w:t>”.</w:t>
      </w:r>
    </w:p>
    <w:p w:rsidR="001D0B40" w:rsidRPr="00F133EF" w:rsidRDefault="001D0B40" w:rsidP="00133612">
      <w:pPr>
        <w:pStyle w:val="Normaltindrag"/>
      </w:pPr>
      <w:r w:rsidRPr="00F133EF">
        <w:t>Vi anser vidare att propositionen andas en övertro på att en stark statlig styrning av forskningens inriktning ska</w:t>
      </w:r>
      <w:r w:rsidR="009723B8" w:rsidRPr="00F133EF">
        <w:t>ll</w:t>
      </w:r>
      <w:r w:rsidRPr="00F133EF">
        <w:t xml:space="preserve"> ge snabba resultat. Regeringens syn präglas av önsketänkande om forskningens möjligheter på kort sikt. Fors</w:t>
      </w:r>
      <w:r w:rsidRPr="00F133EF">
        <w:t>k</w:t>
      </w:r>
      <w:r w:rsidRPr="00F133EF">
        <w:t xml:space="preserve">ning och utveckling är ett mycket långsiktigt och tålamodsprövande arbete. Vi tror mot den bakgrunden att för stark statlig styrning snarast riskerar att skada forskningen. Forskningen riskerar att styras av tillfälliga politiska ”trender” snarare än forskarsamhällets och näringslivets bedömning av vilka forskningsområden som är lovande. Samtidigt som det är viktigt att ge tydliga prioriteringar för den statligt finansierade energiforskningen menar vi att </w:t>
      </w:r>
      <w:r w:rsidRPr="00F133EF">
        <w:lastRenderedPageBreak/>
        <w:t>propositionens förslag till hård detaljstyrning till viss teknik, och bort från annan</w:t>
      </w:r>
      <w:r w:rsidR="00133612" w:rsidRPr="00F133EF">
        <w:t>,</w:t>
      </w:r>
      <w:r w:rsidRPr="00F133EF">
        <w:t xml:space="preserve"> illustrerar detta problem. Regeringens förslag får också kritik från flera remissinstanser på denna punkt.</w:t>
      </w:r>
    </w:p>
    <w:p w:rsidR="001D0B40" w:rsidRPr="00F133EF" w:rsidRDefault="001D0B40" w:rsidP="009723B8">
      <w:pPr>
        <w:pStyle w:val="Normaltindrag"/>
      </w:pPr>
      <w:r w:rsidRPr="00F133EF">
        <w:t>I propositionen saknas vidare tydliga krav på utvärdering av forskningens kvalitet. Moderaterna anser att all statligt finansierad forskning ska</w:t>
      </w:r>
      <w:r w:rsidR="009723B8" w:rsidRPr="00F133EF">
        <w:t>ll</w:t>
      </w:r>
      <w:r w:rsidRPr="00F133EF">
        <w:t xml:space="preserve"> uppfylla högt ställda krav. Grundforskning ska</w:t>
      </w:r>
      <w:r w:rsidR="009723B8" w:rsidRPr="00F133EF">
        <w:t>ll</w:t>
      </w:r>
      <w:r w:rsidRPr="00F133EF">
        <w:t xml:space="preserve"> vara av hög akademisk kvalitet och vara internationellt gångbar. Statlig finansiering av mer tillämpad forskning ska</w:t>
      </w:r>
      <w:r w:rsidR="009723B8" w:rsidRPr="00F133EF">
        <w:t>ll</w:t>
      </w:r>
      <w:r w:rsidRPr="00F133EF">
        <w:t xml:space="preserve"> ha som tydligt syfte att underlätta kommersialisering av forskningsresu</w:t>
      </w:r>
      <w:r w:rsidRPr="00F133EF">
        <w:t>l</w:t>
      </w:r>
      <w:r w:rsidRPr="00F133EF">
        <w:t>tat. Förslaget att låta Energimyndigheten ansvara för forskningsmedlen bör bl</w:t>
      </w:r>
      <w:r w:rsidR="009723B8" w:rsidRPr="00F133EF">
        <w:t xml:space="preserve">.a. </w:t>
      </w:r>
      <w:r w:rsidRPr="00F133EF">
        <w:t>mot denna bakgrund avvisas. Vår bedömning är att hög kvalitet inte främjas av detta förslag.</w:t>
      </w:r>
    </w:p>
    <w:p w:rsidR="009723B8" w:rsidRPr="00F133EF" w:rsidRDefault="001D0B40" w:rsidP="009723B8">
      <w:pPr>
        <w:pStyle w:val="Normaltindrag"/>
      </w:pPr>
      <w:r w:rsidRPr="00F133EF">
        <w:t>Även på andra grunder förefaller det särdeles olämpligt att låta Energ</w:t>
      </w:r>
      <w:r w:rsidRPr="00F133EF">
        <w:t>i</w:t>
      </w:r>
      <w:r w:rsidRPr="00F133EF">
        <w:t>myndigheten ansvara för fördelningen av de statliga energiforskningsmedlen. En av Energimyndighetens viktigaste uppgifter är att övervaka konkurrensen på energimarknaden. Detta låter sig svårligen förenas med att samtidigt sy ihop forskningsprojekt, där det i många fall är lämpligt att flera aktörer på energimarknaden samarbetar. Energimyndigheten som granskande aktör ska</w:t>
      </w:r>
      <w:r w:rsidR="002B20DD" w:rsidRPr="00F133EF">
        <w:t>ll</w:t>
      </w:r>
      <w:r w:rsidRPr="00F133EF">
        <w:t xml:space="preserve"> inte samtidigt bedriva egen verksamhet, ty då blir granskningen meningslös. Man kan inte granska sig själv. Även av detta skäl bör propositionen avvisas i denna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3612" w:rsidRPr="00F133EF">
        <w:tblPrEx>
          <w:tblCellMar>
            <w:top w:w="0" w:type="dxa"/>
            <w:bottom w:w="0" w:type="dxa"/>
          </w:tblCellMar>
        </w:tblPrEx>
        <w:trPr>
          <w:cantSplit/>
        </w:trPr>
        <w:tc>
          <w:tcPr>
            <w:tcW w:w="3046" w:type="dxa"/>
          </w:tcPr>
          <w:p w:rsidR="00133612" w:rsidRPr="00F133EF" w:rsidRDefault="00133612" w:rsidP="00133612">
            <w:pPr>
              <w:pStyle w:val="UnderskriftDatum"/>
              <w:spacing w:before="240"/>
            </w:pPr>
            <w:r w:rsidRPr="00F133EF">
              <w:t>Stockholm den 4 april 2006</w:t>
            </w:r>
          </w:p>
        </w:tc>
        <w:tc>
          <w:tcPr>
            <w:tcW w:w="3047" w:type="dxa"/>
          </w:tcPr>
          <w:p w:rsidR="00133612" w:rsidRPr="00F133EF" w:rsidRDefault="00133612" w:rsidP="00133612">
            <w:pPr>
              <w:pStyle w:val="Underskrifter"/>
              <w:spacing w:before="240"/>
            </w:pPr>
          </w:p>
        </w:tc>
      </w:tr>
      <w:tr w:rsidR="00133612" w:rsidRPr="00F133EF">
        <w:tblPrEx>
          <w:tblCellMar>
            <w:top w:w="0" w:type="dxa"/>
            <w:bottom w:w="0" w:type="dxa"/>
          </w:tblCellMar>
        </w:tblPrEx>
        <w:trPr>
          <w:cantSplit/>
        </w:trPr>
        <w:tc>
          <w:tcPr>
            <w:tcW w:w="3046" w:type="dxa"/>
          </w:tcPr>
          <w:p w:rsidR="00133612" w:rsidRPr="00F133EF" w:rsidRDefault="00133612" w:rsidP="00133612">
            <w:pPr>
              <w:pStyle w:val="Underskrifter"/>
            </w:pPr>
            <w:r w:rsidRPr="00F133EF">
              <w:t>Per Bill (m)</w:t>
            </w:r>
          </w:p>
        </w:tc>
        <w:tc>
          <w:tcPr>
            <w:tcW w:w="3047" w:type="dxa"/>
          </w:tcPr>
          <w:p w:rsidR="00133612" w:rsidRPr="00F133EF" w:rsidRDefault="00133612" w:rsidP="00133612">
            <w:pPr>
              <w:pStyle w:val="Underskrifter"/>
            </w:pPr>
          </w:p>
        </w:tc>
      </w:tr>
      <w:tr w:rsidR="00133612" w:rsidRPr="00F133EF">
        <w:tblPrEx>
          <w:tblCellMar>
            <w:top w:w="0" w:type="dxa"/>
            <w:bottom w:w="0" w:type="dxa"/>
          </w:tblCellMar>
        </w:tblPrEx>
        <w:trPr>
          <w:cantSplit/>
        </w:trPr>
        <w:tc>
          <w:tcPr>
            <w:tcW w:w="3046" w:type="dxa"/>
          </w:tcPr>
          <w:p w:rsidR="00133612" w:rsidRPr="00F133EF" w:rsidRDefault="00133612" w:rsidP="00133612">
            <w:pPr>
              <w:pStyle w:val="Underskrifter"/>
            </w:pPr>
            <w:r w:rsidRPr="00F133EF">
              <w:t>Ulla Löfgren (m)</w:t>
            </w:r>
          </w:p>
        </w:tc>
        <w:tc>
          <w:tcPr>
            <w:tcW w:w="3047" w:type="dxa"/>
          </w:tcPr>
          <w:p w:rsidR="00133612" w:rsidRPr="00F133EF" w:rsidRDefault="00133612" w:rsidP="00133612">
            <w:pPr>
              <w:pStyle w:val="Underskrifter"/>
            </w:pPr>
            <w:r w:rsidRPr="00F133EF">
              <w:t>Anne-Marie Pålsson (m)</w:t>
            </w:r>
          </w:p>
        </w:tc>
      </w:tr>
      <w:tr w:rsidR="00133612" w:rsidRPr="00F133EF">
        <w:tblPrEx>
          <w:tblCellMar>
            <w:top w:w="0" w:type="dxa"/>
            <w:bottom w:w="0" w:type="dxa"/>
          </w:tblCellMar>
        </w:tblPrEx>
        <w:trPr>
          <w:cantSplit/>
        </w:trPr>
        <w:tc>
          <w:tcPr>
            <w:tcW w:w="3046" w:type="dxa"/>
          </w:tcPr>
          <w:p w:rsidR="00133612" w:rsidRPr="00F133EF" w:rsidRDefault="00133612" w:rsidP="00133612">
            <w:pPr>
              <w:pStyle w:val="Underskrifter"/>
            </w:pPr>
            <w:r w:rsidRPr="00F133EF">
              <w:t>Krister Hammarbergh (m)</w:t>
            </w:r>
          </w:p>
        </w:tc>
        <w:tc>
          <w:tcPr>
            <w:tcW w:w="3047" w:type="dxa"/>
          </w:tcPr>
          <w:p w:rsidR="00133612" w:rsidRPr="00F133EF" w:rsidRDefault="00133612" w:rsidP="00133612">
            <w:pPr>
              <w:pStyle w:val="Underskrifter"/>
            </w:pPr>
            <w:r w:rsidRPr="00F133EF">
              <w:t>Bertil Kjellberg (m)</w:t>
            </w:r>
          </w:p>
        </w:tc>
      </w:tr>
      <w:tr w:rsidR="00133612" w:rsidRPr="00F133EF">
        <w:tblPrEx>
          <w:tblCellMar>
            <w:top w:w="0" w:type="dxa"/>
            <w:bottom w:w="0" w:type="dxa"/>
          </w:tblCellMar>
        </w:tblPrEx>
        <w:trPr>
          <w:cantSplit/>
        </w:trPr>
        <w:tc>
          <w:tcPr>
            <w:tcW w:w="3046" w:type="dxa"/>
          </w:tcPr>
          <w:p w:rsidR="00133612" w:rsidRPr="00F133EF" w:rsidRDefault="00133612" w:rsidP="00133612">
            <w:pPr>
              <w:pStyle w:val="Underskrifter"/>
            </w:pPr>
            <w:r w:rsidRPr="00F133EF">
              <w:t>Peter Danielsson (m)</w:t>
            </w:r>
          </w:p>
        </w:tc>
        <w:tc>
          <w:tcPr>
            <w:tcW w:w="3047" w:type="dxa"/>
          </w:tcPr>
          <w:p w:rsidR="00133612" w:rsidRPr="00F133EF" w:rsidRDefault="00133612" w:rsidP="00133612">
            <w:pPr>
              <w:pStyle w:val="Underskrifter"/>
            </w:pPr>
            <w:r w:rsidRPr="00F133EF">
              <w:t>Stefan Hagfeldt (m)</w:t>
            </w:r>
          </w:p>
        </w:tc>
      </w:tr>
      <w:tr w:rsidR="00133612" w:rsidRPr="00F133EF">
        <w:tblPrEx>
          <w:tblCellMar>
            <w:top w:w="0" w:type="dxa"/>
            <w:bottom w:w="0" w:type="dxa"/>
          </w:tblCellMar>
        </w:tblPrEx>
        <w:trPr>
          <w:cantSplit/>
        </w:trPr>
        <w:tc>
          <w:tcPr>
            <w:tcW w:w="3046" w:type="dxa"/>
          </w:tcPr>
          <w:p w:rsidR="00133612" w:rsidRPr="00F133EF" w:rsidRDefault="00133612" w:rsidP="00133612">
            <w:pPr>
              <w:pStyle w:val="Underskrifter"/>
            </w:pPr>
            <w:r w:rsidRPr="00F133EF">
              <w:t>Bengt-Anders Johansson (m)</w:t>
            </w:r>
          </w:p>
        </w:tc>
        <w:tc>
          <w:tcPr>
            <w:tcW w:w="3047" w:type="dxa"/>
          </w:tcPr>
          <w:p w:rsidR="00133612" w:rsidRPr="00F133EF" w:rsidRDefault="00133612" w:rsidP="00133612">
            <w:pPr>
              <w:pStyle w:val="Underskrifter"/>
            </w:pPr>
          </w:p>
        </w:tc>
      </w:tr>
    </w:tbl>
    <w:p w:rsidR="001D0B40" w:rsidRPr="00F133EF" w:rsidRDefault="001D0B40" w:rsidP="00133612">
      <w:pPr>
        <w:pStyle w:val="Normaltindrag"/>
      </w:pPr>
    </w:p>
    <w:sectPr w:rsidR="001D0B40" w:rsidRPr="00F133EF" w:rsidSect="001336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2C3" w:rsidRPr="00F133EF" w:rsidRDefault="00CC02C3">
      <w:r w:rsidRPr="00F133EF">
        <w:separator/>
      </w:r>
    </w:p>
  </w:endnote>
  <w:endnote w:type="continuationSeparator" w:id="0">
    <w:p w:rsidR="00CC02C3" w:rsidRPr="00F133EF" w:rsidRDefault="00CC02C3">
      <w:r w:rsidRPr="00F133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CC" w:rsidRPr="00F133EF" w:rsidRDefault="00F133EF" w:rsidP="00133612">
    <w:pPr>
      <w:pStyle w:val="Sidfot"/>
    </w:pPr>
    <w:r w:rsidRPr="00F133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5333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12" w:rsidRDefault="001336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612" w:rsidRDefault="001336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DD" w:rsidRPr="00F133EF" w:rsidRDefault="00F133EF" w:rsidP="00133612">
    <w:pPr>
      <w:pStyle w:val="Sidfot"/>
    </w:pPr>
    <w:r w:rsidRPr="00F133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323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12" w:rsidRDefault="001336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612" w:rsidRDefault="001336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DD" w:rsidRPr="00F133EF" w:rsidRDefault="00F133EF" w:rsidP="00133612">
    <w:pPr>
      <w:pStyle w:val="Sidfot"/>
    </w:pPr>
    <w:r w:rsidRPr="00F133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348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12" w:rsidRDefault="001336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612" w:rsidRDefault="001336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2C3" w:rsidRPr="00F133EF" w:rsidRDefault="00CC02C3">
      <w:r w:rsidRPr="00F133EF">
        <w:separator/>
      </w:r>
    </w:p>
  </w:footnote>
  <w:footnote w:type="continuationSeparator" w:id="0">
    <w:p w:rsidR="00CC02C3" w:rsidRPr="00F133EF" w:rsidRDefault="00CC02C3">
      <w:r w:rsidRPr="00F133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CC" w:rsidRPr="00F133EF" w:rsidRDefault="00F133EF" w:rsidP="00133612">
    <w:pPr>
      <w:pStyle w:val="Sidhuvud"/>
    </w:pPr>
    <w:r w:rsidRPr="00F133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533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12" w:rsidRDefault="001336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612" w:rsidRDefault="001336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0DD" w:rsidRPr="00F133EF" w:rsidRDefault="00F133EF" w:rsidP="00133612">
    <w:pPr>
      <w:pStyle w:val="Sidhuvud"/>
    </w:pPr>
    <w:r w:rsidRPr="00F133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166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12" w:rsidRDefault="001336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612" w:rsidRDefault="001336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612" w:rsidRPr="00F133EF" w:rsidRDefault="00133612">
    <w:pPr>
      <w:pStyle w:val="FSHNormal"/>
      <w:tabs>
        <w:tab w:val="right" w:pos="5840"/>
      </w:tabs>
    </w:pPr>
    <w:r w:rsidRPr="00F133EF">
      <w:br/>
    </w:r>
    <w:r w:rsidRPr="00F133EF">
      <w:fldChar w:fldCharType="begin" w:fldLock="1"/>
    </w:r>
    <w:r w:rsidRPr="00F133EF">
      <w:instrText xml:space="preserve"> DOCPROPERTY</w:instrText>
    </w:r>
    <w:r w:rsidRPr="00F133EF">
      <w:rPr>
        <w:sz w:val="18"/>
      </w:rPr>
      <w:instrText xml:space="preserve"> "YearUser" *\charformat </w:instrText>
    </w:r>
    <w:r w:rsidRPr="00F133EF">
      <w:fldChar w:fldCharType="separate"/>
    </w:r>
    <w:r w:rsidRPr="00F133EF">
      <w:t>2005/06</w:t>
    </w:r>
    <w:r w:rsidRPr="00F133EF">
      <w:fldChar w:fldCharType="end"/>
    </w:r>
    <w:r w:rsidRPr="00F133EF">
      <w:t xml:space="preserve"> </w:t>
    </w:r>
    <w:r w:rsidRPr="00F133EF">
      <w:tab/>
      <w:t xml:space="preserve">mnr: </w:t>
    </w:r>
    <w:r w:rsidRPr="00F133EF">
      <w:fldChar w:fldCharType="begin" w:fldLock="1"/>
    </w:r>
    <w:r w:rsidRPr="00F133EF">
      <w:instrText xml:space="preserve"> DOCPROPERTY</w:instrText>
    </w:r>
    <w:r w:rsidRPr="00F133EF">
      <w:rPr>
        <w:sz w:val="18"/>
      </w:rPr>
      <w:instrText xml:space="preserve"> "Motionsnummer" *\charformat </w:instrText>
    </w:r>
    <w:r w:rsidRPr="00F133EF">
      <w:fldChar w:fldCharType="separate"/>
    </w:r>
    <w:r w:rsidRPr="00F133EF">
      <w:t>N20</w:t>
    </w:r>
    <w:r w:rsidRPr="00F133EF">
      <w:fldChar w:fldCharType="end"/>
    </w:r>
    <w:r w:rsidRPr="00F133EF">
      <w:br/>
    </w:r>
    <w:r w:rsidRPr="00F133EF">
      <w:fldChar w:fldCharType="begin" w:fldLock="1"/>
    </w:r>
    <w:r w:rsidRPr="00F133EF">
      <w:instrText xml:space="preserve"> DOCPROPERTY</w:instrText>
    </w:r>
    <w:r w:rsidRPr="00F133EF">
      <w:rPr>
        <w:sz w:val="18"/>
      </w:rPr>
      <w:instrText xml:space="preserve"> "Samling" *\charformat </w:instrText>
    </w:r>
    <w:r w:rsidRPr="00F133EF">
      <w:fldChar w:fldCharType="end"/>
    </w:r>
    <w:r w:rsidRPr="00F133EF">
      <w:tab/>
      <w:t xml:space="preserve">pnr: </w:t>
    </w:r>
    <w:r w:rsidRPr="00F133EF">
      <w:fldChar w:fldCharType="begin" w:fldLock="1"/>
    </w:r>
    <w:r w:rsidRPr="00F133EF">
      <w:instrText xml:space="preserve"> DOCPROPERTY</w:instrText>
    </w:r>
    <w:r w:rsidRPr="00F133EF">
      <w:rPr>
        <w:sz w:val="18"/>
      </w:rPr>
      <w:instrText xml:space="preserve"> "Partinummer" *\charformat </w:instrText>
    </w:r>
    <w:r w:rsidRPr="00F133EF">
      <w:fldChar w:fldCharType="separate"/>
    </w:r>
    <w:r w:rsidRPr="00F133EF">
      <w:t>m232</w:t>
    </w:r>
    <w:r w:rsidRPr="00F133EF">
      <w:fldChar w:fldCharType="end"/>
    </w:r>
  </w:p>
  <w:p w:rsidR="00133612" w:rsidRPr="00F133EF" w:rsidRDefault="00133612">
    <w:pPr>
      <w:pStyle w:val="FSHRub1"/>
    </w:pPr>
    <w:r w:rsidRPr="00F133EF">
      <w:t>Motion till riksdagen</w:t>
    </w:r>
    <w:r w:rsidRPr="00F133EF">
      <w:br/>
    </w:r>
    <w:r w:rsidRPr="00F133EF">
      <w:fldChar w:fldCharType="begin" w:fldLock="1"/>
    </w:r>
    <w:r w:rsidRPr="00F133EF">
      <w:instrText xml:space="preserve"> DOCPROPERTY "YearUser" *\charformat </w:instrText>
    </w:r>
    <w:r w:rsidRPr="00F133EF">
      <w:fldChar w:fldCharType="separate"/>
    </w:r>
    <w:r w:rsidRPr="00F133EF">
      <w:t>2005/06</w:t>
    </w:r>
    <w:r w:rsidRPr="00F133EF">
      <w:fldChar w:fldCharType="end"/>
    </w:r>
    <w:r w:rsidRPr="00F133EF">
      <w:t>:</w:t>
    </w:r>
    <w:r w:rsidRPr="00F133EF">
      <w:fldChar w:fldCharType="begin" w:fldLock="1"/>
    </w:r>
    <w:r w:rsidRPr="00F133EF">
      <w:instrText xml:space="preserve"> DOCPROPERTY "Motionsnummer" *\charformat </w:instrText>
    </w:r>
    <w:r w:rsidRPr="00F133EF">
      <w:fldChar w:fldCharType="separate"/>
    </w:r>
    <w:r w:rsidRPr="00F133EF">
      <w:t>N20</w:t>
    </w:r>
    <w:r w:rsidRPr="00F133EF">
      <w:fldChar w:fldCharType="end"/>
    </w:r>
  </w:p>
  <w:p w:rsidR="00133612" w:rsidRPr="00F133EF" w:rsidRDefault="00133612">
    <w:pPr>
      <w:pStyle w:val="FSHNormalS5"/>
    </w:pPr>
    <w:r w:rsidRPr="00F133EF">
      <w:fldChar w:fldCharType="begin" w:fldLock="1"/>
    </w:r>
    <w:r w:rsidRPr="00F133EF">
      <w:instrText xml:space="preserve"> DOCPROPERTY "MotionarText" *\charformat </w:instrText>
    </w:r>
    <w:r w:rsidRPr="00F133EF">
      <w:fldChar w:fldCharType="separate"/>
    </w:r>
    <w:r w:rsidRPr="00F133EF">
      <w:t>av Per Bill m.fl. (m)</w:t>
    </w:r>
    <w:r w:rsidRPr="00F133EF">
      <w:fldChar w:fldCharType="end"/>
    </w:r>
    <w:r w:rsidRPr="00F133EF">
      <w:br/>
    </w:r>
    <w:r w:rsidRPr="00F133EF">
      <w:fldChar w:fldCharType="begin" w:fldLock="1"/>
    </w:r>
    <w:r w:rsidRPr="00F133EF">
      <w:instrText xml:space="preserve"> DOCPROPERTY "SvarFrasKort" *\charformat </w:instrText>
    </w:r>
    <w:r w:rsidRPr="00F133EF">
      <w:fldChar w:fldCharType="separate"/>
    </w:r>
    <w:r w:rsidRPr="00F133EF">
      <w:t>med anledning av prop. 2005/06:127</w:t>
    </w:r>
    <w:r w:rsidRPr="00F133EF">
      <w:fldChar w:fldCharType="end"/>
    </w:r>
  </w:p>
  <w:p w:rsidR="00133612" w:rsidRPr="00F133EF" w:rsidRDefault="00133612">
    <w:pPr>
      <w:pStyle w:val="FSHTitel"/>
    </w:pPr>
    <w:r w:rsidRPr="00F133EF">
      <w:fldChar w:fldCharType="begin" w:fldLock="1"/>
    </w:r>
    <w:r w:rsidRPr="00F133EF">
      <w:instrText xml:space="preserve"> DOCPROPERTY</w:instrText>
    </w:r>
    <w:r w:rsidRPr="00F133EF">
      <w:rPr>
        <w:sz w:val="18"/>
      </w:rPr>
      <w:instrText xml:space="preserve"> "RubrikSvar" *\charformat </w:instrText>
    </w:r>
    <w:r w:rsidRPr="00F133EF">
      <w:fldChar w:fldCharType="separate"/>
    </w:r>
    <w:r w:rsidRPr="00F133EF">
      <w:t>Forskning och ny teknik för framtidens energisystem</w:t>
    </w:r>
    <w:r w:rsidRPr="00F133EF">
      <w:fldChar w:fldCharType="end"/>
    </w:r>
  </w:p>
  <w:p w:rsidR="00133612" w:rsidRPr="00F133EF" w:rsidRDefault="00133612" w:rsidP="001336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F66765F"/>
    <w:multiLevelType w:val="hybridMultilevel"/>
    <w:tmpl w:val="4B5A3AD4"/>
    <w:lvl w:ilvl="0" w:tplc="7F2644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7205367">
    <w:abstractNumId w:val="13"/>
  </w:num>
  <w:num w:numId="2" w16cid:durableId="1950769441">
    <w:abstractNumId w:val="10"/>
  </w:num>
  <w:num w:numId="3" w16cid:durableId="4597567">
    <w:abstractNumId w:val="11"/>
  </w:num>
  <w:num w:numId="4" w16cid:durableId="1712916705">
    <w:abstractNumId w:val="12"/>
  </w:num>
  <w:num w:numId="5" w16cid:durableId="1632591401">
    <w:abstractNumId w:val="8"/>
  </w:num>
  <w:num w:numId="6" w16cid:durableId="167794766">
    <w:abstractNumId w:val="3"/>
  </w:num>
  <w:num w:numId="7" w16cid:durableId="1580941121">
    <w:abstractNumId w:val="2"/>
  </w:num>
  <w:num w:numId="8" w16cid:durableId="1534269403">
    <w:abstractNumId w:val="1"/>
  </w:num>
  <w:num w:numId="9" w16cid:durableId="1644232944">
    <w:abstractNumId w:val="0"/>
  </w:num>
  <w:num w:numId="10" w16cid:durableId="868571693">
    <w:abstractNumId w:val="9"/>
  </w:num>
  <w:num w:numId="11" w16cid:durableId="1249387593">
    <w:abstractNumId w:val="7"/>
  </w:num>
  <w:num w:numId="12" w16cid:durableId="1199973815">
    <w:abstractNumId w:val="6"/>
  </w:num>
  <w:num w:numId="13" w16cid:durableId="163520629">
    <w:abstractNumId w:val="5"/>
  </w:num>
  <w:num w:numId="14" w16cid:durableId="1561865403">
    <w:abstractNumId w:val="4"/>
  </w:num>
  <w:num w:numId="15" w16cid:durableId="903029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FF2299"/>
    <w:rsid w:val="00040D14"/>
    <w:rsid w:val="0004381F"/>
    <w:rsid w:val="00064BC3"/>
    <w:rsid w:val="000665E6"/>
    <w:rsid w:val="00066775"/>
    <w:rsid w:val="00072FB9"/>
    <w:rsid w:val="000E29CC"/>
    <w:rsid w:val="000E48DA"/>
    <w:rsid w:val="000F5ADD"/>
    <w:rsid w:val="00100531"/>
    <w:rsid w:val="0010382E"/>
    <w:rsid w:val="00133612"/>
    <w:rsid w:val="0019791B"/>
    <w:rsid w:val="001D0B40"/>
    <w:rsid w:val="001E0043"/>
    <w:rsid w:val="00201DFB"/>
    <w:rsid w:val="00204A63"/>
    <w:rsid w:val="00212FF1"/>
    <w:rsid w:val="00230193"/>
    <w:rsid w:val="0025068A"/>
    <w:rsid w:val="002818D3"/>
    <w:rsid w:val="002943C8"/>
    <w:rsid w:val="00295E6D"/>
    <w:rsid w:val="002B20DD"/>
    <w:rsid w:val="002C2373"/>
    <w:rsid w:val="002D11A8"/>
    <w:rsid w:val="00330C01"/>
    <w:rsid w:val="003866EC"/>
    <w:rsid w:val="003F100A"/>
    <w:rsid w:val="00445271"/>
    <w:rsid w:val="00447A04"/>
    <w:rsid w:val="004A0504"/>
    <w:rsid w:val="004E38D9"/>
    <w:rsid w:val="005B145B"/>
    <w:rsid w:val="00614B5B"/>
    <w:rsid w:val="0065533C"/>
    <w:rsid w:val="00740D6D"/>
    <w:rsid w:val="00743F76"/>
    <w:rsid w:val="00794149"/>
    <w:rsid w:val="007B67A7"/>
    <w:rsid w:val="007C6092"/>
    <w:rsid w:val="00846903"/>
    <w:rsid w:val="009723B8"/>
    <w:rsid w:val="00A053C6"/>
    <w:rsid w:val="00AB5000"/>
    <w:rsid w:val="00B13BF0"/>
    <w:rsid w:val="00B33C81"/>
    <w:rsid w:val="00B67E5B"/>
    <w:rsid w:val="00B97BDC"/>
    <w:rsid w:val="00BA6BE0"/>
    <w:rsid w:val="00BB6D75"/>
    <w:rsid w:val="00BF34C5"/>
    <w:rsid w:val="00C1285C"/>
    <w:rsid w:val="00C27B7D"/>
    <w:rsid w:val="00C97E5B"/>
    <w:rsid w:val="00CC02C3"/>
    <w:rsid w:val="00CD1F1E"/>
    <w:rsid w:val="00CE3037"/>
    <w:rsid w:val="00CF7A43"/>
    <w:rsid w:val="00D01775"/>
    <w:rsid w:val="00D1174F"/>
    <w:rsid w:val="00D53D04"/>
    <w:rsid w:val="00DC6C70"/>
    <w:rsid w:val="00E22893"/>
    <w:rsid w:val="00E349C2"/>
    <w:rsid w:val="00E360DE"/>
    <w:rsid w:val="00E521CB"/>
    <w:rsid w:val="00E75D28"/>
    <w:rsid w:val="00E84F25"/>
    <w:rsid w:val="00F133EF"/>
    <w:rsid w:val="00F21B30"/>
    <w:rsid w:val="00F73E9E"/>
    <w:rsid w:val="00FA3374"/>
    <w:rsid w:val="00FC7E79"/>
    <w:rsid w:val="00FF22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50A076-1314-4E5A-9173-56884A1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3361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466</Words>
  <Characters>2922</Characters>
  <Application>Microsoft Office Word</Application>
  <DocSecurity>4</DocSecurity>
  <Lines>59</Lines>
  <Paragraphs>20</Paragraphs>
  <ScaleCrop>false</ScaleCrop>
  <HeadingPairs>
    <vt:vector size="2" baseType="variant">
      <vt:variant>
        <vt:lpstr>Rubrik</vt:lpstr>
      </vt:variant>
      <vt:variant>
        <vt:i4>1</vt:i4>
      </vt:variant>
    </vt:vector>
  </HeadingPairs>
  <TitlesOfParts>
    <vt:vector size="1" baseType="lpstr">
      <vt:lpstr>N20</vt:lpstr>
    </vt:vector>
  </TitlesOfParts>
  <Company>Riksdagen</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dc:title>
  <dc:subject>N20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2006-04-18T14:00:00Z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2005/06:127 Forskning och ny teknik för framtidens energisystem</vt:lpwstr>
  </property>
  <property fmtid="{D5CDD505-2E9C-101B-9397-08002B2CF9AE}" pid="11" name="SvarFrasKort">
    <vt:lpwstr>med anledning av prop. 2005/06:127</vt:lpwstr>
  </property>
  <property fmtid="{D5CDD505-2E9C-101B-9397-08002B2CF9AE}" pid="12" name="Svar">
    <vt:lpwstr>proposition</vt:lpwstr>
  </property>
  <property fmtid="{D5CDD505-2E9C-101B-9397-08002B2CF9AE}" pid="13" name="SvarNr">
    <vt:lpwstr>2005/06:127</vt:lpwstr>
  </property>
  <property fmtid="{D5CDD505-2E9C-101B-9397-08002B2CF9AE}" pid="14" name="RubrikSvar">
    <vt:lpwstr>Forskning och ny teknik för framtidens energisystem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20052006000000000109000002320075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20052006000000000109000002320075</vt:lpwstr>
  </property>
  <property fmtid="{D5CDD505-2E9C-101B-9397-08002B2CF9AE}" pid="50" name="nummer">
    <vt:lpwstr>20</vt:lpwstr>
  </property>
  <property fmtid="{D5CDD505-2E9C-101B-9397-08002B2CF9AE}" pid="51" name="utskottsbeteckning">
    <vt:lpwstr>N</vt:lpwstr>
  </property>
  <property fmtid="{D5CDD505-2E9C-101B-9397-08002B2CF9AE}" pid="52" name="GlobalUID">
    <vt:lpwstr>{11B52EF1-743D-4CEC-9B91-E4FFD36C2D02}</vt:lpwstr>
  </property>
  <property fmtid="{D5CDD505-2E9C-101B-9397-08002B2CF9AE}" pid="53" name="Överföringar">
    <vt:i4>0</vt:i4>
  </property>
</Properties>
</file>