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0086815A" w:rsidR="0096348C" w:rsidRDefault="002C4A2A" w:rsidP="0096348C">
            <w:pPr>
              <w:rPr>
                <w:b/>
              </w:rPr>
            </w:pPr>
            <w:r>
              <w:rPr>
                <w:b/>
              </w:rPr>
              <w:t>UTSKOTTSSAMMANTRÄDE 20</w:t>
            </w:r>
            <w:r w:rsidR="00C47A83">
              <w:rPr>
                <w:b/>
              </w:rPr>
              <w:t>2</w:t>
            </w:r>
            <w:r w:rsidR="00D970F7">
              <w:rPr>
                <w:b/>
              </w:rPr>
              <w:t>2</w:t>
            </w:r>
            <w:r>
              <w:rPr>
                <w:b/>
              </w:rPr>
              <w:t>/</w:t>
            </w:r>
            <w:r w:rsidR="00484908">
              <w:rPr>
                <w:b/>
              </w:rPr>
              <w:t>2</w:t>
            </w:r>
            <w:r w:rsidR="00D970F7">
              <w:rPr>
                <w:b/>
              </w:rPr>
              <w:t>3</w:t>
            </w:r>
            <w:r w:rsidR="0096348C">
              <w:rPr>
                <w:b/>
              </w:rPr>
              <w:t>:</w:t>
            </w:r>
            <w:r w:rsidR="00A1071C">
              <w:rPr>
                <w:b/>
              </w:rPr>
              <w:t>6</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7B355565" w:rsidR="0096348C" w:rsidRDefault="00841169" w:rsidP="000E055F">
            <w:r>
              <w:t>20</w:t>
            </w:r>
            <w:r w:rsidR="007A3DA7">
              <w:t>2</w:t>
            </w:r>
            <w:r w:rsidR="0069048C">
              <w:t>2</w:t>
            </w:r>
            <w:r w:rsidR="007B4607">
              <w:t>-</w:t>
            </w:r>
            <w:r w:rsidR="009C1B70">
              <w:t>1</w:t>
            </w:r>
            <w:r w:rsidR="00A1071C">
              <w:t>1</w:t>
            </w:r>
            <w:r w:rsidR="00745634">
              <w:t>-</w:t>
            </w:r>
            <w:r w:rsidR="00A1071C">
              <w:t>1</w:t>
            </w:r>
            <w:r w:rsidR="003D28EB">
              <w:t>0</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27F92200" w:rsidR="0096348C" w:rsidRDefault="00EB5D50" w:rsidP="00214E90">
            <w:r w:rsidRPr="00BE690A">
              <w:t>1</w:t>
            </w:r>
            <w:r w:rsidR="00BB570B">
              <w:t>0</w:t>
            </w:r>
            <w:r w:rsidR="00497FA3" w:rsidRPr="00BE690A">
              <w:t>.0</w:t>
            </w:r>
            <w:r w:rsidR="00326424" w:rsidRPr="00BE690A">
              <w:t>0</w:t>
            </w:r>
            <w:r w:rsidR="00143484" w:rsidRPr="00BE690A">
              <w:t>-</w:t>
            </w:r>
            <w:r w:rsidR="00CD6B96" w:rsidRPr="00BE690A">
              <w:t>1</w:t>
            </w:r>
            <w:r w:rsidR="00CC6071">
              <w:t>1</w:t>
            </w:r>
            <w:r w:rsidR="00CD6B96" w:rsidRPr="00BE690A">
              <w:t>.</w:t>
            </w:r>
            <w:r w:rsidR="00CC6071">
              <w:t>10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CD02CC" w14:paraId="52301A8C" w14:textId="77777777" w:rsidTr="00121808">
        <w:tc>
          <w:tcPr>
            <w:tcW w:w="567" w:type="dxa"/>
            <w:shd w:val="clear" w:color="auto" w:fill="auto"/>
          </w:tcPr>
          <w:p w14:paraId="02BBEAB4" w14:textId="04703FAE" w:rsidR="00CD02CC" w:rsidRDefault="00CD02CC" w:rsidP="00121808">
            <w:pPr>
              <w:tabs>
                <w:tab w:val="left" w:pos="1701"/>
              </w:tabs>
              <w:rPr>
                <w:b/>
                <w:snapToGrid w:val="0"/>
              </w:rPr>
            </w:pPr>
            <w:r>
              <w:rPr>
                <w:b/>
                <w:snapToGrid w:val="0"/>
              </w:rPr>
              <w:t>§ 1</w:t>
            </w:r>
          </w:p>
        </w:tc>
        <w:tc>
          <w:tcPr>
            <w:tcW w:w="6946" w:type="dxa"/>
            <w:shd w:val="clear" w:color="auto" w:fill="auto"/>
          </w:tcPr>
          <w:p w14:paraId="08FA1FC0" w14:textId="77777777" w:rsidR="00CD02CC" w:rsidRDefault="00CD02CC" w:rsidP="007D24BE">
            <w:pPr>
              <w:rPr>
                <w:b/>
              </w:rPr>
            </w:pPr>
            <w:r>
              <w:rPr>
                <w:b/>
              </w:rPr>
              <w:t>Beslut om närvaro</w:t>
            </w:r>
          </w:p>
          <w:p w14:paraId="75A442C9" w14:textId="77777777" w:rsidR="00CD02CC" w:rsidRDefault="00CD02CC" w:rsidP="007D24BE">
            <w:pPr>
              <w:rPr>
                <w:b/>
              </w:rPr>
            </w:pPr>
          </w:p>
          <w:p w14:paraId="08E25B01" w14:textId="13687782" w:rsidR="00FD7D83" w:rsidRPr="00CD02CC" w:rsidRDefault="00CD02CC" w:rsidP="00CD02CC">
            <w:pPr>
              <w:rPr>
                <w:szCs w:val="24"/>
              </w:rPr>
            </w:pPr>
            <w:r w:rsidRPr="00CD02CC">
              <w:rPr>
                <w:bCs/>
                <w:szCs w:val="24"/>
              </w:rPr>
              <w:t>Utskottet beslutade att</w:t>
            </w:r>
            <w:r w:rsidRPr="00CD02CC">
              <w:rPr>
                <w:b/>
                <w:szCs w:val="24"/>
              </w:rPr>
              <w:t xml:space="preserve"> </w:t>
            </w:r>
            <w:r w:rsidRPr="00CD02CC">
              <w:rPr>
                <w:szCs w:val="24"/>
              </w:rPr>
              <w:t xml:space="preserve">prao-eleven Leon </w:t>
            </w:r>
            <w:proofErr w:type="spellStart"/>
            <w:r w:rsidRPr="00CD02CC">
              <w:rPr>
                <w:szCs w:val="24"/>
              </w:rPr>
              <w:t>Dunnell</w:t>
            </w:r>
            <w:proofErr w:type="spellEnd"/>
            <w:r w:rsidRPr="00CD02CC">
              <w:rPr>
                <w:szCs w:val="24"/>
              </w:rPr>
              <w:t xml:space="preserve"> f</w:t>
            </w:r>
            <w:r w:rsidR="00415FE3">
              <w:rPr>
                <w:szCs w:val="24"/>
              </w:rPr>
              <w:t>ick</w:t>
            </w:r>
            <w:r w:rsidRPr="00CD02CC">
              <w:rPr>
                <w:szCs w:val="24"/>
              </w:rPr>
              <w:t xml:space="preserve"> närvara på sammanträdet.</w:t>
            </w:r>
          </w:p>
          <w:p w14:paraId="7E27A69F" w14:textId="3194233D" w:rsidR="00CD02CC" w:rsidRPr="007D24BE" w:rsidRDefault="00CD02CC" w:rsidP="007D24BE">
            <w:pPr>
              <w:rPr>
                <w:b/>
              </w:rPr>
            </w:pPr>
          </w:p>
        </w:tc>
      </w:tr>
      <w:tr w:rsidR="00B94A74" w14:paraId="65B0FF3D" w14:textId="77777777" w:rsidTr="00121808">
        <w:tc>
          <w:tcPr>
            <w:tcW w:w="567" w:type="dxa"/>
            <w:shd w:val="clear" w:color="auto" w:fill="auto"/>
          </w:tcPr>
          <w:p w14:paraId="3DC90D98" w14:textId="251E1B04" w:rsidR="00B94A74" w:rsidRDefault="00B94A74" w:rsidP="00121808">
            <w:pPr>
              <w:tabs>
                <w:tab w:val="left" w:pos="1701"/>
              </w:tabs>
              <w:rPr>
                <w:b/>
                <w:snapToGrid w:val="0"/>
              </w:rPr>
            </w:pPr>
            <w:r>
              <w:rPr>
                <w:b/>
                <w:snapToGrid w:val="0"/>
              </w:rPr>
              <w:t>§ 2</w:t>
            </w:r>
          </w:p>
        </w:tc>
        <w:tc>
          <w:tcPr>
            <w:tcW w:w="6946" w:type="dxa"/>
            <w:shd w:val="clear" w:color="auto" w:fill="auto"/>
          </w:tcPr>
          <w:p w14:paraId="0EFF302A" w14:textId="77777777" w:rsidR="00B94A74" w:rsidRDefault="00B94A74" w:rsidP="00B94A74">
            <w:pPr>
              <w:rPr>
                <w:b/>
              </w:rPr>
            </w:pPr>
            <w:r>
              <w:rPr>
                <w:b/>
              </w:rPr>
              <w:t>Justering av protokoll</w:t>
            </w:r>
          </w:p>
          <w:p w14:paraId="6EE76836" w14:textId="77777777" w:rsidR="00B94A74" w:rsidRDefault="00B94A74" w:rsidP="00B94A74">
            <w:pPr>
              <w:rPr>
                <w:b/>
              </w:rPr>
            </w:pPr>
          </w:p>
          <w:p w14:paraId="3E95DF38" w14:textId="77777777" w:rsidR="00B94A74" w:rsidRPr="00D62063" w:rsidRDefault="00B94A74" w:rsidP="00B94A74">
            <w:pPr>
              <w:rPr>
                <w:bCs/>
              </w:rPr>
            </w:pPr>
            <w:r w:rsidRPr="00D62063">
              <w:rPr>
                <w:bCs/>
              </w:rPr>
              <w:t>Utskottet justerade protokoll 2022/23:</w:t>
            </w:r>
            <w:r>
              <w:rPr>
                <w:bCs/>
              </w:rPr>
              <w:t>5</w:t>
            </w:r>
            <w:r w:rsidRPr="00D62063">
              <w:rPr>
                <w:bCs/>
              </w:rPr>
              <w:t>.</w:t>
            </w:r>
          </w:p>
          <w:p w14:paraId="651B5C4E" w14:textId="77777777" w:rsidR="00B94A74" w:rsidRDefault="00B94A74" w:rsidP="007D24BE">
            <w:pPr>
              <w:rPr>
                <w:b/>
              </w:rPr>
            </w:pPr>
          </w:p>
        </w:tc>
      </w:tr>
      <w:tr w:rsidR="00FD7D83" w14:paraId="0D45AA3D" w14:textId="77777777" w:rsidTr="00121808">
        <w:tc>
          <w:tcPr>
            <w:tcW w:w="567" w:type="dxa"/>
            <w:shd w:val="clear" w:color="auto" w:fill="auto"/>
          </w:tcPr>
          <w:p w14:paraId="5A08F505" w14:textId="1E2AC56D" w:rsidR="00FD7D83" w:rsidRDefault="00FD7D83" w:rsidP="00121808">
            <w:pPr>
              <w:tabs>
                <w:tab w:val="left" w:pos="1701"/>
              </w:tabs>
              <w:rPr>
                <w:b/>
                <w:snapToGrid w:val="0"/>
              </w:rPr>
            </w:pPr>
            <w:r>
              <w:rPr>
                <w:b/>
                <w:snapToGrid w:val="0"/>
              </w:rPr>
              <w:t xml:space="preserve">§ </w:t>
            </w:r>
            <w:r w:rsidR="00EF6742">
              <w:rPr>
                <w:b/>
                <w:snapToGrid w:val="0"/>
              </w:rPr>
              <w:t>3</w:t>
            </w:r>
          </w:p>
        </w:tc>
        <w:tc>
          <w:tcPr>
            <w:tcW w:w="6946" w:type="dxa"/>
            <w:shd w:val="clear" w:color="auto" w:fill="auto"/>
          </w:tcPr>
          <w:p w14:paraId="554FE454" w14:textId="77777777" w:rsidR="00FD7D83" w:rsidRDefault="00FD7D83" w:rsidP="00FD7D83">
            <w:pPr>
              <w:rPr>
                <w:b/>
              </w:rPr>
            </w:pPr>
            <w:r>
              <w:rPr>
                <w:b/>
              </w:rPr>
              <w:t>Snabbare lagföring av brott (JuU2)</w:t>
            </w:r>
          </w:p>
          <w:p w14:paraId="74F73EBB" w14:textId="77777777" w:rsidR="00FD7D83" w:rsidRDefault="00FD7D83" w:rsidP="00FD7D83">
            <w:pPr>
              <w:rPr>
                <w:b/>
              </w:rPr>
            </w:pPr>
          </w:p>
          <w:p w14:paraId="4C2E926E" w14:textId="77777777" w:rsidR="00FD7D83" w:rsidRPr="004015DF" w:rsidRDefault="00FD7D83" w:rsidP="00FD7D83">
            <w:pPr>
              <w:rPr>
                <w:bCs/>
              </w:rPr>
            </w:pPr>
            <w:r w:rsidRPr="004015DF">
              <w:rPr>
                <w:bCs/>
              </w:rPr>
              <w:t>Utskottet</w:t>
            </w:r>
            <w:r>
              <w:rPr>
                <w:bCs/>
              </w:rPr>
              <w:t xml:space="preserve"> fortsatte beredningen av</w:t>
            </w:r>
            <w:r w:rsidRPr="004015DF">
              <w:rPr>
                <w:bCs/>
              </w:rPr>
              <w:t xml:space="preserve"> </w:t>
            </w:r>
            <w:r>
              <w:rPr>
                <w:bCs/>
                <w:snapToGrid w:val="0"/>
              </w:rPr>
              <w:t>proposition</w:t>
            </w:r>
            <w:r w:rsidRPr="004F78DF">
              <w:rPr>
                <w:bCs/>
                <w:snapToGrid w:val="0"/>
              </w:rPr>
              <w:t xml:space="preserve"> 2021/22:</w:t>
            </w:r>
            <w:r>
              <w:rPr>
                <w:bCs/>
                <w:snapToGrid w:val="0"/>
              </w:rPr>
              <w:t>279 och motion</w:t>
            </w:r>
            <w:r w:rsidRPr="004F78DF">
              <w:rPr>
                <w:bCs/>
                <w:snapToGrid w:val="0"/>
              </w:rPr>
              <w:t>.</w:t>
            </w:r>
          </w:p>
          <w:p w14:paraId="31B46199" w14:textId="77777777" w:rsidR="00FD7D83" w:rsidRPr="004015DF" w:rsidRDefault="00FD7D83" w:rsidP="00FD7D83">
            <w:pPr>
              <w:rPr>
                <w:bCs/>
              </w:rPr>
            </w:pPr>
          </w:p>
          <w:p w14:paraId="70110A0A" w14:textId="6931CD23" w:rsidR="00FD7D83" w:rsidRDefault="00FD7D83" w:rsidP="00FD7D83">
            <w:pPr>
              <w:rPr>
                <w:bCs/>
              </w:rPr>
            </w:pPr>
            <w:r>
              <w:rPr>
                <w:bCs/>
              </w:rPr>
              <w:t>Utskottet justerade betänkande 2022/</w:t>
            </w:r>
            <w:proofErr w:type="gramStart"/>
            <w:r>
              <w:rPr>
                <w:bCs/>
              </w:rPr>
              <w:t>23:JuU</w:t>
            </w:r>
            <w:proofErr w:type="gramEnd"/>
            <w:r>
              <w:rPr>
                <w:bCs/>
              </w:rPr>
              <w:t>2.</w:t>
            </w:r>
          </w:p>
          <w:p w14:paraId="3697AF14" w14:textId="7424534D" w:rsidR="00946EE8" w:rsidRDefault="00946EE8" w:rsidP="00FD7D83">
            <w:pPr>
              <w:rPr>
                <w:bCs/>
              </w:rPr>
            </w:pPr>
          </w:p>
          <w:p w14:paraId="309CA44A" w14:textId="34E165A6" w:rsidR="00946EE8" w:rsidRPr="004015DF" w:rsidRDefault="00946EE8" w:rsidP="00FD7D83">
            <w:pPr>
              <w:rPr>
                <w:bCs/>
              </w:rPr>
            </w:pPr>
            <w:r w:rsidRPr="008E61CA">
              <w:rPr>
                <w:bCs/>
              </w:rPr>
              <w:t>V-, C- och MP-ledamöterna anmälde en reservation.</w:t>
            </w:r>
          </w:p>
          <w:p w14:paraId="24AC9E67" w14:textId="77777777" w:rsidR="00FD7D83" w:rsidRDefault="00FD7D83" w:rsidP="007D24BE">
            <w:pPr>
              <w:rPr>
                <w:b/>
              </w:rPr>
            </w:pPr>
          </w:p>
        </w:tc>
      </w:tr>
      <w:tr w:rsidR="005839E5" w14:paraId="61C7095C" w14:textId="77777777" w:rsidTr="00121808">
        <w:tc>
          <w:tcPr>
            <w:tcW w:w="567" w:type="dxa"/>
            <w:shd w:val="clear" w:color="auto" w:fill="auto"/>
          </w:tcPr>
          <w:p w14:paraId="01F7344D" w14:textId="7135D035" w:rsidR="005839E5" w:rsidRDefault="005839E5" w:rsidP="00121808">
            <w:pPr>
              <w:tabs>
                <w:tab w:val="left" w:pos="1701"/>
              </w:tabs>
              <w:rPr>
                <w:b/>
                <w:snapToGrid w:val="0"/>
              </w:rPr>
            </w:pPr>
            <w:r>
              <w:rPr>
                <w:b/>
                <w:snapToGrid w:val="0"/>
              </w:rPr>
              <w:t xml:space="preserve">§ </w:t>
            </w:r>
            <w:r w:rsidR="00EF6742">
              <w:rPr>
                <w:b/>
                <w:snapToGrid w:val="0"/>
              </w:rPr>
              <w:t>4</w:t>
            </w:r>
          </w:p>
        </w:tc>
        <w:tc>
          <w:tcPr>
            <w:tcW w:w="6946" w:type="dxa"/>
            <w:shd w:val="clear" w:color="auto" w:fill="auto"/>
          </w:tcPr>
          <w:p w14:paraId="63CD3D5C" w14:textId="77777777" w:rsidR="005839E5" w:rsidRDefault="005839E5" w:rsidP="005839E5">
            <w:pPr>
              <w:rPr>
                <w:b/>
              </w:rPr>
            </w:pPr>
            <w:r>
              <w:rPr>
                <w:b/>
              </w:rPr>
              <w:t>Arrestantvakter och transportuppdrag (JuU3)</w:t>
            </w:r>
          </w:p>
          <w:p w14:paraId="53B7E656" w14:textId="77777777" w:rsidR="005839E5" w:rsidRDefault="005839E5" w:rsidP="005839E5">
            <w:pPr>
              <w:rPr>
                <w:b/>
              </w:rPr>
            </w:pPr>
          </w:p>
          <w:p w14:paraId="510C4B01" w14:textId="77777777" w:rsidR="005839E5" w:rsidRPr="004015DF" w:rsidRDefault="005839E5" w:rsidP="005839E5">
            <w:pPr>
              <w:rPr>
                <w:bCs/>
              </w:rPr>
            </w:pPr>
            <w:r w:rsidRPr="004015DF">
              <w:rPr>
                <w:bCs/>
              </w:rPr>
              <w:t>Utskottet</w:t>
            </w:r>
            <w:r>
              <w:rPr>
                <w:bCs/>
              </w:rPr>
              <w:t xml:space="preserve"> fortsatte beredningen av</w:t>
            </w:r>
            <w:r w:rsidRPr="004015DF">
              <w:rPr>
                <w:bCs/>
              </w:rPr>
              <w:t xml:space="preserve"> </w:t>
            </w:r>
            <w:r>
              <w:rPr>
                <w:bCs/>
                <w:snapToGrid w:val="0"/>
              </w:rPr>
              <w:t>proposition</w:t>
            </w:r>
            <w:r w:rsidRPr="004F78DF">
              <w:rPr>
                <w:bCs/>
                <w:snapToGrid w:val="0"/>
              </w:rPr>
              <w:t xml:space="preserve"> 2021/22:</w:t>
            </w:r>
            <w:r>
              <w:rPr>
                <w:bCs/>
                <w:snapToGrid w:val="0"/>
              </w:rPr>
              <w:t>275</w:t>
            </w:r>
            <w:r w:rsidRPr="004F78DF">
              <w:rPr>
                <w:bCs/>
                <w:snapToGrid w:val="0"/>
              </w:rPr>
              <w:t>.</w:t>
            </w:r>
          </w:p>
          <w:p w14:paraId="5FA6566E" w14:textId="77777777" w:rsidR="005839E5" w:rsidRPr="004015DF" w:rsidRDefault="005839E5" w:rsidP="005839E5">
            <w:pPr>
              <w:rPr>
                <w:bCs/>
              </w:rPr>
            </w:pPr>
          </w:p>
          <w:p w14:paraId="0B4E977A" w14:textId="77777777" w:rsidR="005839E5" w:rsidRPr="004015DF" w:rsidRDefault="005839E5" w:rsidP="005839E5">
            <w:pPr>
              <w:rPr>
                <w:bCs/>
              </w:rPr>
            </w:pPr>
            <w:r>
              <w:rPr>
                <w:bCs/>
              </w:rPr>
              <w:t>Utskottet justerade betänkande 2022/</w:t>
            </w:r>
            <w:proofErr w:type="gramStart"/>
            <w:r>
              <w:rPr>
                <w:bCs/>
              </w:rPr>
              <w:t>23:JuU</w:t>
            </w:r>
            <w:proofErr w:type="gramEnd"/>
            <w:r>
              <w:rPr>
                <w:bCs/>
              </w:rPr>
              <w:t>3.</w:t>
            </w:r>
          </w:p>
          <w:p w14:paraId="039E0F8B" w14:textId="77777777" w:rsidR="005839E5" w:rsidRDefault="005839E5" w:rsidP="00FD7D83">
            <w:pPr>
              <w:rPr>
                <w:b/>
              </w:rPr>
            </w:pPr>
          </w:p>
        </w:tc>
      </w:tr>
      <w:tr w:rsidR="00023EFF" w14:paraId="53380143" w14:textId="77777777" w:rsidTr="00121808">
        <w:tc>
          <w:tcPr>
            <w:tcW w:w="567" w:type="dxa"/>
            <w:shd w:val="clear" w:color="auto" w:fill="auto"/>
          </w:tcPr>
          <w:p w14:paraId="224CEEBB" w14:textId="6A30B64B" w:rsidR="00023EFF" w:rsidRDefault="00023EFF" w:rsidP="00121808">
            <w:pPr>
              <w:tabs>
                <w:tab w:val="left" w:pos="1701"/>
              </w:tabs>
              <w:rPr>
                <w:b/>
                <w:snapToGrid w:val="0"/>
              </w:rPr>
            </w:pPr>
            <w:r>
              <w:rPr>
                <w:b/>
                <w:snapToGrid w:val="0"/>
              </w:rPr>
              <w:t xml:space="preserve">§ </w:t>
            </w:r>
            <w:r w:rsidR="00F41145">
              <w:rPr>
                <w:b/>
                <w:snapToGrid w:val="0"/>
              </w:rPr>
              <w:t>5</w:t>
            </w:r>
          </w:p>
        </w:tc>
        <w:tc>
          <w:tcPr>
            <w:tcW w:w="6946" w:type="dxa"/>
            <w:shd w:val="clear" w:color="auto" w:fill="auto"/>
          </w:tcPr>
          <w:p w14:paraId="6B5C1A73" w14:textId="77777777" w:rsidR="001B7D6D" w:rsidRPr="000315F7" w:rsidRDefault="00EF6742" w:rsidP="001B7D6D">
            <w:pPr>
              <w:rPr>
                <w:bCs/>
              </w:rPr>
            </w:pPr>
            <w:r>
              <w:rPr>
                <w:b/>
              </w:rPr>
              <w:t>Uppföljning av riksdagens tillämpning av subsidiaritetsprincipen</w:t>
            </w:r>
            <w:r>
              <w:rPr>
                <w:b/>
              </w:rPr>
              <w:br/>
            </w:r>
            <w:r>
              <w:rPr>
                <w:b/>
              </w:rPr>
              <w:br/>
            </w:r>
            <w:r w:rsidR="001B7D6D" w:rsidRPr="000315F7">
              <w:rPr>
                <w:bCs/>
              </w:rPr>
              <w:t xml:space="preserve">Utskottet behandlade fråga om yttrande till konstitutionsutskottet </w:t>
            </w:r>
            <w:r w:rsidR="001B7D6D">
              <w:rPr>
                <w:bCs/>
              </w:rPr>
              <w:t xml:space="preserve">med anledning av konstitutionsutskottets uppföljning av riksdagens tillämpning av subsidiaritetsprincipen. </w:t>
            </w:r>
          </w:p>
          <w:p w14:paraId="476FB134" w14:textId="77777777" w:rsidR="001B7D6D" w:rsidRPr="000315F7" w:rsidRDefault="001B7D6D" w:rsidP="001B7D6D">
            <w:pPr>
              <w:rPr>
                <w:bCs/>
              </w:rPr>
            </w:pPr>
          </w:p>
          <w:p w14:paraId="22EDE272" w14:textId="77777777" w:rsidR="001B7D6D" w:rsidRPr="000315F7" w:rsidRDefault="001B7D6D" w:rsidP="001B7D6D">
            <w:pPr>
              <w:rPr>
                <w:bCs/>
              </w:rPr>
            </w:pPr>
            <w:r w:rsidRPr="000315F7">
              <w:rPr>
                <w:bCs/>
              </w:rPr>
              <w:t xml:space="preserve">Utskottet beslutade att </w:t>
            </w:r>
            <w:r>
              <w:rPr>
                <w:bCs/>
              </w:rPr>
              <w:t>yttra sig genom att hänvisa till vad utskottet anförde vid en tidigare uppföljning av riksdagens tillämpning av subsidiaritetsprincipen (</w:t>
            </w:r>
            <w:proofErr w:type="spellStart"/>
            <w:r>
              <w:rPr>
                <w:bCs/>
              </w:rPr>
              <w:t>yttr</w:t>
            </w:r>
            <w:proofErr w:type="spellEnd"/>
            <w:r>
              <w:rPr>
                <w:bCs/>
              </w:rPr>
              <w:t>. 2019/</w:t>
            </w:r>
            <w:proofErr w:type="gramStart"/>
            <w:r>
              <w:rPr>
                <w:bCs/>
              </w:rPr>
              <w:t>20:JuU</w:t>
            </w:r>
            <w:proofErr w:type="gramEnd"/>
            <w:r>
              <w:rPr>
                <w:bCs/>
              </w:rPr>
              <w:t xml:space="preserve">2y s. 8 f.). </w:t>
            </w:r>
          </w:p>
          <w:p w14:paraId="7C6F41B0" w14:textId="1B14FEFE" w:rsidR="007D24BE" w:rsidRDefault="007D24BE" w:rsidP="001B7D6D">
            <w:pPr>
              <w:rPr>
                <w:b/>
              </w:rPr>
            </w:pPr>
          </w:p>
        </w:tc>
      </w:tr>
      <w:tr w:rsidR="00F41145" w14:paraId="7B59340E" w14:textId="77777777" w:rsidTr="00121808">
        <w:tc>
          <w:tcPr>
            <w:tcW w:w="567" w:type="dxa"/>
            <w:shd w:val="clear" w:color="auto" w:fill="auto"/>
          </w:tcPr>
          <w:p w14:paraId="65982277" w14:textId="3F1AB90D" w:rsidR="00F41145" w:rsidRDefault="00F41145" w:rsidP="00F41145">
            <w:pPr>
              <w:tabs>
                <w:tab w:val="left" w:pos="1701"/>
              </w:tabs>
              <w:rPr>
                <w:b/>
                <w:snapToGrid w:val="0"/>
              </w:rPr>
            </w:pPr>
            <w:r>
              <w:rPr>
                <w:b/>
                <w:snapToGrid w:val="0"/>
              </w:rPr>
              <w:t>§ 6</w:t>
            </w:r>
          </w:p>
        </w:tc>
        <w:tc>
          <w:tcPr>
            <w:tcW w:w="6946" w:type="dxa"/>
            <w:shd w:val="clear" w:color="auto" w:fill="auto"/>
          </w:tcPr>
          <w:p w14:paraId="4EE299BB" w14:textId="69CE3BD4" w:rsidR="00F41145" w:rsidRDefault="00F41145" w:rsidP="00F41145">
            <w:pPr>
              <w:rPr>
                <w:b/>
              </w:rPr>
            </w:pPr>
            <w:r w:rsidRPr="003B5E3F">
              <w:rPr>
                <w:b/>
              </w:rPr>
              <w:t xml:space="preserve">Återrapport från </w:t>
            </w:r>
            <w:proofErr w:type="spellStart"/>
            <w:r w:rsidRPr="003B5E3F">
              <w:rPr>
                <w:b/>
              </w:rPr>
              <w:t>JPSG:s</w:t>
            </w:r>
            <w:proofErr w:type="spellEnd"/>
            <w:r w:rsidRPr="003B5E3F">
              <w:rPr>
                <w:b/>
              </w:rPr>
              <w:t xml:space="preserve"> möte i Bryssel den 24–25 oktober 2022</w:t>
            </w:r>
          </w:p>
          <w:p w14:paraId="27DA1307" w14:textId="7418B34E" w:rsidR="00F41145" w:rsidRDefault="00F41145" w:rsidP="00F41145">
            <w:pPr>
              <w:rPr>
                <w:b/>
              </w:rPr>
            </w:pPr>
          </w:p>
          <w:p w14:paraId="72A3A747" w14:textId="5B159FD1" w:rsidR="00F41145" w:rsidRPr="00F41145" w:rsidRDefault="00F41145" w:rsidP="00F41145">
            <w:pPr>
              <w:rPr>
                <w:bCs/>
              </w:rPr>
            </w:pPr>
            <w:r w:rsidRPr="00F41145">
              <w:rPr>
                <w:bCs/>
              </w:rPr>
              <w:t>Adam Marttinen (SD) och Petter Löberg (S) informerade.</w:t>
            </w:r>
          </w:p>
          <w:p w14:paraId="186F27DE" w14:textId="77777777" w:rsidR="00F41145" w:rsidRDefault="00F41145" w:rsidP="00F41145">
            <w:pPr>
              <w:rPr>
                <w:b/>
              </w:rPr>
            </w:pPr>
          </w:p>
        </w:tc>
      </w:tr>
      <w:tr w:rsidR="00F41145" w14:paraId="66167901" w14:textId="77777777" w:rsidTr="00121808">
        <w:tc>
          <w:tcPr>
            <w:tcW w:w="567" w:type="dxa"/>
            <w:shd w:val="clear" w:color="auto" w:fill="auto"/>
          </w:tcPr>
          <w:p w14:paraId="0C6963D0" w14:textId="1E2D9168" w:rsidR="00F41145" w:rsidRDefault="00F41145" w:rsidP="00F41145">
            <w:pPr>
              <w:tabs>
                <w:tab w:val="left" w:pos="1701"/>
              </w:tabs>
              <w:rPr>
                <w:b/>
                <w:snapToGrid w:val="0"/>
              </w:rPr>
            </w:pPr>
            <w:r>
              <w:rPr>
                <w:b/>
                <w:snapToGrid w:val="0"/>
              </w:rPr>
              <w:lastRenderedPageBreak/>
              <w:t xml:space="preserve">§ </w:t>
            </w:r>
            <w:r w:rsidR="00FC1FCD">
              <w:rPr>
                <w:b/>
                <w:snapToGrid w:val="0"/>
              </w:rPr>
              <w:t>7</w:t>
            </w:r>
          </w:p>
        </w:tc>
        <w:tc>
          <w:tcPr>
            <w:tcW w:w="6946" w:type="dxa"/>
            <w:shd w:val="clear" w:color="auto" w:fill="auto"/>
          </w:tcPr>
          <w:p w14:paraId="0B3C2297" w14:textId="797D0035" w:rsidR="00F41145" w:rsidRDefault="00F41145" w:rsidP="00F41145">
            <w:pPr>
              <w:rPr>
                <w:b/>
              </w:rPr>
            </w:pPr>
            <w:r w:rsidRPr="007D24BE">
              <w:rPr>
                <w:b/>
              </w:rPr>
              <w:t>Förslag till direktiv om skydd för personer som deltar i den offentliga debatten mot uppenbart ogrundade rättsprocesser och rättegångsmissbruk (strategiska rättsprocesser för att hindra offentlig debatt)</w:t>
            </w:r>
          </w:p>
          <w:p w14:paraId="4B7DEEC2" w14:textId="77777777" w:rsidR="00F43FE8" w:rsidRPr="007D24BE" w:rsidRDefault="00F43FE8" w:rsidP="00F41145">
            <w:pPr>
              <w:rPr>
                <w:b/>
              </w:rPr>
            </w:pPr>
          </w:p>
          <w:p w14:paraId="7A5E2775" w14:textId="77777777" w:rsidR="00717937" w:rsidRDefault="00717937" w:rsidP="00F41145">
            <w:pPr>
              <w:rPr>
                <w:bCs/>
              </w:rPr>
            </w:pPr>
            <w:r>
              <w:rPr>
                <w:bCs/>
              </w:rPr>
              <w:t>Utskottet överlade med statsrådet Charlotte Kugelberg, åtföljd av medarbetare från j</w:t>
            </w:r>
            <w:r w:rsidR="00F41145" w:rsidRPr="00923DD0">
              <w:rPr>
                <w:bCs/>
              </w:rPr>
              <w:t>ustitiedepartementet</w:t>
            </w:r>
            <w:r>
              <w:rPr>
                <w:bCs/>
              </w:rPr>
              <w:t>.</w:t>
            </w:r>
          </w:p>
          <w:p w14:paraId="2EE1A496" w14:textId="77777777" w:rsidR="00717937" w:rsidRDefault="00717937" w:rsidP="00F41145">
            <w:pPr>
              <w:rPr>
                <w:bCs/>
              </w:rPr>
            </w:pPr>
          </w:p>
          <w:p w14:paraId="745154F2" w14:textId="77777777" w:rsidR="00717937" w:rsidRDefault="00717937" w:rsidP="00F41145">
            <w:pPr>
              <w:rPr>
                <w:bCs/>
              </w:rPr>
            </w:pPr>
            <w:r>
              <w:rPr>
                <w:bCs/>
              </w:rPr>
              <w:t>Underlaget utgjordes av regeringskansliets faktapromemoria 2021/</w:t>
            </w:r>
            <w:proofErr w:type="gramStart"/>
            <w:r>
              <w:rPr>
                <w:bCs/>
              </w:rPr>
              <w:t>22:FPM</w:t>
            </w:r>
            <w:proofErr w:type="gramEnd"/>
            <w:r>
              <w:rPr>
                <w:bCs/>
              </w:rPr>
              <w:t>93.</w:t>
            </w:r>
          </w:p>
          <w:p w14:paraId="56194237" w14:textId="77777777" w:rsidR="00717937" w:rsidRDefault="00717937" w:rsidP="00F41145">
            <w:pPr>
              <w:rPr>
                <w:bCs/>
              </w:rPr>
            </w:pPr>
          </w:p>
          <w:p w14:paraId="31470600" w14:textId="3CD24779" w:rsidR="00717937" w:rsidRPr="009A70BD" w:rsidRDefault="00717937" w:rsidP="00F41145">
            <w:pPr>
              <w:rPr>
                <w:bCs/>
                <w:highlight w:val="yellow"/>
              </w:rPr>
            </w:pPr>
            <w:r>
              <w:rPr>
                <w:bCs/>
              </w:rPr>
              <w:t>Statsrådet Charlotte Kugelberg för regeringens ståndpunkt i enlighet med faktapromemorian</w:t>
            </w:r>
            <w:r w:rsidR="00946EE8" w:rsidRPr="008E61CA">
              <w:rPr>
                <w:bCs/>
              </w:rPr>
              <w:t>:</w:t>
            </w:r>
          </w:p>
          <w:p w14:paraId="464E38FD" w14:textId="77777777" w:rsidR="009407A1" w:rsidRPr="00D446D6" w:rsidRDefault="009407A1" w:rsidP="009407A1">
            <w:pPr>
              <w:ind w:left="705"/>
              <w:jc w:val="both"/>
              <w:rPr>
                <w:sz w:val="22"/>
                <w:szCs w:val="22"/>
                <w:highlight w:val="yellow"/>
              </w:rPr>
            </w:pPr>
          </w:p>
          <w:p w14:paraId="4B4C9A60" w14:textId="00688F4D" w:rsidR="00946EE8" w:rsidRPr="008E61CA" w:rsidRDefault="00946EE8" w:rsidP="00D446D6">
            <w:pPr>
              <w:ind w:left="705" w:right="561"/>
              <w:jc w:val="both"/>
              <w:rPr>
                <w:sz w:val="22"/>
                <w:szCs w:val="22"/>
              </w:rPr>
            </w:pPr>
            <w:r w:rsidRPr="008E61CA">
              <w:rPr>
                <w:sz w:val="22"/>
                <w:szCs w:val="22"/>
              </w:rPr>
              <w:t xml:space="preserve">Regeringen välkomnar kommissionens initiativ för att motverka att rättsprocesser används som ett medel för att tysta journalister, människorättsförsvarare och andra som deltar i den offentliga debatten. Ett fritt meningsutbyte och en fri åsiktsbildning är hörnstenar i en livskraftig demokrati. Förslaget kan bidra till att öka skyddet för journalister, människorättsförsvarare och andra som utövar sin yttrande- och informationsfrihet i Sverige från ogrundade rättsprocesser i andra länder. </w:t>
            </w:r>
          </w:p>
          <w:p w14:paraId="38C88A25" w14:textId="77777777" w:rsidR="009407A1" w:rsidRPr="008E61CA" w:rsidRDefault="009407A1" w:rsidP="00D446D6">
            <w:pPr>
              <w:ind w:left="705" w:right="561"/>
              <w:jc w:val="both"/>
              <w:rPr>
                <w:sz w:val="22"/>
                <w:szCs w:val="22"/>
              </w:rPr>
            </w:pPr>
          </w:p>
          <w:p w14:paraId="6A0CAEE4" w14:textId="65C45A49" w:rsidR="00946EE8" w:rsidRPr="009407A1" w:rsidRDefault="00946EE8" w:rsidP="00D446D6">
            <w:pPr>
              <w:ind w:left="705" w:right="561"/>
              <w:jc w:val="both"/>
              <w:rPr>
                <w:sz w:val="22"/>
                <w:szCs w:val="22"/>
              </w:rPr>
            </w:pPr>
            <w:r w:rsidRPr="008E61CA">
              <w:rPr>
                <w:sz w:val="22"/>
                <w:szCs w:val="22"/>
              </w:rPr>
              <w:t>I Sverige har skyddet för tryck- och yttrandefriheten en särställning, bl.a. genom att särskilda straff- och rättegångsregler finns intagna i våra mediegrundlagar. Det innebär ett utökat skydd mot sådana rättsprocesser som avses i förslaget. För svensk del är det därför viktigt att verka för att direktivet inte utformas så att det kommer i konflikt med våra mediegrundlagar och de särskilda rättegångsregler som gäller för tryck- och yttrandefrihetsmål. Det är också viktigt att bestämmelserna får en utformning som går att förena med den svenska allmänna processrättsliga regleringen. Vidare bör ett adekvat skydd uppnås, utan att bestämmelserna blir mer långtgående och detaljerade än vad som är nödvändigt.</w:t>
            </w:r>
          </w:p>
          <w:p w14:paraId="7067FE79" w14:textId="77777777" w:rsidR="00717937" w:rsidRDefault="00717937" w:rsidP="00F41145">
            <w:pPr>
              <w:rPr>
                <w:bCs/>
              </w:rPr>
            </w:pPr>
          </w:p>
          <w:p w14:paraId="63154A22" w14:textId="77777777" w:rsidR="00480221" w:rsidRDefault="00717937" w:rsidP="00F41145">
            <w:pPr>
              <w:rPr>
                <w:bCs/>
              </w:rPr>
            </w:pPr>
            <w:r>
              <w:rPr>
                <w:bCs/>
              </w:rPr>
              <w:t xml:space="preserve">Ordförande konstaterade att det fanns stöd för regeringens ståndpunkt. </w:t>
            </w:r>
          </w:p>
          <w:p w14:paraId="4226D06B" w14:textId="161C0425" w:rsidR="00F41145" w:rsidRDefault="00F41145" w:rsidP="00480221">
            <w:pPr>
              <w:rPr>
                <w:b/>
              </w:rPr>
            </w:pPr>
          </w:p>
        </w:tc>
      </w:tr>
      <w:tr w:rsidR="00F41145" w14:paraId="3A838F78" w14:textId="77777777" w:rsidTr="00121808">
        <w:tc>
          <w:tcPr>
            <w:tcW w:w="567" w:type="dxa"/>
            <w:shd w:val="clear" w:color="auto" w:fill="auto"/>
          </w:tcPr>
          <w:p w14:paraId="161A58F2" w14:textId="2E1DBB98" w:rsidR="00F41145" w:rsidRDefault="00F41145" w:rsidP="00F41145">
            <w:pPr>
              <w:tabs>
                <w:tab w:val="left" w:pos="1701"/>
              </w:tabs>
              <w:rPr>
                <w:b/>
                <w:snapToGrid w:val="0"/>
              </w:rPr>
            </w:pPr>
            <w:r>
              <w:rPr>
                <w:b/>
                <w:snapToGrid w:val="0"/>
              </w:rPr>
              <w:t xml:space="preserve">§ </w:t>
            </w:r>
            <w:r w:rsidR="00FC1FCD">
              <w:rPr>
                <w:b/>
                <w:snapToGrid w:val="0"/>
              </w:rPr>
              <w:t>8</w:t>
            </w:r>
          </w:p>
        </w:tc>
        <w:tc>
          <w:tcPr>
            <w:tcW w:w="6946" w:type="dxa"/>
            <w:shd w:val="clear" w:color="auto" w:fill="auto"/>
          </w:tcPr>
          <w:p w14:paraId="349B4FF2" w14:textId="44B19CAD" w:rsidR="00F41145" w:rsidRDefault="00F41145" w:rsidP="00F41145">
            <w:pPr>
              <w:rPr>
                <w:b/>
              </w:rPr>
            </w:pPr>
            <w:r w:rsidRPr="00FE5490">
              <w:rPr>
                <w:b/>
              </w:rPr>
              <w:t xml:space="preserve">Utvidgning av Schengenområdet till Rumänien, Bulgarien och Kroatien </w:t>
            </w:r>
          </w:p>
          <w:p w14:paraId="6CD4803F" w14:textId="77777777" w:rsidR="00880C7A" w:rsidRPr="00FE5490" w:rsidRDefault="00880C7A" w:rsidP="00F41145">
            <w:pPr>
              <w:rPr>
                <w:b/>
              </w:rPr>
            </w:pPr>
          </w:p>
          <w:p w14:paraId="021BB14B" w14:textId="77777777" w:rsidR="00717937" w:rsidRPr="00D51D6F" w:rsidRDefault="00717937" w:rsidP="00717937">
            <w:pPr>
              <w:rPr>
                <w:szCs w:val="24"/>
              </w:rPr>
            </w:pPr>
            <w:r w:rsidRPr="00D51D6F">
              <w:rPr>
                <w:szCs w:val="24"/>
              </w:rPr>
              <w:t xml:space="preserve">Utskottet överlade med statssekreteraren Charlotte Kugelberg, åtföljd av medarbetare från </w:t>
            </w:r>
            <w:r>
              <w:rPr>
                <w:szCs w:val="24"/>
              </w:rPr>
              <w:t>justitie</w:t>
            </w:r>
            <w:r w:rsidRPr="00D51D6F">
              <w:rPr>
                <w:szCs w:val="24"/>
              </w:rPr>
              <w:t xml:space="preserve">departementet. </w:t>
            </w:r>
          </w:p>
          <w:p w14:paraId="7B6D2D16" w14:textId="77777777" w:rsidR="00717937" w:rsidRPr="00D51D6F" w:rsidRDefault="00717937" w:rsidP="00717937">
            <w:pPr>
              <w:rPr>
                <w:szCs w:val="24"/>
              </w:rPr>
            </w:pPr>
          </w:p>
          <w:p w14:paraId="26679098" w14:textId="30E6FA53" w:rsidR="00717937" w:rsidRPr="00D51D6F" w:rsidRDefault="00717937" w:rsidP="00717937">
            <w:pPr>
              <w:rPr>
                <w:szCs w:val="24"/>
              </w:rPr>
            </w:pPr>
            <w:r w:rsidRPr="00D51D6F">
              <w:rPr>
                <w:szCs w:val="24"/>
              </w:rPr>
              <w:t xml:space="preserve">Underlaget utgjordes av Regeringskansliets överläggningspromemoria </w:t>
            </w:r>
            <w:r w:rsidRPr="00527F21">
              <w:rPr>
                <w:szCs w:val="24"/>
              </w:rPr>
              <w:t xml:space="preserve">(dnr. </w:t>
            </w:r>
            <w:r w:rsidRPr="00527F21">
              <w:t>2022/23</w:t>
            </w:r>
            <w:r w:rsidR="009A70BD" w:rsidRPr="00527F21">
              <w:t>:2663</w:t>
            </w:r>
            <w:r w:rsidRPr="00527F21">
              <w:rPr>
                <w:szCs w:val="24"/>
              </w:rPr>
              <w:t>).</w:t>
            </w:r>
            <w:r w:rsidRPr="00D51D6F">
              <w:rPr>
                <w:szCs w:val="24"/>
              </w:rPr>
              <w:t xml:space="preserve"> </w:t>
            </w:r>
          </w:p>
          <w:p w14:paraId="6E22DB7A" w14:textId="77777777" w:rsidR="00717937" w:rsidRPr="00D51D6F" w:rsidRDefault="00717937" w:rsidP="00717937">
            <w:pPr>
              <w:rPr>
                <w:szCs w:val="24"/>
              </w:rPr>
            </w:pPr>
          </w:p>
          <w:p w14:paraId="7F7E63E2" w14:textId="77777777" w:rsidR="009407A1" w:rsidRDefault="00717937" w:rsidP="00717937">
            <w:pPr>
              <w:rPr>
                <w:szCs w:val="24"/>
              </w:rPr>
            </w:pPr>
            <w:r>
              <w:rPr>
                <w:szCs w:val="24"/>
              </w:rPr>
              <w:t>S</w:t>
            </w:r>
            <w:r w:rsidRPr="00D51D6F">
              <w:rPr>
                <w:szCs w:val="24"/>
              </w:rPr>
              <w:t>tatssekreteraren Charlotte Kugelberg redogjorde för regeringens ståndpunkt i enlighet med överläggningspromemorian:</w:t>
            </w:r>
          </w:p>
          <w:p w14:paraId="4A4AC35E" w14:textId="18974D55" w:rsidR="00717937" w:rsidRPr="00D446D6" w:rsidRDefault="00717937" w:rsidP="00717937">
            <w:pPr>
              <w:rPr>
                <w:sz w:val="22"/>
                <w:szCs w:val="22"/>
              </w:rPr>
            </w:pPr>
            <w:r w:rsidRPr="00D51D6F">
              <w:rPr>
                <w:szCs w:val="24"/>
              </w:rPr>
              <w:t xml:space="preserve"> </w:t>
            </w:r>
          </w:p>
          <w:p w14:paraId="3135C44B" w14:textId="1B27E384" w:rsidR="00717937" w:rsidRDefault="00717937" w:rsidP="00D446D6">
            <w:pPr>
              <w:ind w:left="705" w:right="561"/>
              <w:jc w:val="both"/>
              <w:rPr>
                <w:sz w:val="22"/>
                <w:szCs w:val="22"/>
              </w:rPr>
            </w:pPr>
            <w:r w:rsidRPr="009407A1">
              <w:rPr>
                <w:sz w:val="22"/>
                <w:szCs w:val="22"/>
              </w:rPr>
              <w:t xml:space="preserve">Såväl Kroatien som Bulgarien och Rumänien har berättigade förväntningar på att bli fullvärdiga medlemmar i Schengensamarbetet. I december 2021 antog rådet slutsatser </w:t>
            </w:r>
            <w:r w:rsidRPr="009407A1">
              <w:rPr>
                <w:sz w:val="22"/>
                <w:szCs w:val="22"/>
              </w:rPr>
              <w:lastRenderedPageBreak/>
              <w:t xml:space="preserve">om att Kroatien uppfyller nödvändiga villkor för full tillämpning av Schengenregelverket i Kroatien. </w:t>
            </w:r>
          </w:p>
          <w:p w14:paraId="64500AA1" w14:textId="77777777" w:rsidR="00D446D6" w:rsidRPr="009407A1" w:rsidRDefault="00D446D6" w:rsidP="00D446D6">
            <w:pPr>
              <w:ind w:left="705" w:right="561"/>
              <w:jc w:val="both"/>
              <w:rPr>
                <w:sz w:val="22"/>
                <w:szCs w:val="22"/>
              </w:rPr>
            </w:pPr>
          </w:p>
          <w:p w14:paraId="76B82E3C" w14:textId="1AA601F2" w:rsidR="00717937" w:rsidRDefault="00717937" w:rsidP="00D446D6">
            <w:pPr>
              <w:ind w:left="705" w:right="561"/>
              <w:jc w:val="both"/>
            </w:pPr>
            <w:r w:rsidRPr="009407A1">
              <w:rPr>
                <w:sz w:val="22"/>
                <w:szCs w:val="22"/>
              </w:rPr>
              <w:t>Genom att alla tre länder bedöms leva upp till de formella kriterier som ställts är Sveriges bedömning att de är redo för full</w:t>
            </w:r>
            <w:r w:rsidRPr="009407A1">
              <w:t xml:space="preserve"> tillämpning av Schengenregelverket.</w:t>
            </w:r>
          </w:p>
          <w:p w14:paraId="7F32979E" w14:textId="77777777" w:rsidR="00D446D6" w:rsidRPr="009407A1" w:rsidRDefault="00D446D6" w:rsidP="00D446D6">
            <w:pPr>
              <w:ind w:left="705" w:right="561"/>
              <w:jc w:val="both"/>
            </w:pPr>
          </w:p>
          <w:p w14:paraId="12D2AE75" w14:textId="3B20D308" w:rsidR="00717937" w:rsidRPr="009407A1" w:rsidRDefault="00D446D6" w:rsidP="00D446D6">
            <w:pPr>
              <w:ind w:left="705" w:right="561"/>
              <w:jc w:val="both"/>
              <w:rPr>
                <w:sz w:val="22"/>
                <w:szCs w:val="22"/>
              </w:rPr>
            </w:pPr>
            <w:r>
              <w:rPr>
                <w:sz w:val="22"/>
                <w:szCs w:val="22"/>
              </w:rPr>
              <w:t>S</w:t>
            </w:r>
            <w:r w:rsidR="00717937" w:rsidRPr="009407A1">
              <w:rPr>
                <w:sz w:val="22"/>
                <w:szCs w:val="22"/>
              </w:rPr>
              <w:t xml:space="preserve">amtidigt bygger ett fungerande Schengensamarbete på att alla länder har ömsesidigt förtroende för varandras förmåga att tillämpa regelverket. </w:t>
            </w:r>
          </w:p>
          <w:p w14:paraId="432B7A29" w14:textId="77777777" w:rsidR="00D446D6" w:rsidRDefault="00D446D6" w:rsidP="00D446D6">
            <w:pPr>
              <w:ind w:left="705" w:right="561"/>
              <w:jc w:val="both"/>
              <w:rPr>
                <w:sz w:val="22"/>
                <w:szCs w:val="22"/>
              </w:rPr>
            </w:pPr>
          </w:p>
          <w:p w14:paraId="377B7F51" w14:textId="050C47CF" w:rsidR="00717937" w:rsidRPr="009407A1" w:rsidRDefault="00717937" w:rsidP="00D446D6">
            <w:pPr>
              <w:ind w:left="705" w:right="561"/>
              <w:jc w:val="both"/>
              <w:rPr>
                <w:sz w:val="22"/>
                <w:szCs w:val="22"/>
              </w:rPr>
            </w:pPr>
            <w:r w:rsidRPr="009407A1">
              <w:rPr>
                <w:sz w:val="22"/>
                <w:szCs w:val="22"/>
              </w:rPr>
              <w:t>Om förutsättningar för beslut med enhällighet i rådet föreligger ska Sverige, som inkommande ordförande i EU:s ministerråd, också ställa sig bakom ett sådant beslut. Sverige bör inte motsätta sig ett beslut med en mycket liten krets medlemsländer.</w:t>
            </w:r>
          </w:p>
          <w:p w14:paraId="17D024D7" w14:textId="77777777" w:rsidR="00717937" w:rsidRDefault="00717937" w:rsidP="00717937">
            <w:pPr>
              <w:rPr>
                <w:szCs w:val="24"/>
              </w:rPr>
            </w:pPr>
          </w:p>
          <w:p w14:paraId="2721FA7D" w14:textId="13242A09" w:rsidR="00717937" w:rsidRPr="00D51D6F" w:rsidRDefault="00717937" w:rsidP="00717937">
            <w:pPr>
              <w:rPr>
                <w:szCs w:val="24"/>
              </w:rPr>
            </w:pPr>
            <w:r>
              <w:rPr>
                <w:szCs w:val="24"/>
              </w:rPr>
              <w:t>M</w:t>
            </w:r>
            <w:r w:rsidR="00D446D6">
              <w:rPr>
                <w:szCs w:val="24"/>
              </w:rPr>
              <w:t>-</w:t>
            </w:r>
            <w:r>
              <w:rPr>
                <w:szCs w:val="24"/>
              </w:rPr>
              <w:t xml:space="preserve">, </w:t>
            </w:r>
            <w:r w:rsidR="00F47BFC">
              <w:rPr>
                <w:szCs w:val="24"/>
              </w:rPr>
              <w:t>C-</w:t>
            </w:r>
            <w:r>
              <w:rPr>
                <w:szCs w:val="24"/>
              </w:rPr>
              <w:t xml:space="preserve">, </w:t>
            </w:r>
            <w:r w:rsidR="00F47BFC">
              <w:rPr>
                <w:szCs w:val="24"/>
              </w:rPr>
              <w:t>KD</w:t>
            </w:r>
            <w:r w:rsidR="00D446D6">
              <w:rPr>
                <w:szCs w:val="24"/>
              </w:rPr>
              <w:t>-</w:t>
            </w:r>
            <w:r>
              <w:rPr>
                <w:szCs w:val="24"/>
              </w:rPr>
              <w:t xml:space="preserve"> och MP-ledam</w:t>
            </w:r>
            <w:r w:rsidRPr="00D51D6F">
              <w:rPr>
                <w:szCs w:val="24"/>
              </w:rPr>
              <w:t xml:space="preserve">öterna delade regeringens ståndpunkt. </w:t>
            </w:r>
          </w:p>
          <w:p w14:paraId="5D935198" w14:textId="77777777" w:rsidR="00717937" w:rsidRPr="00D51D6F" w:rsidRDefault="00717937" w:rsidP="00717937">
            <w:pPr>
              <w:rPr>
                <w:szCs w:val="24"/>
              </w:rPr>
            </w:pPr>
          </w:p>
          <w:p w14:paraId="1D5A2098" w14:textId="77777777" w:rsidR="00D446D6" w:rsidRPr="00BD0FC8" w:rsidRDefault="00717937" w:rsidP="00717937">
            <w:pPr>
              <w:rPr>
                <w:szCs w:val="24"/>
              </w:rPr>
            </w:pPr>
            <w:r w:rsidRPr="00BD0FC8">
              <w:rPr>
                <w:szCs w:val="24"/>
              </w:rPr>
              <w:t>S</w:t>
            </w:r>
            <w:r w:rsidR="00D446D6" w:rsidRPr="00BD0FC8">
              <w:rPr>
                <w:szCs w:val="24"/>
              </w:rPr>
              <w:t>-</w:t>
            </w:r>
            <w:r w:rsidRPr="00BD0FC8">
              <w:rPr>
                <w:szCs w:val="24"/>
              </w:rPr>
              <w:t xml:space="preserve"> och V-ledamöterna anmälde följande avvikande ståndpunkt:</w:t>
            </w:r>
          </w:p>
          <w:p w14:paraId="77AE194B" w14:textId="75FA45F1" w:rsidR="00717937" w:rsidRPr="00BD0FC8" w:rsidRDefault="00717937" w:rsidP="00717937">
            <w:pPr>
              <w:rPr>
                <w:sz w:val="22"/>
                <w:szCs w:val="22"/>
              </w:rPr>
            </w:pPr>
            <w:r w:rsidRPr="00BD0FC8">
              <w:rPr>
                <w:szCs w:val="24"/>
              </w:rPr>
              <w:t xml:space="preserve"> </w:t>
            </w:r>
          </w:p>
          <w:p w14:paraId="6398712C" w14:textId="77777777" w:rsidR="00D446D6" w:rsidRPr="00BD0FC8" w:rsidRDefault="00D446D6" w:rsidP="00D446D6">
            <w:pPr>
              <w:ind w:left="705" w:right="561"/>
              <w:jc w:val="both"/>
              <w:rPr>
                <w:sz w:val="22"/>
                <w:szCs w:val="22"/>
              </w:rPr>
            </w:pPr>
            <w:r w:rsidRPr="00BD0FC8">
              <w:rPr>
                <w:sz w:val="22"/>
                <w:szCs w:val="22"/>
              </w:rPr>
              <w:t xml:space="preserve">Vi anser att Bulgarien och Rumänien inte är redo för anslutning till Schengenregelverket, framförallt då regeringen inte redovisat på vilket sätt länderna hanterat den tidigare kritik man fått från EU. Särskilt gäller det vad EU adresserat om allvarliga brister i arbetet mot korruption och organiserad brottslighet samt även den bristande rättssäkerhet som präglat båda länderna. </w:t>
            </w:r>
          </w:p>
          <w:p w14:paraId="64EEAA7B" w14:textId="77777777" w:rsidR="00D446D6" w:rsidRPr="00BD0FC8" w:rsidRDefault="00D446D6" w:rsidP="00D446D6">
            <w:pPr>
              <w:ind w:left="705" w:right="561"/>
              <w:jc w:val="both"/>
              <w:rPr>
                <w:sz w:val="22"/>
                <w:szCs w:val="22"/>
              </w:rPr>
            </w:pPr>
          </w:p>
          <w:p w14:paraId="665DC275" w14:textId="77777777" w:rsidR="00D446D6" w:rsidRPr="00BD0FC8" w:rsidRDefault="00D446D6" w:rsidP="00D446D6">
            <w:pPr>
              <w:ind w:left="705" w:right="561"/>
              <w:jc w:val="both"/>
              <w:rPr>
                <w:sz w:val="22"/>
                <w:szCs w:val="22"/>
              </w:rPr>
            </w:pPr>
            <w:r w:rsidRPr="00BD0FC8">
              <w:rPr>
                <w:sz w:val="22"/>
                <w:szCs w:val="22"/>
              </w:rPr>
              <w:t xml:space="preserve">Vidare skulle ett fullt medlemskap i Schengensamarbetet för dessa länder bl.a. innebära lättnader vad gäller registrering av bulgariska och rumänska medborgares uppehållsrätt. Detta skulle enligt vår mening kunna innebära en ökad risk vad gäller Sveriges inre säkerhet och kan bidra till att oseriösa arbetsgivare får ytterligare en möjlighet att enklare ta in arbetskraftsinvandrare för att utnyttja dessa till sämre villkor. Vi vill att regeringen med berörda myndigheter gör en grundlig konsekvensanalys av hur förslaget påverkar Sverige. </w:t>
            </w:r>
          </w:p>
          <w:p w14:paraId="507AEBA1" w14:textId="77777777" w:rsidR="00D446D6" w:rsidRPr="00BD0FC8" w:rsidRDefault="00D446D6" w:rsidP="00D446D6">
            <w:pPr>
              <w:ind w:left="705" w:right="561"/>
              <w:jc w:val="both"/>
              <w:rPr>
                <w:sz w:val="22"/>
                <w:szCs w:val="22"/>
              </w:rPr>
            </w:pPr>
          </w:p>
          <w:p w14:paraId="3351B540" w14:textId="35F9F00D" w:rsidR="00717937" w:rsidRDefault="00D446D6" w:rsidP="00D446D6">
            <w:pPr>
              <w:ind w:left="705" w:right="561"/>
              <w:jc w:val="both"/>
              <w:rPr>
                <w:sz w:val="22"/>
                <w:szCs w:val="22"/>
              </w:rPr>
            </w:pPr>
            <w:r w:rsidRPr="00BD0FC8">
              <w:rPr>
                <w:sz w:val="22"/>
                <w:szCs w:val="22"/>
              </w:rPr>
              <w:t>Vi är därför inte beredda att nu stödja de delar i regeringens ståndpunkt som rör Bulgariens och Rumäniens anslutning till Schengenområdet, d.v.s. att dessa länder är redo för en full tillämpning av Schengenregelverket. Även med beaktande av att Sverige är inkommande ordförande i EU:s ministerråd och oavsett andra länders ställningstaganden bör man i dagsläget således enligt vår mening inte nu ställa sig bakom ett rådsbeslut om att godkänna Bulgarien och Rumänien som fullvärdiga medlemmar i Schengensamarbetet.</w:t>
            </w:r>
          </w:p>
          <w:p w14:paraId="3BE7B50A" w14:textId="77777777" w:rsidR="00D446D6" w:rsidRPr="00D51D6F" w:rsidRDefault="00D446D6" w:rsidP="00D446D6">
            <w:pPr>
              <w:ind w:left="705"/>
              <w:jc w:val="both"/>
              <w:rPr>
                <w:szCs w:val="24"/>
              </w:rPr>
            </w:pPr>
          </w:p>
          <w:p w14:paraId="60A33862" w14:textId="16AE4F37" w:rsidR="00717937" w:rsidRDefault="00717937" w:rsidP="00717937">
            <w:pPr>
              <w:rPr>
                <w:szCs w:val="24"/>
              </w:rPr>
            </w:pPr>
            <w:r w:rsidRPr="000404D2">
              <w:rPr>
                <w:szCs w:val="24"/>
              </w:rPr>
              <w:t>SD-ledamöterna anmälde följande avvikande ståndpunkt:</w:t>
            </w:r>
          </w:p>
          <w:p w14:paraId="3821AEA6" w14:textId="77777777" w:rsidR="00D446D6" w:rsidRPr="00D446D6" w:rsidRDefault="00D446D6" w:rsidP="00717937">
            <w:pPr>
              <w:rPr>
                <w:sz w:val="22"/>
                <w:szCs w:val="22"/>
              </w:rPr>
            </w:pPr>
          </w:p>
          <w:p w14:paraId="3DF23CDC" w14:textId="77777777" w:rsidR="00D446D6" w:rsidRDefault="00717937" w:rsidP="00D446D6">
            <w:pPr>
              <w:ind w:left="720" w:right="561"/>
              <w:jc w:val="both"/>
              <w:rPr>
                <w:sz w:val="22"/>
                <w:szCs w:val="22"/>
              </w:rPr>
            </w:pPr>
            <w:r w:rsidRPr="00D446D6">
              <w:rPr>
                <w:sz w:val="22"/>
                <w:szCs w:val="22"/>
              </w:rPr>
              <w:t>Vi anser att Bulgarien och Rumänien inte är redo för full tillämpning av Schengenregelverket. Orsaken är främst de allvarliga brister som Bulgarien och Rumänien uppvisar vad gäller arbetet mot korruption och organiserad brottslighet samt även den bristande rättssäkerhet som präglar båda länderna.</w:t>
            </w:r>
          </w:p>
          <w:p w14:paraId="7A142B54" w14:textId="77777777" w:rsidR="00D446D6" w:rsidRDefault="00D446D6" w:rsidP="00D446D6">
            <w:pPr>
              <w:ind w:left="720" w:right="561"/>
              <w:jc w:val="both"/>
              <w:rPr>
                <w:sz w:val="22"/>
                <w:szCs w:val="22"/>
              </w:rPr>
            </w:pPr>
          </w:p>
          <w:p w14:paraId="121EBE97" w14:textId="77777777" w:rsidR="00D446D6" w:rsidRDefault="00717937" w:rsidP="00D446D6">
            <w:pPr>
              <w:ind w:left="720" w:right="561"/>
              <w:jc w:val="both"/>
              <w:rPr>
                <w:sz w:val="22"/>
                <w:szCs w:val="22"/>
              </w:rPr>
            </w:pPr>
            <w:r w:rsidRPr="00D446D6">
              <w:rPr>
                <w:sz w:val="22"/>
                <w:szCs w:val="22"/>
              </w:rPr>
              <w:t xml:space="preserve">Enligt vår mening har dessutom det befintliga rörelsedirektivet missbrukats av medborgare från dessa länder, vilket bl.a. lett till negativa konsekvenser för </w:t>
            </w:r>
            <w:r w:rsidR="000404D2" w:rsidRPr="00D446D6">
              <w:rPr>
                <w:sz w:val="22"/>
                <w:szCs w:val="22"/>
              </w:rPr>
              <w:t>allmän ordning och säkerhet</w:t>
            </w:r>
            <w:r w:rsidRPr="00D446D6">
              <w:rPr>
                <w:sz w:val="22"/>
                <w:szCs w:val="22"/>
              </w:rPr>
              <w:t xml:space="preserve">. </w:t>
            </w:r>
          </w:p>
          <w:p w14:paraId="6687E140" w14:textId="77777777" w:rsidR="00D446D6" w:rsidRDefault="00D446D6" w:rsidP="00D446D6">
            <w:pPr>
              <w:ind w:left="720" w:right="561"/>
              <w:jc w:val="both"/>
              <w:rPr>
                <w:sz w:val="22"/>
                <w:szCs w:val="22"/>
              </w:rPr>
            </w:pPr>
          </w:p>
          <w:p w14:paraId="70B6E329" w14:textId="05D95428" w:rsidR="00717937" w:rsidRPr="00D446D6" w:rsidRDefault="00717937" w:rsidP="00D446D6">
            <w:pPr>
              <w:ind w:left="720" w:right="561"/>
              <w:jc w:val="both"/>
              <w:rPr>
                <w:sz w:val="22"/>
                <w:szCs w:val="22"/>
              </w:rPr>
            </w:pPr>
            <w:r w:rsidRPr="00D446D6">
              <w:rPr>
                <w:sz w:val="22"/>
                <w:szCs w:val="22"/>
              </w:rPr>
              <w:t>Vi kan därför inte stödja de delar i regeringens ståndpunkt som rör Bulgariens och Rumäniens anslutning till Schengen</w:t>
            </w:r>
            <w:r w:rsidR="00D446D6">
              <w:rPr>
                <w:sz w:val="22"/>
                <w:szCs w:val="22"/>
              </w:rPr>
              <w:softHyphen/>
            </w:r>
            <w:r w:rsidRPr="00D446D6">
              <w:rPr>
                <w:sz w:val="22"/>
                <w:szCs w:val="22"/>
              </w:rPr>
              <w:t xml:space="preserve">området, d.v.s. att dessa länder är redo för en full tillämpning av Schengenregelverket. Detta innebär att Sverige enligt vår mening oavsett andra länders ställningstaganden inte bör ställa sig bakom ett rådsbeslut om att godkänna Bulgarien och Rumänien som fullvärdiga medlemmar i Schengensamarbetet. </w:t>
            </w:r>
          </w:p>
          <w:p w14:paraId="0BD30C17" w14:textId="64EBE389" w:rsidR="00F41145" w:rsidRPr="007D24BE" w:rsidRDefault="00F41145" w:rsidP="00717937">
            <w:pPr>
              <w:rPr>
                <w:b/>
              </w:rPr>
            </w:pPr>
          </w:p>
        </w:tc>
      </w:tr>
      <w:tr w:rsidR="00FC1FCD" w14:paraId="77C4197B" w14:textId="77777777" w:rsidTr="00121808">
        <w:tc>
          <w:tcPr>
            <w:tcW w:w="567" w:type="dxa"/>
            <w:shd w:val="clear" w:color="auto" w:fill="auto"/>
          </w:tcPr>
          <w:p w14:paraId="45DC694C" w14:textId="6E58E09A" w:rsidR="00FC1FCD" w:rsidRDefault="00FC1FCD" w:rsidP="00FC1FCD">
            <w:pPr>
              <w:tabs>
                <w:tab w:val="left" w:pos="1701"/>
              </w:tabs>
              <w:rPr>
                <w:b/>
                <w:snapToGrid w:val="0"/>
              </w:rPr>
            </w:pPr>
            <w:r>
              <w:rPr>
                <w:b/>
                <w:snapToGrid w:val="0"/>
              </w:rPr>
              <w:lastRenderedPageBreak/>
              <w:t>§ 9</w:t>
            </w:r>
          </w:p>
        </w:tc>
        <w:tc>
          <w:tcPr>
            <w:tcW w:w="6946" w:type="dxa"/>
            <w:shd w:val="clear" w:color="auto" w:fill="auto"/>
          </w:tcPr>
          <w:p w14:paraId="7582B253" w14:textId="77777777" w:rsidR="00FC1FCD" w:rsidRPr="000D23D2" w:rsidRDefault="00FC1FCD" w:rsidP="00FC1FCD">
            <w:pPr>
              <w:rPr>
                <w:b/>
              </w:rPr>
            </w:pPr>
            <w:r w:rsidRPr="000D23D2">
              <w:rPr>
                <w:b/>
              </w:rPr>
              <w:t>Schengens gränskodex</w:t>
            </w:r>
          </w:p>
          <w:p w14:paraId="0A7273A8" w14:textId="77777777" w:rsidR="00480221" w:rsidRDefault="00480221" w:rsidP="00FC1FCD">
            <w:pPr>
              <w:rPr>
                <w:bCs/>
              </w:rPr>
            </w:pPr>
          </w:p>
          <w:p w14:paraId="473C9B2F" w14:textId="3F06FF07" w:rsidR="00FC1FCD" w:rsidRPr="000D23D2" w:rsidRDefault="00480221" w:rsidP="00FC1FCD">
            <w:pPr>
              <w:rPr>
                <w:bCs/>
              </w:rPr>
            </w:pPr>
            <w:r>
              <w:rPr>
                <w:bCs/>
              </w:rPr>
              <w:t xml:space="preserve">Statsrådet </w:t>
            </w:r>
            <w:r w:rsidR="00FC1FCD" w:rsidRPr="00550CAD">
              <w:t>Charlotte Kugelberg</w:t>
            </w:r>
            <w:r w:rsidR="00FC1FCD" w:rsidRPr="000D23D2">
              <w:rPr>
                <w:bCs/>
              </w:rPr>
              <w:t>,</w:t>
            </w:r>
            <w:r>
              <w:rPr>
                <w:bCs/>
              </w:rPr>
              <w:t xml:space="preserve"> åtföljd av medarbetare från</w:t>
            </w:r>
            <w:r w:rsidR="00FC1FCD" w:rsidRPr="000D23D2">
              <w:rPr>
                <w:bCs/>
              </w:rPr>
              <w:t xml:space="preserve"> </w:t>
            </w:r>
            <w:r>
              <w:rPr>
                <w:bCs/>
              </w:rPr>
              <w:t>j</w:t>
            </w:r>
            <w:r w:rsidR="00FC1FCD" w:rsidRPr="000D23D2">
              <w:rPr>
                <w:bCs/>
              </w:rPr>
              <w:t>ustitiedepartementet</w:t>
            </w:r>
            <w:r>
              <w:rPr>
                <w:bCs/>
              </w:rPr>
              <w:t>, lämnade information om Schengens gränskodex.</w:t>
            </w:r>
          </w:p>
          <w:p w14:paraId="33C06A8B" w14:textId="77777777" w:rsidR="00FC1FCD" w:rsidRPr="00FE5490" w:rsidRDefault="00FC1FCD" w:rsidP="00FC1FCD">
            <w:pPr>
              <w:rPr>
                <w:b/>
              </w:rPr>
            </w:pPr>
          </w:p>
        </w:tc>
      </w:tr>
      <w:tr w:rsidR="00FC1FCD" w14:paraId="5B16680A" w14:textId="77777777" w:rsidTr="00121808">
        <w:tc>
          <w:tcPr>
            <w:tcW w:w="567" w:type="dxa"/>
            <w:shd w:val="clear" w:color="auto" w:fill="auto"/>
          </w:tcPr>
          <w:p w14:paraId="3018B59B" w14:textId="6AF8314A" w:rsidR="00FC1FCD" w:rsidRDefault="00FC1FCD" w:rsidP="00FC1FCD">
            <w:pPr>
              <w:tabs>
                <w:tab w:val="left" w:pos="1701"/>
              </w:tabs>
              <w:rPr>
                <w:b/>
                <w:snapToGrid w:val="0"/>
              </w:rPr>
            </w:pPr>
            <w:r>
              <w:rPr>
                <w:b/>
                <w:snapToGrid w:val="0"/>
              </w:rPr>
              <w:t>§ 10</w:t>
            </w:r>
          </w:p>
        </w:tc>
        <w:tc>
          <w:tcPr>
            <w:tcW w:w="6946" w:type="dxa"/>
            <w:shd w:val="clear" w:color="auto" w:fill="auto"/>
          </w:tcPr>
          <w:p w14:paraId="465FC53F" w14:textId="77777777" w:rsidR="00FC1FCD" w:rsidRPr="00FE5490" w:rsidRDefault="00FC1FCD" w:rsidP="00FC1FCD">
            <w:pPr>
              <w:rPr>
                <w:b/>
              </w:rPr>
            </w:pPr>
            <w:r w:rsidRPr="00FE5490">
              <w:rPr>
                <w:b/>
              </w:rPr>
              <w:t>Digitalisering av rättsväsendet (e-</w:t>
            </w:r>
            <w:proofErr w:type="spellStart"/>
            <w:r w:rsidRPr="00FE5490">
              <w:rPr>
                <w:b/>
              </w:rPr>
              <w:t>Justice</w:t>
            </w:r>
            <w:proofErr w:type="spellEnd"/>
            <w:r w:rsidRPr="00FE5490">
              <w:rPr>
                <w:b/>
              </w:rPr>
              <w:t xml:space="preserve">) </w:t>
            </w:r>
          </w:p>
          <w:p w14:paraId="1D119FB7" w14:textId="77777777" w:rsidR="00FC1FCD" w:rsidRDefault="00FC1FCD" w:rsidP="00480221">
            <w:pPr>
              <w:rPr>
                <w:bCs/>
              </w:rPr>
            </w:pPr>
          </w:p>
          <w:p w14:paraId="4828ECB2" w14:textId="085F0DC4" w:rsidR="00480221" w:rsidRPr="000D23D2" w:rsidRDefault="00480221" w:rsidP="00480221">
            <w:pPr>
              <w:rPr>
                <w:bCs/>
              </w:rPr>
            </w:pPr>
            <w:r>
              <w:rPr>
                <w:bCs/>
              </w:rPr>
              <w:t xml:space="preserve">Statsrådet </w:t>
            </w:r>
            <w:r w:rsidRPr="00550CAD">
              <w:t>Charlotte Kugelberg</w:t>
            </w:r>
            <w:r w:rsidRPr="000D23D2">
              <w:rPr>
                <w:bCs/>
              </w:rPr>
              <w:t>,</w:t>
            </w:r>
            <w:r>
              <w:rPr>
                <w:bCs/>
              </w:rPr>
              <w:t xml:space="preserve"> åtföljd av medarbetare från</w:t>
            </w:r>
            <w:r w:rsidRPr="000D23D2">
              <w:rPr>
                <w:bCs/>
              </w:rPr>
              <w:t xml:space="preserve"> </w:t>
            </w:r>
            <w:r>
              <w:rPr>
                <w:bCs/>
              </w:rPr>
              <w:t>j</w:t>
            </w:r>
            <w:r w:rsidRPr="000D23D2">
              <w:rPr>
                <w:bCs/>
              </w:rPr>
              <w:t>ustitiedepartementet</w:t>
            </w:r>
            <w:r>
              <w:rPr>
                <w:bCs/>
              </w:rPr>
              <w:t xml:space="preserve">, lämnade information om digitalisering av rättsväsendet </w:t>
            </w:r>
          </w:p>
          <w:p w14:paraId="3EFBC08B" w14:textId="1789D088" w:rsidR="00480221" w:rsidRDefault="00480221" w:rsidP="00480221">
            <w:pPr>
              <w:rPr>
                <w:b/>
              </w:rPr>
            </w:pPr>
          </w:p>
        </w:tc>
      </w:tr>
      <w:tr w:rsidR="00FC1FCD" w14:paraId="396684C8" w14:textId="77777777" w:rsidTr="00121808">
        <w:tc>
          <w:tcPr>
            <w:tcW w:w="567" w:type="dxa"/>
            <w:shd w:val="clear" w:color="auto" w:fill="auto"/>
          </w:tcPr>
          <w:p w14:paraId="64FAE159" w14:textId="4D6D0A91" w:rsidR="00FC1FCD" w:rsidRDefault="00FC1FCD" w:rsidP="00FC1FCD">
            <w:pPr>
              <w:tabs>
                <w:tab w:val="left" w:pos="1701"/>
              </w:tabs>
              <w:rPr>
                <w:b/>
                <w:snapToGrid w:val="0"/>
              </w:rPr>
            </w:pPr>
            <w:r>
              <w:rPr>
                <w:b/>
                <w:snapToGrid w:val="0"/>
              </w:rPr>
              <w:t>§ 11</w:t>
            </w:r>
          </w:p>
        </w:tc>
        <w:tc>
          <w:tcPr>
            <w:tcW w:w="6946" w:type="dxa"/>
            <w:shd w:val="clear" w:color="auto" w:fill="auto"/>
          </w:tcPr>
          <w:p w14:paraId="2CBEF011" w14:textId="2591064E" w:rsidR="00FC1FCD" w:rsidRPr="000D23D2" w:rsidRDefault="00FC1FCD" w:rsidP="00FC1FCD">
            <w:pPr>
              <w:rPr>
                <w:b/>
              </w:rPr>
            </w:pPr>
            <w:r>
              <w:rPr>
                <w:b/>
              </w:rPr>
              <w:t>Sveriges EU-ordförandeskap 2023</w:t>
            </w:r>
          </w:p>
          <w:p w14:paraId="7F6633BA" w14:textId="77777777" w:rsidR="00480221" w:rsidRDefault="00480221" w:rsidP="00480221">
            <w:pPr>
              <w:rPr>
                <w:bCs/>
              </w:rPr>
            </w:pPr>
          </w:p>
          <w:p w14:paraId="1A1BA4AB" w14:textId="2A4E8AF6" w:rsidR="00480221" w:rsidRDefault="00480221" w:rsidP="00480221">
            <w:pPr>
              <w:rPr>
                <w:bCs/>
              </w:rPr>
            </w:pPr>
            <w:r>
              <w:rPr>
                <w:bCs/>
              </w:rPr>
              <w:t xml:space="preserve">Statsrådet </w:t>
            </w:r>
            <w:r w:rsidRPr="00550CAD">
              <w:t>Charlotte Kugelberg</w:t>
            </w:r>
            <w:r w:rsidRPr="000D23D2">
              <w:rPr>
                <w:bCs/>
              </w:rPr>
              <w:t>,</w:t>
            </w:r>
            <w:r>
              <w:rPr>
                <w:bCs/>
              </w:rPr>
              <w:t xml:space="preserve"> åtföljd av medarbetare från</w:t>
            </w:r>
            <w:r w:rsidRPr="000D23D2">
              <w:rPr>
                <w:bCs/>
              </w:rPr>
              <w:t xml:space="preserve"> </w:t>
            </w:r>
            <w:r>
              <w:rPr>
                <w:bCs/>
              </w:rPr>
              <w:t>j</w:t>
            </w:r>
            <w:r w:rsidRPr="000D23D2">
              <w:rPr>
                <w:bCs/>
              </w:rPr>
              <w:t>ustitiedepartementet</w:t>
            </w:r>
            <w:r>
              <w:rPr>
                <w:bCs/>
              </w:rPr>
              <w:t xml:space="preserve">, lämnade information om Sveriges EU-ordförandeskap våren 2023. </w:t>
            </w:r>
          </w:p>
          <w:p w14:paraId="07A3FE7C" w14:textId="03D4E9D8" w:rsidR="00480221" w:rsidRPr="00FE5490" w:rsidRDefault="00480221" w:rsidP="00480221">
            <w:pPr>
              <w:rPr>
                <w:b/>
              </w:rPr>
            </w:pPr>
          </w:p>
        </w:tc>
      </w:tr>
      <w:tr w:rsidR="00FC1FCD" w14:paraId="5FF8107B" w14:textId="77777777" w:rsidTr="00121808">
        <w:tc>
          <w:tcPr>
            <w:tcW w:w="567" w:type="dxa"/>
            <w:shd w:val="clear" w:color="auto" w:fill="auto"/>
          </w:tcPr>
          <w:p w14:paraId="7A596504" w14:textId="5C8CD642" w:rsidR="00FC1FCD" w:rsidRDefault="00FC1FCD" w:rsidP="00FC1FCD">
            <w:pPr>
              <w:tabs>
                <w:tab w:val="left" w:pos="1701"/>
              </w:tabs>
              <w:rPr>
                <w:b/>
                <w:snapToGrid w:val="0"/>
              </w:rPr>
            </w:pPr>
            <w:r>
              <w:rPr>
                <w:b/>
                <w:snapToGrid w:val="0"/>
              </w:rPr>
              <w:t>§ 12</w:t>
            </w:r>
          </w:p>
        </w:tc>
        <w:tc>
          <w:tcPr>
            <w:tcW w:w="6946" w:type="dxa"/>
            <w:shd w:val="clear" w:color="auto" w:fill="auto"/>
          </w:tcPr>
          <w:p w14:paraId="34BB381E" w14:textId="77777777" w:rsidR="00FC1FCD" w:rsidRDefault="00FC1FCD" w:rsidP="00FC1FCD">
            <w:pPr>
              <w:tabs>
                <w:tab w:val="left" w:pos="1701"/>
              </w:tabs>
              <w:rPr>
                <w:b/>
                <w:snapToGrid w:val="0"/>
              </w:rPr>
            </w:pPr>
            <w:r>
              <w:rPr>
                <w:b/>
                <w:snapToGrid w:val="0"/>
              </w:rPr>
              <w:t>Inkomna EU-dokument</w:t>
            </w:r>
          </w:p>
          <w:p w14:paraId="0D64A906" w14:textId="77777777" w:rsidR="00FC1FCD" w:rsidRDefault="00FC1FCD" w:rsidP="00FC1FCD">
            <w:pPr>
              <w:tabs>
                <w:tab w:val="left" w:pos="1701"/>
              </w:tabs>
              <w:rPr>
                <w:b/>
                <w:snapToGrid w:val="0"/>
              </w:rPr>
            </w:pPr>
          </w:p>
          <w:p w14:paraId="69B501A6" w14:textId="77777777" w:rsidR="00FC1FCD" w:rsidRDefault="00FC1FCD" w:rsidP="00FC1FCD">
            <w:pPr>
              <w:tabs>
                <w:tab w:val="left" w:pos="1701"/>
              </w:tabs>
            </w:pPr>
            <w:r w:rsidRPr="008D4986">
              <w:t>Inkomna EU-dokument an</w:t>
            </w:r>
            <w:r>
              <w:t>mäldes, bilaga 2</w:t>
            </w:r>
            <w:r w:rsidRPr="008D4986">
              <w:t>.</w:t>
            </w:r>
          </w:p>
          <w:p w14:paraId="52855418" w14:textId="77777777" w:rsidR="00FC1FCD" w:rsidRDefault="00FC1FCD" w:rsidP="00FC1FCD">
            <w:pPr>
              <w:rPr>
                <w:b/>
              </w:rPr>
            </w:pPr>
          </w:p>
        </w:tc>
      </w:tr>
      <w:tr w:rsidR="00FC1FCD" w14:paraId="48CB9F97" w14:textId="77777777" w:rsidTr="00121808">
        <w:tc>
          <w:tcPr>
            <w:tcW w:w="567" w:type="dxa"/>
            <w:shd w:val="clear" w:color="auto" w:fill="auto"/>
          </w:tcPr>
          <w:p w14:paraId="0C4964CA" w14:textId="22A1407E" w:rsidR="00FC1FCD" w:rsidRDefault="00FC1FCD" w:rsidP="00FC1FCD">
            <w:pPr>
              <w:tabs>
                <w:tab w:val="left" w:pos="1701"/>
              </w:tabs>
              <w:rPr>
                <w:b/>
                <w:snapToGrid w:val="0"/>
              </w:rPr>
            </w:pPr>
            <w:r>
              <w:rPr>
                <w:b/>
                <w:snapToGrid w:val="0"/>
              </w:rPr>
              <w:t>§ 13</w:t>
            </w:r>
          </w:p>
        </w:tc>
        <w:tc>
          <w:tcPr>
            <w:tcW w:w="6946" w:type="dxa"/>
            <w:shd w:val="clear" w:color="auto" w:fill="auto"/>
          </w:tcPr>
          <w:p w14:paraId="0F6A3F43" w14:textId="77777777" w:rsidR="00FC1FCD" w:rsidRDefault="00FC1FCD" w:rsidP="00FC1FCD">
            <w:pPr>
              <w:rPr>
                <w:b/>
              </w:rPr>
            </w:pPr>
            <w:r>
              <w:rPr>
                <w:b/>
              </w:rPr>
              <w:t>Inkomna skrivelser</w:t>
            </w:r>
          </w:p>
          <w:p w14:paraId="6120046E" w14:textId="77777777" w:rsidR="00FC1FCD" w:rsidRDefault="00FC1FCD" w:rsidP="00FC1FCD">
            <w:pPr>
              <w:rPr>
                <w:b/>
              </w:rPr>
            </w:pPr>
          </w:p>
          <w:p w14:paraId="51867F42" w14:textId="1BA2EC16" w:rsidR="00FC1FCD" w:rsidRDefault="00FC1FCD" w:rsidP="00FC1FCD">
            <w:pPr>
              <w:rPr>
                <w:bCs/>
              </w:rPr>
            </w:pPr>
            <w:r w:rsidRPr="00313F88">
              <w:rPr>
                <w:bCs/>
              </w:rPr>
              <w:t xml:space="preserve">Inkomna skrivelser anmäldes (dnr. </w:t>
            </w:r>
            <w:proofErr w:type="gramStart"/>
            <w:r>
              <w:rPr>
                <w:bCs/>
              </w:rPr>
              <w:t>533</w:t>
            </w:r>
            <w:r w:rsidRPr="00313F88">
              <w:rPr>
                <w:bCs/>
              </w:rPr>
              <w:t>-2022</w:t>
            </w:r>
            <w:proofErr w:type="gramEnd"/>
            <w:r w:rsidRPr="00313F88">
              <w:rPr>
                <w:bCs/>
              </w:rPr>
              <w:t>/23 och</w:t>
            </w:r>
            <w:r>
              <w:rPr>
                <w:b/>
              </w:rPr>
              <w:t xml:space="preserve"> </w:t>
            </w:r>
            <w:r>
              <w:rPr>
                <w:bCs/>
              </w:rPr>
              <w:t>723</w:t>
            </w:r>
            <w:r w:rsidRPr="00313F88">
              <w:rPr>
                <w:bCs/>
              </w:rPr>
              <w:t>-2022/23)</w:t>
            </w:r>
          </w:p>
          <w:p w14:paraId="76AC3DCC" w14:textId="0B6F8D25" w:rsidR="00FC1FCD" w:rsidRDefault="00FC1FCD" w:rsidP="00FC1FCD">
            <w:pPr>
              <w:rPr>
                <w:b/>
              </w:rPr>
            </w:pPr>
          </w:p>
        </w:tc>
      </w:tr>
      <w:tr w:rsidR="00255DB3" w14:paraId="2817652D" w14:textId="77777777" w:rsidTr="00121808">
        <w:tc>
          <w:tcPr>
            <w:tcW w:w="567" w:type="dxa"/>
            <w:shd w:val="clear" w:color="auto" w:fill="auto"/>
          </w:tcPr>
          <w:p w14:paraId="02C3ADA2" w14:textId="456B058E" w:rsidR="00255DB3" w:rsidRPr="00BD0FC8" w:rsidRDefault="00255DB3" w:rsidP="00FC1FCD">
            <w:pPr>
              <w:tabs>
                <w:tab w:val="left" w:pos="1701"/>
              </w:tabs>
              <w:rPr>
                <w:b/>
                <w:snapToGrid w:val="0"/>
              </w:rPr>
            </w:pPr>
            <w:r w:rsidRPr="00BD0FC8">
              <w:rPr>
                <w:b/>
                <w:snapToGrid w:val="0"/>
              </w:rPr>
              <w:t>§ 14</w:t>
            </w:r>
          </w:p>
        </w:tc>
        <w:tc>
          <w:tcPr>
            <w:tcW w:w="6946" w:type="dxa"/>
            <w:shd w:val="clear" w:color="auto" w:fill="auto"/>
          </w:tcPr>
          <w:p w14:paraId="41EDF54B" w14:textId="690BD90E" w:rsidR="00255DB3" w:rsidRDefault="00255DB3" w:rsidP="00FC1FCD">
            <w:pPr>
              <w:rPr>
                <w:b/>
              </w:rPr>
            </w:pPr>
            <w:r w:rsidRPr="00BD0FC8">
              <w:rPr>
                <w:b/>
              </w:rPr>
              <w:t>Besök av riksdagens forsknings- och utvärderingssekretariat, Rufs</w:t>
            </w:r>
          </w:p>
          <w:p w14:paraId="0692EA05" w14:textId="77777777" w:rsidR="00406419" w:rsidRPr="00BD0FC8" w:rsidRDefault="00406419" w:rsidP="00FC1FCD">
            <w:pPr>
              <w:rPr>
                <w:b/>
              </w:rPr>
            </w:pPr>
          </w:p>
          <w:p w14:paraId="0892D342" w14:textId="6F5344D4" w:rsidR="00255DB3" w:rsidRPr="00BD0FC8" w:rsidRDefault="00255DB3" w:rsidP="00FC1FCD">
            <w:pPr>
              <w:rPr>
                <w:bCs/>
              </w:rPr>
            </w:pPr>
            <w:r w:rsidRPr="00BD0FC8">
              <w:rPr>
                <w:bCs/>
              </w:rPr>
              <w:t>Utskottet beslutade att bjuda in riksdagens forsknings- och utvärderingssekretariat, Rufs för information om uppföljnings- och utvärderingsfrågor.</w:t>
            </w:r>
          </w:p>
          <w:p w14:paraId="27E8C697" w14:textId="28456079" w:rsidR="00255DB3" w:rsidRPr="00BD0FC8" w:rsidRDefault="00255DB3" w:rsidP="00FC1FCD">
            <w:pPr>
              <w:rPr>
                <w:bCs/>
              </w:rPr>
            </w:pPr>
          </w:p>
        </w:tc>
      </w:tr>
      <w:tr w:rsidR="00CC6071" w14:paraId="35F01546" w14:textId="77777777" w:rsidTr="00121808">
        <w:tc>
          <w:tcPr>
            <w:tcW w:w="567" w:type="dxa"/>
            <w:shd w:val="clear" w:color="auto" w:fill="auto"/>
          </w:tcPr>
          <w:p w14:paraId="3AF35301" w14:textId="6C0BCED2" w:rsidR="00CC6071" w:rsidRDefault="00CC6071" w:rsidP="00FC1FCD">
            <w:pPr>
              <w:tabs>
                <w:tab w:val="left" w:pos="1701"/>
              </w:tabs>
              <w:rPr>
                <w:b/>
                <w:snapToGrid w:val="0"/>
              </w:rPr>
            </w:pPr>
            <w:r w:rsidRPr="00D02516">
              <w:rPr>
                <w:b/>
                <w:snapToGrid w:val="0"/>
              </w:rPr>
              <w:t>§ 1</w:t>
            </w:r>
            <w:r w:rsidR="00DD26DF" w:rsidRPr="00D02516">
              <w:rPr>
                <w:b/>
                <w:snapToGrid w:val="0"/>
              </w:rPr>
              <w:t>5</w:t>
            </w:r>
          </w:p>
        </w:tc>
        <w:tc>
          <w:tcPr>
            <w:tcW w:w="6946" w:type="dxa"/>
            <w:shd w:val="clear" w:color="auto" w:fill="auto"/>
          </w:tcPr>
          <w:p w14:paraId="0F9412CF" w14:textId="0A11B3BC" w:rsidR="00CC6071" w:rsidRDefault="00255DB3" w:rsidP="00FC1FCD">
            <w:pPr>
              <w:rPr>
                <w:b/>
              </w:rPr>
            </w:pPr>
            <w:r>
              <w:rPr>
                <w:b/>
              </w:rPr>
              <w:t>Utskottsträff</w:t>
            </w:r>
          </w:p>
          <w:p w14:paraId="5A3E9C0D" w14:textId="2EF586A6" w:rsidR="00CC6071" w:rsidRPr="00CC6071" w:rsidRDefault="00CC6071" w:rsidP="00FC1FCD">
            <w:pPr>
              <w:rPr>
                <w:bCs/>
              </w:rPr>
            </w:pPr>
          </w:p>
          <w:p w14:paraId="1C3B65AC" w14:textId="011BF442" w:rsidR="00CC6071" w:rsidRPr="00CC6071" w:rsidRDefault="00CC6071" w:rsidP="00FC1FCD">
            <w:pPr>
              <w:rPr>
                <w:bCs/>
              </w:rPr>
            </w:pPr>
            <w:r w:rsidRPr="00CC6071">
              <w:rPr>
                <w:bCs/>
              </w:rPr>
              <w:t xml:space="preserve">Ordförande informerade </w:t>
            </w:r>
            <w:r w:rsidR="00255DB3">
              <w:rPr>
                <w:bCs/>
              </w:rPr>
              <w:t xml:space="preserve">om </w:t>
            </w:r>
            <w:r w:rsidRPr="00CC6071">
              <w:rPr>
                <w:bCs/>
              </w:rPr>
              <w:t xml:space="preserve">att </w:t>
            </w:r>
            <w:r w:rsidR="00255DB3">
              <w:rPr>
                <w:bCs/>
              </w:rPr>
              <w:t xml:space="preserve">han avser att bjuda in övriga ledamöter och arbetande suppleanter till en träff med utskottet i </w:t>
            </w:r>
            <w:r w:rsidRPr="00CC6071">
              <w:rPr>
                <w:bCs/>
              </w:rPr>
              <w:t>Villa Bonnier tisdagen den 6 december</w:t>
            </w:r>
            <w:r w:rsidR="00CB238A">
              <w:rPr>
                <w:bCs/>
              </w:rPr>
              <w:t xml:space="preserve"> 2022.</w:t>
            </w:r>
          </w:p>
          <w:p w14:paraId="23C41F43" w14:textId="69201A0B" w:rsidR="00CC6071" w:rsidRDefault="00CC6071" w:rsidP="00FC1FCD">
            <w:pPr>
              <w:rPr>
                <w:b/>
              </w:rPr>
            </w:pPr>
          </w:p>
        </w:tc>
      </w:tr>
      <w:tr w:rsidR="00FC1FCD" w14:paraId="06DA1A6F" w14:textId="77777777" w:rsidTr="005F3412">
        <w:tc>
          <w:tcPr>
            <w:tcW w:w="567" w:type="dxa"/>
          </w:tcPr>
          <w:p w14:paraId="09263E9D" w14:textId="506CA0CC" w:rsidR="00FC1FCD" w:rsidRDefault="00FC1FCD" w:rsidP="00FC1FCD">
            <w:pPr>
              <w:tabs>
                <w:tab w:val="left" w:pos="1701"/>
              </w:tabs>
              <w:rPr>
                <w:b/>
                <w:snapToGrid w:val="0"/>
              </w:rPr>
            </w:pPr>
            <w:r w:rsidRPr="00D02516">
              <w:rPr>
                <w:b/>
                <w:snapToGrid w:val="0"/>
              </w:rPr>
              <w:t>§ 1</w:t>
            </w:r>
            <w:r w:rsidR="00DD26DF" w:rsidRPr="00D02516">
              <w:rPr>
                <w:b/>
                <w:snapToGrid w:val="0"/>
              </w:rPr>
              <w:t>6</w:t>
            </w:r>
          </w:p>
        </w:tc>
        <w:tc>
          <w:tcPr>
            <w:tcW w:w="6946" w:type="dxa"/>
          </w:tcPr>
          <w:p w14:paraId="25D1CF8E" w14:textId="71587E24" w:rsidR="00FC1FCD" w:rsidRDefault="00FC1FCD" w:rsidP="00FC1FCD">
            <w:pPr>
              <w:tabs>
                <w:tab w:val="left" w:pos="1701"/>
              </w:tabs>
              <w:rPr>
                <w:b/>
                <w:snapToGrid w:val="0"/>
              </w:rPr>
            </w:pPr>
            <w:r>
              <w:rPr>
                <w:b/>
                <w:snapToGrid w:val="0"/>
              </w:rPr>
              <w:t>Nästa sammanträde</w:t>
            </w:r>
            <w:r>
              <w:rPr>
                <w:b/>
                <w:snapToGrid w:val="0"/>
              </w:rPr>
              <w:br/>
            </w:r>
            <w:r>
              <w:rPr>
                <w:b/>
                <w:snapToGrid w:val="0"/>
              </w:rPr>
              <w:lastRenderedPageBreak/>
              <w:br/>
            </w:r>
            <w:r>
              <w:rPr>
                <w:snapToGrid w:val="0"/>
              </w:rPr>
              <w:t>Tisdagen den 22 november 2022 kl. 11.00.</w:t>
            </w:r>
          </w:p>
          <w:p w14:paraId="1B3CCEE6" w14:textId="67EC8F31" w:rsidR="00FC1FCD" w:rsidRDefault="00FC1FCD" w:rsidP="00FC1FCD">
            <w:pPr>
              <w:rPr>
                <w:b/>
                <w:bCs/>
                <w:snapToGrid w:val="0"/>
              </w:rPr>
            </w:pPr>
          </w:p>
        </w:tc>
      </w:tr>
      <w:tr w:rsidR="00FC1FCD" w14:paraId="06B600AA" w14:textId="77777777" w:rsidTr="005F3412">
        <w:tc>
          <w:tcPr>
            <w:tcW w:w="567" w:type="dxa"/>
          </w:tcPr>
          <w:p w14:paraId="7A1B589A" w14:textId="77777777" w:rsidR="00FC1FCD" w:rsidRDefault="00FC1FCD" w:rsidP="00FC1FCD">
            <w:pPr>
              <w:tabs>
                <w:tab w:val="left" w:pos="1701"/>
              </w:tabs>
              <w:rPr>
                <w:b/>
                <w:snapToGrid w:val="0"/>
              </w:rPr>
            </w:pPr>
          </w:p>
        </w:tc>
        <w:tc>
          <w:tcPr>
            <w:tcW w:w="6946" w:type="dxa"/>
          </w:tcPr>
          <w:p w14:paraId="0622F8F8" w14:textId="77777777" w:rsidR="00FC1FCD" w:rsidRPr="00D504CC" w:rsidRDefault="00FC1FCD" w:rsidP="00FC1FCD">
            <w:pPr>
              <w:tabs>
                <w:tab w:val="left" w:pos="1701"/>
              </w:tabs>
              <w:rPr>
                <w:snapToGrid w:val="0"/>
              </w:rPr>
            </w:pPr>
          </w:p>
        </w:tc>
      </w:tr>
      <w:tr w:rsidR="00FC1FCD" w14:paraId="47097576" w14:textId="77777777" w:rsidTr="005F3412">
        <w:tc>
          <w:tcPr>
            <w:tcW w:w="567" w:type="dxa"/>
          </w:tcPr>
          <w:p w14:paraId="0F442093" w14:textId="77777777" w:rsidR="00FC1FCD" w:rsidRDefault="00FC1FCD" w:rsidP="00FC1FCD">
            <w:pPr>
              <w:tabs>
                <w:tab w:val="left" w:pos="1701"/>
              </w:tabs>
              <w:rPr>
                <w:b/>
                <w:snapToGrid w:val="0"/>
              </w:rPr>
            </w:pPr>
          </w:p>
        </w:tc>
        <w:tc>
          <w:tcPr>
            <w:tcW w:w="6946" w:type="dxa"/>
          </w:tcPr>
          <w:p w14:paraId="43A25E53" w14:textId="77777777" w:rsidR="00FC1FCD" w:rsidRDefault="00FC1FCD" w:rsidP="00FC1FCD">
            <w:pPr>
              <w:tabs>
                <w:tab w:val="left" w:pos="1701"/>
              </w:tabs>
              <w:rPr>
                <w:b/>
                <w:snapToGrid w:val="0"/>
              </w:rPr>
            </w:pPr>
          </w:p>
        </w:tc>
      </w:tr>
    </w:tbl>
    <w:p w14:paraId="15479F88" w14:textId="77BFD927" w:rsidR="00B22510" w:rsidRDefault="00B22510"/>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1DB55901" w14:textId="553CB70F" w:rsidR="008E3AF3" w:rsidRDefault="008E3AF3" w:rsidP="008E3AF3">
            <w:pPr>
              <w:tabs>
                <w:tab w:val="left" w:pos="1701"/>
              </w:tabs>
            </w:pPr>
          </w:p>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34BA04FD" w:rsidR="008E3AF3" w:rsidRDefault="005C6816"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3B2BC738" w:rsidR="008E3AF3" w:rsidRDefault="008E3AF3" w:rsidP="008E3AF3">
            <w:pPr>
              <w:tabs>
                <w:tab w:val="left" w:pos="1701"/>
              </w:tabs>
            </w:pPr>
            <w:r>
              <w:t xml:space="preserve">Justeras den </w:t>
            </w:r>
            <w:r w:rsidR="000315F7">
              <w:t>22 november</w:t>
            </w:r>
            <w:r>
              <w:t xml:space="preserve"> 2022</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2B6ED060" w14:textId="730E4475" w:rsidR="008E3AF3" w:rsidRDefault="00AA153E" w:rsidP="008E3AF3">
            <w:pPr>
              <w:tabs>
                <w:tab w:val="left" w:pos="1701"/>
              </w:tabs>
              <w:rPr>
                <w:szCs w:val="24"/>
              </w:rPr>
            </w:pPr>
            <w:r>
              <w:rPr>
                <w:szCs w:val="24"/>
              </w:rPr>
              <w:t>Richard Jomshof</w:t>
            </w:r>
          </w:p>
          <w:p w14:paraId="4BD23539" w14:textId="1F80CE15" w:rsidR="00B22510" w:rsidRPr="00142088" w:rsidRDefault="00B22510" w:rsidP="008E3AF3">
            <w:pPr>
              <w:tabs>
                <w:tab w:val="left" w:pos="1701"/>
              </w:tabs>
            </w:pPr>
          </w:p>
        </w:tc>
      </w:tr>
    </w:tbl>
    <w:p w14:paraId="7780A59F" w14:textId="1E9E08A5" w:rsidR="00AA153E" w:rsidRDefault="00AA153E">
      <w:pPr>
        <w:widowControl/>
      </w:pPr>
    </w:p>
    <w:p w14:paraId="2FBE73D7" w14:textId="77777777" w:rsidR="00AA153E" w:rsidRDefault="00AA153E">
      <w:pPr>
        <w:widowControl/>
      </w:pPr>
      <w:r>
        <w:br w:type="page"/>
      </w:r>
    </w:p>
    <w:p w14:paraId="15E573F4" w14:textId="77777777" w:rsidR="00EE1004" w:rsidRDefault="00EE1004">
      <w:pPr>
        <w:widowControl/>
      </w:pPr>
    </w:p>
    <w:p w14:paraId="30625750" w14:textId="77777777" w:rsidR="00C50E21" w:rsidRDefault="00C50E21">
      <w:pPr>
        <w:widowControl/>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4B865CDB" w:rsidR="00E760A5" w:rsidRDefault="00E760A5" w:rsidP="00720C97">
            <w:pPr>
              <w:tabs>
                <w:tab w:val="left" w:pos="1701"/>
              </w:tabs>
            </w:pPr>
            <w:r>
              <w:t>20</w:t>
            </w:r>
            <w:r w:rsidR="00CD70B9">
              <w:t>2</w:t>
            </w:r>
            <w:r w:rsidR="00283C5A">
              <w:t>2</w:t>
            </w:r>
            <w:r>
              <w:t>/2</w:t>
            </w:r>
            <w:r w:rsidR="00283C5A">
              <w:t>3</w:t>
            </w:r>
            <w:r>
              <w:t>:</w:t>
            </w:r>
            <w:r w:rsidR="003E6760">
              <w:t>6</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4B3A4D6D"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261C23">
              <w:rPr>
                <w:sz w:val="22"/>
              </w:rPr>
              <w:t>1</w:t>
            </w:r>
            <w:r w:rsidR="001B1C66">
              <w:rPr>
                <w:sz w:val="22"/>
              </w:rPr>
              <w:t>-</w:t>
            </w:r>
            <w:r w:rsidR="00FA530D">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2EBBE044" w14:textId="3469C22A"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FA530D">
              <w:rPr>
                <w:sz w:val="22"/>
              </w:rPr>
              <w:t>7-13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78976478" w14:textId="262B3975"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FA530D">
              <w:rPr>
                <w:sz w:val="22"/>
              </w:rPr>
              <w:t>13-</w:t>
            </w:r>
            <w:r w:rsidR="00FA530D" w:rsidRPr="00D02516">
              <w:rPr>
                <w:sz w:val="22"/>
              </w:rPr>
              <w:t>1</w:t>
            </w:r>
            <w:r w:rsidR="00DD26DF" w:rsidRPr="00D02516">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62F652A4" w14:textId="77777777"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FA57D5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CD0320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413B87" w:rsidRPr="007379A1" w:rsidRDefault="00413B87" w:rsidP="00413B87">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413B87" w:rsidRPr="00F72CCB"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53F1397F" w:rsidR="00413B87" w:rsidRPr="00F72CCB"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29EEE9E2" w:rsidR="00413B87" w:rsidRPr="00F72CCB"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77777777" w:rsidR="00413B87" w:rsidRPr="00F72CCB"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413B87" w:rsidRPr="009841C1" w:rsidRDefault="00413B87" w:rsidP="00413B87">
            <w:pPr>
              <w:rPr>
                <w:lang w:val="en-GB"/>
              </w:rPr>
            </w:pPr>
            <w:proofErr w:type="spellStart"/>
            <w:r>
              <w:rPr>
                <w:lang w:val="en-GB"/>
              </w:rPr>
              <w:t>Ardalan</w:t>
            </w:r>
            <w:proofErr w:type="spellEnd"/>
            <w:r>
              <w:rPr>
                <w:lang w:val="en-GB"/>
              </w:rPr>
              <w:t xml:space="preserve"> </w:t>
            </w:r>
            <w:proofErr w:type="spellStart"/>
            <w:r>
              <w:rPr>
                <w:lang w:val="en-GB"/>
              </w:rPr>
              <w:t>Shekarabi</w:t>
            </w:r>
            <w:proofErr w:type="spellEnd"/>
            <w:r>
              <w:rPr>
                <w:lang w:val="en-GB"/>
              </w:rPr>
              <w:t xml:space="preserve"> (S)</w:t>
            </w:r>
            <w:r w:rsidRPr="009841C1">
              <w:rPr>
                <w:lang w:val="en-GB"/>
              </w:rPr>
              <w:t xml:space="preserve"> vice </w:t>
            </w:r>
            <w:proofErr w:type="spellStart"/>
            <w:r w:rsidRPr="009841C1">
              <w:rPr>
                <w:lang w:val="en-GB"/>
              </w:rPr>
              <w:t>ordf</w:t>
            </w:r>
            <w:proofErr w:type="spellEnd"/>
            <w:r w:rsidRPr="009841C1">
              <w:rPr>
                <w:lang w:val="en-GB"/>
              </w:rPr>
              <w:t>.</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6837A463" w:rsidR="00413B87" w:rsidRPr="00F72CCB"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4D8F57C5" w:rsidR="00413B87" w:rsidRPr="00F72CCB"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77777777" w:rsidR="00413B87" w:rsidRPr="00F72CCB"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413B87" w:rsidRPr="00C04C3F" w:rsidRDefault="00413B87" w:rsidP="00413B87">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7C95569B"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39AA4F58"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75D51F28"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413B87" w:rsidRPr="007B654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413B87" w:rsidRPr="00A74BA5" w:rsidRDefault="00413B87" w:rsidP="00413B87">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55B2B39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66D6E8A4"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413B87" w:rsidRPr="00A74BA5" w:rsidRDefault="00413B87" w:rsidP="00413B87">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43A092C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5DA7B651"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413B87" w:rsidRPr="00F85329" w:rsidRDefault="00413B87" w:rsidP="00413B87">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022BBDDB"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060A19FF"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413B87" w:rsidRPr="00A74BA5" w:rsidRDefault="00413B87" w:rsidP="00413B87">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631F1AB3"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4C93F393"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413B87" w:rsidRPr="00A74BA5" w:rsidRDefault="00413B87" w:rsidP="00413B87">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0E5DFC8D"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3B50424F"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62F4211F"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413B87" w:rsidRPr="00A74BA5" w:rsidRDefault="00413B87" w:rsidP="00413B87">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110CB628"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4AA7907B"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413B87" w:rsidRPr="00A74BA5" w:rsidRDefault="00413B87" w:rsidP="00413B87">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2FB4CDC3"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195E9FF1"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413B87" w:rsidRPr="00A74BA5" w:rsidRDefault="00413B87" w:rsidP="00413B87">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4646724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5E2AB18C"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413B87" w:rsidRPr="00A74BA5" w:rsidRDefault="00413B87" w:rsidP="00413B87">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179AEFBA"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26EA2F43"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413B87" w:rsidRPr="00A74BA5" w:rsidRDefault="00413B87" w:rsidP="00413B87">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2DEB758F"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0123EA4C"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413B87" w:rsidRPr="00A74BA5" w:rsidRDefault="00413B87" w:rsidP="00413B87">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76E4F4"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3D09B143"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59E007A0"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4A6941D9" w:rsidR="00413B87" w:rsidRPr="00A74BA5" w:rsidRDefault="00413B87" w:rsidP="00413B87">
            <w:pPr>
              <w:rPr>
                <w:szCs w:val="24"/>
              </w:rPr>
            </w:pPr>
            <w:r w:rsidRPr="00F85329">
              <w:t>Pontus Andersson (SD)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37E227AA"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029170CD"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413B87" w:rsidRPr="000253CD" w:rsidRDefault="00413B87" w:rsidP="00413B87">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46AE60FF"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7A1873CE"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20A1281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413B87" w:rsidRPr="00A74BA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22DB48F2" w:rsidR="00413B87" w:rsidRPr="00B20174"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171F97E1" w:rsidR="00413B87" w:rsidRPr="00B20174"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618BB600" w:rsidR="00413B87" w:rsidRPr="00B20174"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77777777" w:rsidR="00413B87" w:rsidRPr="00B20174"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413B87" w:rsidRPr="00A74BA5"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413B87"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B87"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413B87" w:rsidRPr="00CD65BC" w:rsidRDefault="00413B87" w:rsidP="00413B87">
            <w:pPr>
              <w:rPr>
                <w:sz w:val="22"/>
              </w:rPr>
            </w:pPr>
            <w:r w:rsidRPr="00775568">
              <w:t xml:space="preserve">Mats </w:t>
            </w:r>
            <w:proofErr w:type="spellStart"/>
            <w:r w:rsidRPr="00775568">
              <w:t>Arkhem</w:t>
            </w:r>
            <w:proofErr w:type="spellEnd"/>
            <w:r w:rsidRPr="00775568">
              <w:t xml:space="preserve">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321257E6"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47D1FEF5"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3B87"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413B87" w:rsidRPr="00A23450" w:rsidRDefault="00413B87" w:rsidP="00413B87">
            <w:r w:rsidRPr="00775568">
              <w:t xml:space="preserve">Sanna </w:t>
            </w:r>
            <w:proofErr w:type="spellStart"/>
            <w:r w:rsidRPr="00775568">
              <w:t>Backeskog</w:t>
            </w:r>
            <w:proofErr w:type="spellEnd"/>
            <w:r w:rsidRPr="00775568">
              <w:t xml:space="preserve"> (S)</w:t>
            </w:r>
          </w:p>
        </w:tc>
        <w:tc>
          <w:tcPr>
            <w:tcW w:w="356" w:type="dxa"/>
            <w:tcBorders>
              <w:top w:val="single" w:sz="6" w:space="0" w:color="auto"/>
              <w:left w:val="single" w:sz="6" w:space="0" w:color="auto"/>
              <w:bottom w:val="single" w:sz="6" w:space="0" w:color="auto"/>
              <w:right w:val="single" w:sz="6" w:space="0" w:color="auto"/>
            </w:tcBorders>
          </w:tcPr>
          <w:p w14:paraId="2A5283ED" w14:textId="47623131"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04C2DF23"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5E2ED87D"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3B87"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413B87" w:rsidRPr="00A23450" w:rsidRDefault="00413B87" w:rsidP="00413B87">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4FFCA34F"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42F6E741"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3EF606BD"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3B87"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413B87" w:rsidRDefault="00413B87" w:rsidP="00413B87">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4CEF36D9"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15128288"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5A6DCE10"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413B87" w:rsidRPr="0078232D" w:rsidRDefault="00413B87" w:rsidP="00413B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2C4514" w:rsidRDefault="002C4514" w:rsidP="002C4514">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2C4514" w:rsidRPr="00A23450" w:rsidRDefault="002C4514" w:rsidP="002C4514">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61CEE7DA" w:rsidR="002C4514" w:rsidRPr="00A23450" w:rsidRDefault="002C4514" w:rsidP="002C4514">
            <w:r w:rsidRPr="00775568">
              <w:t>David Josefsson (M)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2C4514" w:rsidRPr="00A23450" w:rsidRDefault="002C4514" w:rsidP="002C4514">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2C4514" w:rsidRDefault="002C4514" w:rsidP="002C4514">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2C4514" w:rsidRDefault="002C4514" w:rsidP="002C4514">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2C4514" w:rsidRPr="00A23450" w:rsidRDefault="002C4514" w:rsidP="002C4514">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2C4514" w:rsidRPr="00A23450" w:rsidRDefault="002C4514" w:rsidP="002C4514">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2C4514" w:rsidRDefault="00326ACA" w:rsidP="002C4514">
            <w:r>
              <w:t>Ingemar Kihlström</w:t>
            </w:r>
            <w:r w:rsidR="002C4514"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6BA299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 xml:space="preserve">Sara-Lena </w:t>
            </w:r>
            <w:proofErr w:type="spellStart"/>
            <w:r w:rsidRPr="002F723A">
              <w:t>Bjälkö</w:t>
            </w:r>
            <w:proofErr w:type="spellEnd"/>
            <w:r w:rsidRPr="002F723A">
              <w:t xml:space="preserve">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lastRenderedPageBreak/>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1A13D9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637137E" w14:textId="064D3427" w:rsidR="004F206C" w:rsidRPr="00775568" w:rsidRDefault="004F206C" w:rsidP="004F206C">
            <w:r w:rsidRPr="002F723A">
              <w:t>Malin Danielsson (L)</w:t>
            </w:r>
          </w:p>
        </w:tc>
        <w:tc>
          <w:tcPr>
            <w:tcW w:w="356" w:type="dxa"/>
            <w:tcBorders>
              <w:top w:val="single" w:sz="6" w:space="0" w:color="auto"/>
              <w:left w:val="single" w:sz="6" w:space="0" w:color="auto"/>
              <w:bottom w:val="single" w:sz="6" w:space="0" w:color="auto"/>
              <w:right w:val="single" w:sz="6" w:space="0" w:color="auto"/>
            </w:tcBorders>
          </w:tcPr>
          <w:p w14:paraId="59F384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D060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DEC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8B0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B3E6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50A7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07C4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BCCC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D236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44DA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8BC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5A3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C5C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8599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518A27C8" w:rsidR="004F206C" w:rsidRPr="0078232D" w:rsidRDefault="00CD45B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D692B" w14:paraId="6BB3DF5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617F795" w14:textId="4FBB5E4B" w:rsidR="00BD692B" w:rsidRPr="002F723A" w:rsidRDefault="00BD692B" w:rsidP="004F206C">
            <w:proofErr w:type="spellStart"/>
            <w:r>
              <w:t>Bassem</w:t>
            </w:r>
            <w:proofErr w:type="spellEnd"/>
            <w:r>
              <w:t xml:space="preserve"> </w:t>
            </w:r>
            <w:proofErr w:type="spellStart"/>
            <w:r>
              <w:t>Nasr</w:t>
            </w:r>
            <w:proofErr w:type="spellEnd"/>
            <w:r>
              <w:t xml:space="preserve"> (MP)</w:t>
            </w:r>
          </w:p>
        </w:tc>
        <w:tc>
          <w:tcPr>
            <w:tcW w:w="356" w:type="dxa"/>
            <w:tcBorders>
              <w:top w:val="single" w:sz="6" w:space="0" w:color="auto"/>
              <w:left w:val="single" w:sz="6" w:space="0" w:color="auto"/>
              <w:bottom w:val="single" w:sz="6" w:space="0" w:color="auto"/>
              <w:right w:val="single" w:sz="6" w:space="0" w:color="auto"/>
            </w:tcBorders>
          </w:tcPr>
          <w:p w14:paraId="4081ECDD" w14:textId="2A11FA59" w:rsidR="00BD692B" w:rsidRPr="0078232D" w:rsidRDefault="00D761F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368BD0A"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911E7" w14:textId="02264DB0" w:rsidR="00BD692B" w:rsidRPr="0078232D" w:rsidRDefault="00FA53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A0D2FC"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B085B" w14:textId="127F07D9" w:rsidR="00BD692B" w:rsidRPr="0078232D" w:rsidRDefault="00FA53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0C59BD"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B507F"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BF1C1"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664CE3"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0A056C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E514E"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219F0"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A0F16"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1A56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546AD32F" w14:textId="11002E0F"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3F7D51">
              <w:rPr>
                <w:sz w:val="20"/>
              </w:rPr>
              <w:t>2-</w:t>
            </w:r>
            <w:r w:rsidR="00F868DC">
              <w:rPr>
                <w:sz w:val="20"/>
              </w:rPr>
              <w:t>1</w:t>
            </w:r>
            <w:r w:rsidR="00375D9A">
              <w:rPr>
                <w:sz w:val="20"/>
              </w:rPr>
              <w:t>1</w:t>
            </w:r>
            <w:r w:rsidR="003F7D51">
              <w:rPr>
                <w:sz w:val="20"/>
              </w:rPr>
              <w:t>-</w:t>
            </w:r>
            <w:r w:rsidR="00DC27BE">
              <w:rPr>
                <w:sz w:val="20"/>
              </w:rPr>
              <w:t>10</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B3CA" w14:textId="77777777" w:rsidR="00EC73E1" w:rsidRDefault="00EC73E1">
      <w:r>
        <w:separator/>
      </w:r>
    </w:p>
  </w:endnote>
  <w:endnote w:type="continuationSeparator" w:id="0">
    <w:p w14:paraId="2D7EB664" w14:textId="77777777" w:rsidR="00EC73E1" w:rsidRDefault="00EC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EDFC" w14:textId="77777777" w:rsidR="00EC73E1" w:rsidRDefault="00EC73E1">
      <w:r>
        <w:separator/>
      </w:r>
    </w:p>
  </w:footnote>
  <w:footnote w:type="continuationSeparator" w:id="0">
    <w:p w14:paraId="5EAAE6DB" w14:textId="77777777" w:rsidR="00EC73E1" w:rsidRDefault="00EC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525"/>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4D2"/>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737C"/>
    <w:rsid w:val="00057FE3"/>
    <w:rsid w:val="000601DB"/>
    <w:rsid w:val="00060839"/>
    <w:rsid w:val="00060A92"/>
    <w:rsid w:val="00060B07"/>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FF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6E1"/>
    <w:rsid w:val="00087098"/>
    <w:rsid w:val="000878C5"/>
    <w:rsid w:val="00087F3A"/>
    <w:rsid w:val="00090215"/>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6146"/>
    <w:rsid w:val="000D73EA"/>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4C1"/>
    <w:rsid w:val="000E68D0"/>
    <w:rsid w:val="000E6A0E"/>
    <w:rsid w:val="000E6E06"/>
    <w:rsid w:val="000F01C1"/>
    <w:rsid w:val="000F0520"/>
    <w:rsid w:val="000F1021"/>
    <w:rsid w:val="000F1C2D"/>
    <w:rsid w:val="000F2730"/>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432"/>
    <w:rsid w:val="00137E81"/>
    <w:rsid w:val="00137EB5"/>
    <w:rsid w:val="00140032"/>
    <w:rsid w:val="00140224"/>
    <w:rsid w:val="00140575"/>
    <w:rsid w:val="00140DB0"/>
    <w:rsid w:val="00141456"/>
    <w:rsid w:val="00142088"/>
    <w:rsid w:val="0014250F"/>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152"/>
    <w:rsid w:val="00183BAB"/>
    <w:rsid w:val="0018462D"/>
    <w:rsid w:val="00184803"/>
    <w:rsid w:val="00185033"/>
    <w:rsid w:val="00185251"/>
    <w:rsid w:val="001853DE"/>
    <w:rsid w:val="00185E48"/>
    <w:rsid w:val="001862A8"/>
    <w:rsid w:val="0018683C"/>
    <w:rsid w:val="0018769F"/>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6096"/>
    <w:rsid w:val="0019639C"/>
    <w:rsid w:val="0019679A"/>
    <w:rsid w:val="001969CA"/>
    <w:rsid w:val="00196C51"/>
    <w:rsid w:val="001A0ABB"/>
    <w:rsid w:val="001A108C"/>
    <w:rsid w:val="001A1730"/>
    <w:rsid w:val="001A1737"/>
    <w:rsid w:val="001A1E00"/>
    <w:rsid w:val="001A2465"/>
    <w:rsid w:val="001A25D2"/>
    <w:rsid w:val="001A2BD3"/>
    <w:rsid w:val="001A443E"/>
    <w:rsid w:val="001A4E92"/>
    <w:rsid w:val="001A4EB5"/>
    <w:rsid w:val="001A4EB8"/>
    <w:rsid w:val="001A5505"/>
    <w:rsid w:val="001A6406"/>
    <w:rsid w:val="001A6D21"/>
    <w:rsid w:val="001A6E85"/>
    <w:rsid w:val="001A737D"/>
    <w:rsid w:val="001A7441"/>
    <w:rsid w:val="001A7838"/>
    <w:rsid w:val="001B02CE"/>
    <w:rsid w:val="001B0943"/>
    <w:rsid w:val="001B0FF5"/>
    <w:rsid w:val="001B1553"/>
    <w:rsid w:val="001B15DC"/>
    <w:rsid w:val="001B1AEF"/>
    <w:rsid w:val="001B1C66"/>
    <w:rsid w:val="001B224D"/>
    <w:rsid w:val="001B25D2"/>
    <w:rsid w:val="001B3ED5"/>
    <w:rsid w:val="001B4C2F"/>
    <w:rsid w:val="001B4C84"/>
    <w:rsid w:val="001B4CCF"/>
    <w:rsid w:val="001B4CF3"/>
    <w:rsid w:val="001B5F4A"/>
    <w:rsid w:val="001B6465"/>
    <w:rsid w:val="001B6787"/>
    <w:rsid w:val="001B6A48"/>
    <w:rsid w:val="001B7D6D"/>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63C8"/>
    <w:rsid w:val="001E6D6F"/>
    <w:rsid w:val="001E6F6E"/>
    <w:rsid w:val="001E7838"/>
    <w:rsid w:val="001E7AB2"/>
    <w:rsid w:val="001F0E7A"/>
    <w:rsid w:val="001F13CE"/>
    <w:rsid w:val="001F14DD"/>
    <w:rsid w:val="001F1C84"/>
    <w:rsid w:val="001F1D64"/>
    <w:rsid w:val="001F1E06"/>
    <w:rsid w:val="001F4760"/>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808"/>
    <w:rsid w:val="00234C6A"/>
    <w:rsid w:val="00234DBE"/>
    <w:rsid w:val="002356B3"/>
    <w:rsid w:val="00235740"/>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DB3"/>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9B0"/>
    <w:rsid w:val="00283C5A"/>
    <w:rsid w:val="00284354"/>
    <w:rsid w:val="00284373"/>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E8B"/>
    <w:rsid w:val="002B2F3A"/>
    <w:rsid w:val="002B333D"/>
    <w:rsid w:val="002B40D2"/>
    <w:rsid w:val="002B48F3"/>
    <w:rsid w:val="002B4B33"/>
    <w:rsid w:val="002B522D"/>
    <w:rsid w:val="002B55FB"/>
    <w:rsid w:val="002B59EC"/>
    <w:rsid w:val="002B60A9"/>
    <w:rsid w:val="002B63C9"/>
    <w:rsid w:val="002B6945"/>
    <w:rsid w:val="002B6A98"/>
    <w:rsid w:val="002B6F95"/>
    <w:rsid w:val="002B7500"/>
    <w:rsid w:val="002B7744"/>
    <w:rsid w:val="002C0E70"/>
    <w:rsid w:val="002C11F9"/>
    <w:rsid w:val="002C141B"/>
    <w:rsid w:val="002C144A"/>
    <w:rsid w:val="002C164E"/>
    <w:rsid w:val="002C1D48"/>
    <w:rsid w:val="002C2572"/>
    <w:rsid w:val="002C2C11"/>
    <w:rsid w:val="002C2C33"/>
    <w:rsid w:val="002C3B29"/>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3"/>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849"/>
    <w:rsid w:val="00302B4D"/>
    <w:rsid w:val="003032CF"/>
    <w:rsid w:val="0030372D"/>
    <w:rsid w:val="00303B25"/>
    <w:rsid w:val="00304165"/>
    <w:rsid w:val="00304526"/>
    <w:rsid w:val="0030490B"/>
    <w:rsid w:val="00304B0A"/>
    <w:rsid w:val="003050BF"/>
    <w:rsid w:val="00305325"/>
    <w:rsid w:val="0030538E"/>
    <w:rsid w:val="003053DD"/>
    <w:rsid w:val="003058C7"/>
    <w:rsid w:val="003059D2"/>
    <w:rsid w:val="003063C8"/>
    <w:rsid w:val="0030655A"/>
    <w:rsid w:val="0030660C"/>
    <w:rsid w:val="003066FC"/>
    <w:rsid w:val="00306936"/>
    <w:rsid w:val="00306FEB"/>
    <w:rsid w:val="0031070B"/>
    <w:rsid w:val="003107C2"/>
    <w:rsid w:val="0031172D"/>
    <w:rsid w:val="003118EC"/>
    <w:rsid w:val="003121B8"/>
    <w:rsid w:val="0031288B"/>
    <w:rsid w:val="00312B90"/>
    <w:rsid w:val="00312EC3"/>
    <w:rsid w:val="00313738"/>
    <w:rsid w:val="00313D62"/>
    <w:rsid w:val="00313F88"/>
    <w:rsid w:val="00313FFE"/>
    <w:rsid w:val="0031413B"/>
    <w:rsid w:val="003144A7"/>
    <w:rsid w:val="003146C4"/>
    <w:rsid w:val="003149EB"/>
    <w:rsid w:val="003157C7"/>
    <w:rsid w:val="003159BC"/>
    <w:rsid w:val="00315EAA"/>
    <w:rsid w:val="00316395"/>
    <w:rsid w:val="00316F08"/>
    <w:rsid w:val="003173E4"/>
    <w:rsid w:val="003176D3"/>
    <w:rsid w:val="003178A3"/>
    <w:rsid w:val="00317F79"/>
    <w:rsid w:val="0032021C"/>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7B9"/>
    <w:rsid w:val="0034183C"/>
    <w:rsid w:val="0034390A"/>
    <w:rsid w:val="00343D07"/>
    <w:rsid w:val="003443BE"/>
    <w:rsid w:val="00344446"/>
    <w:rsid w:val="00344679"/>
    <w:rsid w:val="0034514C"/>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B95"/>
    <w:rsid w:val="00384032"/>
    <w:rsid w:val="00384127"/>
    <w:rsid w:val="0038417F"/>
    <w:rsid w:val="003847A1"/>
    <w:rsid w:val="0038564A"/>
    <w:rsid w:val="00386867"/>
    <w:rsid w:val="00387668"/>
    <w:rsid w:val="003877D1"/>
    <w:rsid w:val="00387B09"/>
    <w:rsid w:val="00390082"/>
    <w:rsid w:val="003905ED"/>
    <w:rsid w:val="00391341"/>
    <w:rsid w:val="0039196B"/>
    <w:rsid w:val="00392257"/>
    <w:rsid w:val="0039277B"/>
    <w:rsid w:val="00393084"/>
    <w:rsid w:val="00393596"/>
    <w:rsid w:val="003935F0"/>
    <w:rsid w:val="0039364D"/>
    <w:rsid w:val="003949F8"/>
    <w:rsid w:val="00394F06"/>
    <w:rsid w:val="003952A4"/>
    <w:rsid w:val="003952BF"/>
    <w:rsid w:val="003957BF"/>
    <w:rsid w:val="0039591D"/>
    <w:rsid w:val="00395FCD"/>
    <w:rsid w:val="003962FA"/>
    <w:rsid w:val="003964E8"/>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713"/>
    <w:rsid w:val="003A48EB"/>
    <w:rsid w:val="003A4D05"/>
    <w:rsid w:val="003A56F0"/>
    <w:rsid w:val="003A5923"/>
    <w:rsid w:val="003A5C9F"/>
    <w:rsid w:val="003A6545"/>
    <w:rsid w:val="003A672C"/>
    <w:rsid w:val="003A6ACF"/>
    <w:rsid w:val="003A721B"/>
    <w:rsid w:val="003A7EBC"/>
    <w:rsid w:val="003B041E"/>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419"/>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5FE3"/>
    <w:rsid w:val="00416D78"/>
    <w:rsid w:val="004176C1"/>
    <w:rsid w:val="004205D5"/>
    <w:rsid w:val="00420B47"/>
    <w:rsid w:val="00420B81"/>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9A4"/>
    <w:rsid w:val="00463FD0"/>
    <w:rsid w:val="004641F6"/>
    <w:rsid w:val="00464451"/>
    <w:rsid w:val="00464AE9"/>
    <w:rsid w:val="00464BF5"/>
    <w:rsid w:val="00464CAF"/>
    <w:rsid w:val="00464F3D"/>
    <w:rsid w:val="00465582"/>
    <w:rsid w:val="0046590A"/>
    <w:rsid w:val="00466905"/>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6B27"/>
    <w:rsid w:val="004771E3"/>
    <w:rsid w:val="004779F1"/>
    <w:rsid w:val="00477DC5"/>
    <w:rsid w:val="00477F20"/>
    <w:rsid w:val="00480055"/>
    <w:rsid w:val="00480221"/>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52F6"/>
    <w:rsid w:val="004D53B7"/>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A73"/>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7F7"/>
    <w:rsid w:val="00517B9C"/>
    <w:rsid w:val="00520DCC"/>
    <w:rsid w:val="00521DFF"/>
    <w:rsid w:val="00522468"/>
    <w:rsid w:val="0052249C"/>
    <w:rsid w:val="005233B3"/>
    <w:rsid w:val="0052399F"/>
    <w:rsid w:val="005252C9"/>
    <w:rsid w:val="0052553C"/>
    <w:rsid w:val="00526312"/>
    <w:rsid w:val="005269F7"/>
    <w:rsid w:val="00526CA9"/>
    <w:rsid w:val="00527105"/>
    <w:rsid w:val="005273DE"/>
    <w:rsid w:val="00527925"/>
    <w:rsid w:val="00527D23"/>
    <w:rsid w:val="00527F21"/>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92"/>
    <w:rsid w:val="005855F7"/>
    <w:rsid w:val="005857AB"/>
    <w:rsid w:val="005873D5"/>
    <w:rsid w:val="00587919"/>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1CD"/>
    <w:rsid w:val="00595603"/>
    <w:rsid w:val="0059589E"/>
    <w:rsid w:val="005960C7"/>
    <w:rsid w:val="00596739"/>
    <w:rsid w:val="005969D9"/>
    <w:rsid w:val="00596AC9"/>
    <w:rsid w:val="00597019"/>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874"/>
    <w:rsid w:val="005B0EB3"/>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1B9B"/>
    <w:rsid w:val="0061284E"/>
    <w:rsid w:val="006130D8"/>
    <w:rsid w:val="006131BC"/>
    <w:rsid w:val="006137DA"/>
    <w:rsid w:val="00613989"/>
    <w:rsid w:val="00614019"/>
    <w:rsid w:val="00614E4E"/>
    <w:rsid w:val="00614EA7"/>
    <w:rsid w:val="00615278"/>
    <w:rsid w:val="00615408"/>
    <w:rsid w:val="00615C47"/>
    <w:rsid w:val="00617D98"/>
    <w:rsid w:val="00620295"/>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55CD"/>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7701"/>
    <w:rsid w:val="00647C29"/>
    <w:rsid w:val="006505AD"/>
    <w:rsid w:val="006508FE"/>
    <w:rsid w:val="00651B58"/>
    <w:rsid w:val="00652465"/>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55A"/>
    <w:rsid w:val="006D7CC9"/>
    <w:rsid w:val="006D7E24"/>
    <w:rsid w:val="006E085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937"/>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49A2"/>
    <w:rsid w:val="0074537D"/>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709A"/>
    <w:rsid w:val="00757C34"/>
    <w:rsid w:val="0076059C"/>
    <w:rsid w:val="00761294"/>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E6A"/>
    <w:rsid w:val="00771169"/>
    <w:rsid w:val="00771F4B"/>
    <w:rsid w:val="00771FE9"/>
    <w:rsid w:val="007721EA"/>
    <w:rsid w:val="007733A6"/>
    <w:rsid w:val="00773521"/>
    <w:rsid w:val="00773822"/>
    <w:rsid w:val="007738DA"/>
    <w:rsid w:val="00773B47"/>
    <w:rsid w:val="00773FE4"/>
    <w:rsid w:val="0077414E"/>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8D6"/>
    <w:rsid w:val="007E5C17"/>
    <w:rsid w:val="007E6541"/>
    <w:rsid w:val="007E6684"/>
    <w:rsid w:val="007E6C7A"/>
    <w:rsid w:val="007E7102"/>
    <w:rsid w:val="007E75B1"/>
    <w:rsid w:val="007E791D"/>
    <w:rsid w:val="007E7C7C"/>
    <w:rsid w:val="007F0228"/>
    <w:rsid w:val="007F0596"/>
    <w:rsid w:val="007F0DE2"/>
    <w:rsid w:val="007F1641"/>
    <w:rsid w:val="007F20EA"/>
    <w:rsid w:val="007F2A25"/>
    <w:rsid w:val="007F2C49"/>
    <w:rsid w:val="007F35A5"/>
    <w:rsid w:val="007F48EB"/>
    <w:rsid w:val="007F5034"/>
    <w:rsid w:val="007F5678"/>
    <w:rsid w:val="007F5BBD"/>
    <w:rsid w:val="007F5D21"/>
    <w:rsid w:val="007F6019"/>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64A"/>
    <w:rsid w:val="008047AE"/>
    <w:rsid w:val="008049E7"/>
    <w:rsid w:val="00804A01"/>
    <w:rsid w:val="00804CAF"/>
    <w:rsid w:val="0080578A"/>
    <w:rsid w:val="00805DD0"/>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D5B"/>
    <w:rsid w:val="00813F8F"/>
    <w:rsid w:val="00814404"/>
    <w:rsid w:val="00815350"/>
    <w:rsid w:val="00815D99"/>
    <w:rsid w:val="00815EDF"/>
    <w:rsid w:val="0081623C"/>
    <w:rsid w:val="00817455"/>
    <w:rsid w:val="00817F40"/>
    <w:rsid w:val="008206D0"/>
    <w:rsid w:val="00820735"/>
    <w:rsid w:val="008211F8"/>
    <w:rsid w:val="0082205F"/>
    <w:rsid w:val="0082209C"/>
    <w:rsid w:val="00822343"/>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70273"/>
    <w:rsid w:val="008706B1"/>
    <w:rsid w:val="0087082F"/>
    <w:rsid w:val="008710D3"/>
    <w:rsid w:val="00871236"/>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0C7A"/>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5464"/>
    <w:rsid w:val="00895BAD"/>
    <w:rsid w:val="00895EEB"/>
    <w:rsid w:val="00895FB5"/>
    <w:rsid w:val="008960AB"/>
    <w:rsid w:val="008961A4"/>
    <w:rsid w:val="00896444"/>
    <w:rsid w:val="00897378"/>
    <w:rsid w:val="008975E0"/>
    <w:rsid w:val="008A01E6"/>
    <w:rsid w:val="008A0DC0"/>
    <w:rsid w:val="008A15E0"/>
    <w:rsid w:val="008A17B8"/>
    <w:rsid w:val="008A1C68"/>
    <w:rsid w:val="008A3BEE"/>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B07"/>
    <w:rsid w:val="008E347C"/>
    <w:rsid w:val="008E38C9"/>
    <w:rsid w:val="008E3AF3"/>
    <w:rsid w:val="008E3B69"/>
    <w:rsid w:val="008E41B2"/>
    <w:rsid w:val="008E4844"/>
    <w:rsid w:val="008E49E2"/>
    <w:rsid w:val="008E4D6C"/>
    <w:rsid w:val="008E54DC"/>
    <w:rsid w:val="008E5756"/>
    <w:rsid w:val="008E5A89"/>
    <w:rsid w:val="008E5F35"/>
    <w:rsid w:val="008E61CA"/>
    <w:rsid w:val="008E66F5"/>
    <w:rsid w:val="008E6C29"/>
    <w:rsid w:val="008E7E98"/>
    <w:rsid w:val="008F03D0"/>
    <w:rsid w:val="008F0A8B"/>
    <w:rsid w:val="008F0BC6"/>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C75"/>
    <w:rsid w:val="00910E38"/>
    <w:rsid w:val="00910F7E"/>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7A1"/>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EE8"/>
    <w:rsid w:val="00946F21"/>
    <w:rsid w:val="009475B9"/>
    <w:rsid w:val="00947661"/>
    <w:rsid w:val="00947BA3"/>
    <w:rsid w:val="00950808"/>
    <w:rsid w:val="00950861"/>
    <w:rsid w:val="00952090"/>
    <w:rsid w:val="0095274E"/>
    <w:rsid w:val="00953AC2"/>
    <w:rsid w:val="00953D3A"/>
    <w:rsid w:val="009540F4"/>
    <w:rsid w:val="00954200"/>
    <w:rsid w:val="00954DA7"/>
    <w:rsid w:val="009550D6"/>
    <w:rsid w:val="0095543E"/>
    <w:rsid w:val="0095660C"/>
    <w:rsid w:val="00956ED2"/>
    <w:rsid w:val="009570E6"/>
    <w:rsid w:val="00957583"/>
    <w:rsid w:val="00957859"/>
    <w:rsid w:val="00960199"/>
    <w:rsid w:val="009607BD"/>
    <w:rsid w:val="00960883"/>
    <w:rsid w:val="00960FBD"/>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68FE"/>
    <w:rsid w:val="009A6C63"/>
    <w:rsid w:val="009A70BD"/>
    <w:rsid w:val="009A744D"/>
    <w:rsid w:val="009A7887"/>
    <w:rsid w:val="009A799E"/>
    <w:rsid w:val="009A7A33"/>
    <w:rsid w:val="009A7C39"/>
    <w:rsid w:val="009B08E5"/>
    <w:rsid w:val="009B0A01"/>
    <w:rsid w:val="009B0C66"/>
    <w:rsid w:val="009B0DB8"/>
    <w:rsid w:val="009B178A"/>
    <w:rsid w:val="009B210B"/>
    <w:rsid w:val="009B254A"/>
    <w:rsid w:val="009B2850"/>
    <w:rsid w:val="009B3512"/>
    <w:rsid w:val="009B4D2D"/>
    <w:rsid w:val="009B5788"/>
    <w:rsid w:val="009B57DF"/>
    <w:rsid w:val="009B5E03"/>
    <w:rsid w:val="009B6EFD"/>
    <w:rsid w:val="009B71E5"/>
    <w:rsid w:val="009B7629"/>
    <w:rsid w:val="009B78F4"/>
    <w:rsid w:val="009B7F9E"/>
    <w:rsid w:val="009C15BC"/>
    <w:rsid w:val="009C1961"/>
    <w:rsid w:val="009C1B70"/>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26D"/>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FCD"/>
    <w:rsid w:val="00A14736"/>
    <w:rsid w:val="00A14A60"/>
    <w:rsid w:val="00A14F1D"/>
    <w:rsid w:val="00A1505E"/>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E57"/>
    <w:rsid w:val="00A916AD"/>
    <w:rsid w:val="00A91EA3"/>
    <w:rsid w:val="00A9281C"/>
    <w:rsid w:val="00A93265"/>
    <w:rsid w:val="00A93F1B"/>
    <w:rsid w:val="00A94210"/>
    <w:rsid w:val="00A944FB"/>
    <w:rsid w:val="00A948AF"/>
    <w:rsid w:val="00A95ABC"/>
    <w:rsid w:val="00A964CD"/>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730"/>
    <w:rsid w:val="00AB20D5"/>
    <w:rsid w:val="00AB278C"/>
    <w:rsid w:val="00AB2F6B"/>
    <w:rsid w:val="00AB3250"/>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8D0"/>
    <w:rsid w:val="00AC12D2"/>
    <w:rsid w:val="00AC15B3"/>
    <w:rsid w:val="00AC171A"/>
    <w:rsid w:val="00AC1D42"/>
    <w:rsid w:val="00AC1E5D"/>
    <w:rsid w:val="00AC2FAC"/>
    <w:rsid w:val="00AC3002"/>
    <w:rsid w:val="00AC31AF"/>
    <w:rsid w:val="00AC505D"/>
    <w:rsid w:val="00AC589A"/>
    <w:rsid w:val="00AC5B83"/>
    <w:rsid w:val="00AC5EC2"/>
    <w:rsid w:val="00AC6040"/>
    <w:rsid w:val="00AC74BC"/>
    <w:rsid w:val="00AC7978"/>
    <w:rsid w:val="00AC7FB8"/>
    <w:rsid w:val="00AD088E"/>
    <w:rsid w:val="00AD0C83"/>
    <w:rsid w:val="00AD1B40"/>
    <w:rsid w:val="00AD1B67"/>
    <w:rsid w:val="00AD1EF5"/>
    <w:rsid w:val="00AD230B"/>
    <w:rsid w:val="00AD2406"/>
    <w:rsid w:val="00AD24A2"/>
    <w:rsid w:val="00AD2BE7"/>
    <w:rsid w:val="00AD2E76"/>
    <w:rsid w:val="00AD30C0"/>
    <w:rsid w:val="00AD3538"/>
    <w:rsid w:val="00AD368F"/>
    <w:rsid w:val="00AD3CC2"/>
    <w:rsid w:val="00AD3E4D"/>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FE9"/>
    <w:rsid w:val="00B05FFE"/>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12AC"/>
    <w:rsid w:val="00B2174B"/>
    <w:rsid w:val="00B21A88"/>
    <w:rsid w:val="00B220E6"/>
    <w:rsid w:val="00B22510"/>
    <w:rsid w:val="00B225EE"/>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0FC8"/>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E0A81"/>
    <w:rsid w:val="00BE0AE5"/>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690A"/>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21A"/>
    <w:rsid w:val="00C36479"/>
    <w:rsid w:val="00C36B89"/>
    <w:rsid w:val="00C36BD4"/>
    <w:rsid w:val="00C37FC2"/>
    <w:rsid w:val="00C4056D"/>
    <w:rsid w:val="00C40925"/>
    <w:rsid w:val="00C41378"/>
    <w:rsid w:val="00C413DB"/>
    <w:rsid w:val="00C4179F"/>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E88"/>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5178"/>
    <w:rsid w:val="00CA5B68"/>
    <w:rsid w:val="00CA5C7A"/>
    <w:rsid w:val="00CA6C36"/>
    <w:rsid w:val="00CA6EC6"/>
    <w:rsid w:val="00CA6ED5"/>
    <w:rsid w:val="00CA6EF4"/>
    <w:rsid w:val="00CA74BD"/>
    <w:rsid w:val="00CA7C0A"/>
    <w:rsid w:val="00CB02E5"/>
    <w:rsid w:val="00CB04D6"/>
    <w:rsid w:val="00CB0903"/>
    <w:rsid w:val="00CB11CA"/>
    <w:rsid w:val="00CB17F1"/>
    <w:rsid w:val="00CB1C7C"/>
    <w:rsid w:val="00CB238A"/>
    <w:rsid w:val="00CB2611"/>
    <w:rsid w:val="00CB2890"/>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071"/>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516"/>
    <w:rsid w:val="00D02C74"/>
    <w:rsid w:val="00D02EF3"/>
    <w:rsid w:val="00D0302E"/>
    <w:rsid w:val="00D03067"/>
    <w:rsid w:val="00D03520"/>
    <w:rsid w:val="00D039C7"/>
    <w:rsid w:val="00D046E8"/>
    <w:rsid w:val="00D046F8"/>
    <w:rsid w:val="00D05247"/>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944"/>
    <w:rsid w:val="00D12C3A"/>
    <w:rsid w:val="00D133E4"/>
    <w:rsid w:val="00D13567"/>
    <w:rsid w:val="00D13A7F"/>
    <w:rsid w:val="00D13F73"/>
    <w:rsid w:val="00D14750"/>
    <w:rsid w:val="00D14ADC"/>
    <w:rsid w:val="00D14C98"/>
    <w:rsid w:val="00D1572C"/>
    <w:rsid w:val="00D159FF"/>
    <w:rsid w:val="00D15B7E"/>
    <w:rsid w:val="00D15DF7"/>
    <w:rsid w:val="00D16239"/>
    <w:rsid w:val="00D1704F"/>
    <w:rsid w:val="00D174F9"/>
    <w:rsid w:val="00D17553"/>
    <w:rsid w:val="00D175DC"/>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6D6"/>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D81"/>
    <w:rsid w:val="00D636C3"/>
    <w:rsid w:val="00D6370B"/>
    <w:rsid w:val="00D63DEB"/>
    <w:rsid w:val="00D64680"/>
    <w:rsid w:val="00D64DDD"/>
    <w:rsid w:val="00D65EFD"/>
    <w:rsid w:val="00D66191"/>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23EC"/>
    <w:rsid w:val="00D9275D"/>
    <w:rsid w:val="00D92AA5"/>
    <w:rsid w:val="00D93280"/>
    <w:rsid w:val="00D93B4D"/>
    <w:rsid w:val="00D94CC7"/>
    <w:rsid w:val="00D94DA2"/>
    <w:rsid w:val="00D952AA"/>
    <w:rsid w:val="00D95AF3"/>
    <w:rsid w:val="00D95C02"/>
    <w:rsid w:val="00D96122"/>
    <w:rsid w:val="00D96482"/>
    <w:rsid w:val="00D96648"/>
    <w:rsid w:val="00D9690B"/>
    <w:rsid w:val="00D96BD3"/>
    <w:rsid w:val="00D96E62"/>
    <w:rsid w:val="00D970F7"/>
    <w:rsid w:val="00D972DA"/>
    <w:rsid w:val="00D976D7"/>
    <w:rsid w:val="00D97B18"/>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A7A70"/>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7BE"/>
    <w:rsid w:val="00DC28C1"/>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6DF"/>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A76"/>
    <w:rsid w:val="00E17B7F"/>
    <w:rsid w:val="00E20610"/>
    <w:rsid w:val="00E20952"/>
    <w:rsid w:val="00E20D8B"/>
    <w:rsid w:val="00E20DA1"/>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9AE"/>
    <w:rsid w:val="00E6604E"/>
    <w:rsid w:val="00E668EC"/>
    <w:rsid w:val="00E66923"/>
    <w:rsid w:val="00E66D39"/>
    <w:rsid w:val="00E674CB"/>
    <w:rsid w:val="00E675A9"/>
    <w:rsid w:val="00E6765A"/>
    <w:rsid w:val="00E677B4"/>
    <w:rsid w:val="00E67DA1"/>
    <w:rsid w:val="00E67EBA"/>
    <w:rsid w:val="00E70DA2"/>
    <w:rsid w:val="00E70E38"/>
    <w:rsid w:val="00E71DC7"/>
    <w:rsid w:val="00E71FCC"/>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4728"/>
    <w:rsid w:val="00E851CC"/>
    <w:rsid w:val="00E8526F"/>
    <w:rsid w:val="00E85867"/>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4C5"/>
    <w:rsid w:val="00EC47B8"/>
    <w:rsid w:val="00EC5DFB"/>
    <w:rsid w:val="00EC6C01"/>
    <w:rsid w:val="00EC73E1"/>
    <w:rsid w:val="00EC7747"/>
    <w:rsid w:val="00ED04BC"/>
    <w:rsid w:val="00ED0AD8"/>
    <w:rsid w:val="00ED0B9B"/>
    <w:rsid w:val="00ED24F0"/>
    <w:rsid w:val="00ED2D18"/>
    <w:rsid w:val="00ED2EFD"/>
    <w:rsid w:val="00ED3114"/>
    <w:rsid w:val="00ED346C"/>
    <w:rsid w:val="00ED3FB0"/>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6006"/>
    <w:rsid w:val="00F0625A"/>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85B"/>
    <w:rsid w:val="00F238D0"/>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3FE8"/>
    <w:rsid w:val="00F44597"/>
    <w:rsid w:val="00F44606"/>
    <w:rsid w:val="00F44BEF"/>
    <w:rsid w:val="00F45863"/>
    <w:rsid w:val="00F458C2"/>
    <w:rsid w:val="00F45CE4"/>
    <w:rsid w:val="00F4614B"/>
    <w:rsid w:val="00F46EB6"/>
    <w:rsid w:val="00F478AE"/>
    <w:rsid w:val="00F47BFC"/>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330"/>
    <w:rsid w:val="00FA0C74"/>
    <w:rsid w:val="00FA0D9A"/>
    <w:rsid w:val="00FA10EA"/>
    <w:rsid w:val="00FA137B"/>
    <w:rsid w:val="00FA13C4"/>
    <w:rsid w:val="00FA17DA"/>
    <w:rsid w:val="00FA18F2"/>
    <w:rsid w:val="00FA1DBD"/>
    <w:rsid w:val="00FA255F"/>
    <w:rsid w:val="00FA42D4"/>
    <w:rsid w:val="00FA4BF3"/>
    <w:rsid w:val="00FA4CBA"/>
    <w:rsid w:val="00FA530D"/>
    <w:rsid w:val="00FA5C3C"/>
    <w:rsid w:val="00FA5C73"/>
    <w:rsid w:val="00FA6211"/>
    <w:rsid w:val="00FA6839"/>
    <w:rsid w:val="00FA7F9C"/>
    <w:rsid w:val="00FB125F"/>
    <w:rsid w:val="00FB1656"/>
    <w:rsid w:val="00FB1956"/>
    <w:rsid w:val="00FB2715"/>
    <w:rsid w:val="00FB2BA7"/>
    <w:rsid w:val="00FB3A27"/>
    <w:rsid w:val="00FB3C16"/>
    <w:rsid w:val="00FB3F3D"/>
    <w:rsid w:val="00FB49E3"/>
    <w:rsid w:val="00FB4C8B"/>
    <w:rsid w:val="00FB4EA4"/>
    <w:rsid w:val="00FB5CA2"/>
    <w:rsid w:val="00FB60C7"/>
    <w:rsid w:val="00FB66E2"/>
    <w:rsid w:val="00FB7555"/>
    <w:rsid w:val="00FB7771"/>
    <w:rsid w:val="00FB7B81"/>
    <w:rsid w:val="00FC00B1"/>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B9"/>
    <w:rsid w:val="00FE5490"/>
    <w:rsid w:val="00FE589D"/>
    <w:rsid w:val="00FE6218"/>
    <w:rsid w:val="00FE6733"/>
    <w:rsid w:val="00FE77E6"/>
    <w:rsid w:val="00FE7EA3"/>
    <w:rsid w:val="00FF0373"/>
    <w:rsid w:val="00FF0572"/>
    <w:rsid w:val="00FF08E4"/>
    <w:rsid w:val="00FF0B0C"/>
    <w:rsid w:val="00FF0CC2"/>
    <w:rsid w:val="00FF27E3"/>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9</TotalTime>
  <Pages>7</Pages>
  <Words>1303</Words>
  <Characters>8712</Characters>
  <Application>Microsoft Office Word</Application>
  <DocSecurity>0</DocSecurity>
  <Lines>1089</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11</cp:revision>
  <cp:lastPrinted>2022-10-20T07:43:00Z</cp:lastPrinted>
  <dcterms:created xsi:type="dcterms:W3CDTF">2022-11-17T12:10:00Z</dcterms:created>
  <dcterms:modified xsi:type="dcterms:W3CDTF">2022-11-17T12:16:00Z</dcterms:modified>
</cp:coreProperties>
</file>