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F21C23">
        <w:tblPrEx>
          <w:tblCellMar>
            <w:top w:w="0" w:type="dxa"/>
            <w:bottom w:w="0" w:type="dxa"/>
          </w:tblCellMar>
        </w:tblPrEx>
        <w:trPr>
          <w:cantSplit/>
          <w:trHeight w:hRule="exact" w:val="1260"/>
        </w:trPr>
        <w:tc>
          <w:tcPr>
            <w:tcW w:w="6024" w:type="dxa"/>
            <w:gridSpan w:val="2"/>
            <w:vMerge w:val="restart"/>
          </w:tcPr>
          <w:p w:rsidR="0051551B" w:rsidRPr="00F21C23" w:rsidRDefault="0051551B">
            <w:pPr>
              <w:pStyle w:val="HuvudRubrik"/>
            </w:pPr>
            <w:bookmarkStart w:id="0" w:name="BetänkandeRubrik"/>
            <w:bookmarkEnd w:id="0"/>
            <w:r w:rsidRPr="00F21C23">
              <w:t>Utrikesutskottets betänkande</w:t>
            </w:r>
            <w:r w:rsidR="00F21C23" w:rsidRPr="00F21C2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7812126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51551B" w:rsidRPr="00F21C23" w:rsidRDefault="0051551B">
                                  <w:pPr>
                                    <w:pStyle w:val="Logo"/>
                                  </w:pPr>
                                  <w:r w:rsidRPr="00F21C23">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6024"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51551B" w:rsidRPr="00F21C23" w:rsidRDefault="0051551B">
                            <w:pPr>
                              <w:pStyle w:val="Logo"/>
                            </w:pPr>
                            <w:r w:rsidRPr="00F21C23">
                              <w:object w:dxaOrig="840" w:dyaOrig="1545">
                                <v:shape id="_x0000_i1025" type="#_x0000_t75" style="width:90.45pt;height:77.15pt" fillcolor="window">
                                  <v:imagedata r:id="rId7" o:title="" cropright="-75835f"/>
                                </v:shape>
                                <o:OLEObject Type="Embed" ProgID="Word.Picture.8" ShapeID="_x0000_i1025" DrawAspect="Content" ObjectID="_1827346024" r:id="rId9"/>
                              </w:object>
                            </w:r>
                          </w:p>
                        </w:txbxContent>
                      </v:textbox>
                      <w10:wrap anchorx="page" anchory="page"/>
                    </v:shape>
                  </w:pict>
                </mc:Fallback>
              </mc:AlternateContent>
            </w:r>
          </w:p>
          <w:p w:rsidR="0051551B" w:rsidRPr="00F21C23" w:rsidRDefault="0051551B">
            <w:pPr>
              <w:pStyle w:val="HuvudRubrikRad2"/>
            </w:pPr>
            <w:bookmarkStart w:id="17" w:name="BetänkandeNr"/>
            <w:bookmarkEnd w:id="17"/>
            <w:r w:rsidRPr="00F21C23">
              <w:t>1999/2000:UU13</w:t>
            </w:r>
          </w:p>
          <w:p w:rsidR="0051551B" w:rsidRPr="00F21C23" w:rsidRDefault="0051551B">
            <w:pPr>
              <w:pStyle w:val="BetnkandeRubrik"/>
            </w:pPr>
            <w:bookmarkStart w:id="18" w:name="Huvudrubrik"/>
            <w:bookmarkEnd w:id="18"/>
            <w:r w:rsidRPr="00F21C23">
              <w:t>Effektiv kontroll för att hindra spridning av</w:t>
            </w:r>
            <w:r w:rsidRPr="00F21C23">
              <w:br/>
              <w:t>kärnv</w:t>
            </w:r>
            <w:r w:rsidRPr="00F21C23">
              <w:t>a</w:t>
            </w:r>
            <w:r w:rsidRPr="00F21C23">
              <w:t>pen</w:t>
            </w:r>
          </w:p>
        </w:tc>
        <w:tc>
          <w:tcPr>
            <w:tcW w:w="1559" w:type="dxa"/>
            <w:tcBorders>
              <w:bottom w:val="nil"/>
            </w:tcBorders>
          </w:tcPr>
          <w:p w:rsidR="0051551B" w:rsidRPr="00F21C23" w:rsidRDefault="0051551B">
            <w:pPr>
              <w:spacing w:before="0" w:line="230" w:lineRule="auto"/>
              <w:rPr>
                <w:sz w:val="24"/>
              </w:rPr>
            </w:pPr>
          </w:p>
        </w:tc>
      </w:tr>
      <w:tr w:rsidR="00000000" w:rsidRPr="00F21C23">
        <w:tblPrEx>
          <w:tblCellMar>
            <w:top w:w="0" w:type="dxa"/>
            <w:bottom w:w="0" w:type="dxa"/>
          </w:tblCellMar>
        </w:tblPrEx>
        <w:trPr>
          <w:cantSplit/>
          <w:trHeight w:hRule="exact" w:val="240"/>
        </w:trPr>
        <w:tc>
          <w:tcPr>
            <w:tcW w:w="6024" w:type="dxa"/>
            <w:gridSpan w:val="2"/>
            <w:vMerge/>
            <w:tcBorders>
              <w:top w:val="nil"/>
              <w:bottom w:val="nil"/>
            </w:tcBorders>
          </w:tcPr>
          <w:p w:rsidR="0051551B" w:rsidRPr="00F21C23" w:rsidRDefault="0051551B">
            <w:pPr>
              <w:spacing w:before="40" w:after="900" w:line="280" w:lineRule="exact"/>
              <w:jc w:val="left"/>
              <w:rPr>
                <w:sz w:val="28"/>
              </w:rPr>
            </w:pPr>
          </w:p>
        </w:tc>
        <w:tc>
          <w:tcPr>
            <w:tcW w:w="1559" w:type="dxa"/>
          </w:tcPr>
          <w:p w:rsidR="0051551B" w:rsidRPr="00F21C23" w:rsidRDefault="0051551B">
            <w:pPr>
              <w:pStyle w:val="rtal"/>
            </w:pPr>
            <w:r w:rsidRPr="00F21C23">
              <w:t>1999/2000</w:t>
            </w:r>
          </w:p>
        </w:tc>
      </w:tr>
      <w:tr w:rsidR="00000000" w:rsidRPr="00F21C23">
        <w:tblPrEx>
          <w:tblCellMar>
            <w:top w:w="0" w:type="dxa"/>
            <w:bottom w:w="0" w:type="dxa"/>
          </w:tblCellMar>
        </w:tblPrEx>
        <w:trPr>
          <w:cantSplit/>
          <w:trHeight w:val="560"/>
        </w:trPr>
        <w:tc>
          <w:tcPr>
            <w:tcW w:w="6024" w:type="dxa"/>
            <w:gridSpan w:val="2"/>
            <w:vMerge/>
            <w:tcBorders>
              <w:top w:val="nil"/>
              <w:bottom w:val="single" w:sz="6" w:space="0" w:color="auto"/>
            </w:tcBorders>
          </w:tcPr>
          <w:p w:rsidR="0051551B" w:rsidRPr="00F21C23" w:rsidRDefault="0051551B">
            <w:pPr>
              <w:spacing w:before="40" w:after="900" w:line="280" w:lineRule="exact"/>
              <w:jc w:val="left"/>
              <w:rPr>
                <w:sz w:val="28"/>
              </w:rPr>
            </w:pPr>
          </w:p>
        </w:tc>
        <w:tc>
          <w:tcPr>
            <w:tcW w:w="1559" w:type="dxa"/>
            <w:tcBorders>
              <w:bottom w:val="single" w:sz="6" w:space="0" w:color="auto"/>
            </w:tcBorders>
          </w:tcPr>
          <w:p w:rsidR="0051551B" w:rsidRPr="00F21C23" w:rsidRDefault="0051551B">
            <w:pPr>
              <w:pStyle w:val="rtal"/>
            </w:pPr>
            <w:r w:rsidRPr="00F21C23">
              <w:t>UU13</w:t>
            </w:r>
          </w:p>
        </w:tc>
      </w:tr>
      <w:tr w:rsidR="00000000" w:rsidRPr="00F21C23">
        <w:tblPrEx>
          <w:tblCellMar>
            <w:top w:w="0" w:type="dxa"/>
            <w:bottom w:w="0" w:type="dxa"/>
          </w:tblCellMar>
        </w:tblPrEx>
        <w:trPr>
          <w:cantSplit/>
          <w:trHeight w:hRule="exact" w:val="660"/>
        </w:trPr>
        <w:tc>
          <w:tcPr>
            <w:tcW w:w="3012" w:type="dxa"/>
          </w:tcPr>
          <w:p w:rsidR="0051551B" w:rsidRPr="00F21C23" w:rsidRDefault="0051551B">
            <w:pPr>
              <w:pStyle w:val="StatusSida1"/>
            </w:pPr>
          </w:p>
        </w:tc>
        <w:tc>
          <w:tcPr>
            <w:tcW w:w="3012" w:type="dxa"/>
          </w:tcPr>
          <w:p w:rsidR="0051551B" w:rsidRPr="00F21C23" w:rsidRDefault="0051551B">
            <w:pPr>
              <w:pStyle w:val="UtskriftsdatumSida1"/>
              <w:rPr>
                <w:b/>
                <w:sz w:val="28"/>
              </w:rPr>
            </w:pPr>
          </w:p>
        </w:tc>
        <w:tc>
          <w:tcPr>
            <w:tcW w:w="1559" w:type="dxa"/>
          </w:tcPr>
          <w:p w:rsidR="0051551B" w:rsidRPr="00F21C23" w:rsidRDefault="0051551B"/>
        </w:tc>
      </w:tr>
    </w:tbl>
    <w:p w:rsidR="0051551B" w:rsidRPr="00F21C23" w:rsidRDefault="0051551B">
      <w:pPr>
        <w:pStyle w:val="Rubrik1"/>
        <w:spacing w:before="0"/>
      </w:pPr>
      <w:bookmarkStart w:id="19" w:name="_Toc477937104"/>
      <w:r w:rsidRPr="00F21C23">
        <w:t>Sammanfattning</w:t>
      </w:r>
      <w:bookmarkEnd w:id="19"/>
    </w:p>
    <w:p w:rsidR="0051551B" w:rsidRPr="00F21C23" w:rsidRDefault="0051551B">
      <w:bookmarkStart w:id="20" w:name="Textstart"/>
      <w:bookmarkEnd w:id="20"/>
      <w:r w:rsidRPr="00F21C23">
        <w:t>Utskottet tillstyrker i detta betänkande regeringens proposition 1999/2000:54 Effektiv kontroll för att hindra spridning av kärnvapen om a) godkännande av ett tilläggsprotokoll till avtalet i fördraget om förhindrande av spridning av kärnvapen, b) en ny lag om inspektioner enligt internationella avtal om förhindrande av spridning av kärnvapen samt c) lag om ändring i lagen (1984:3) om kärnteknisk verksamhet.</w:t>
      </w:r>
    </w:p>
    <w:p w:rsidR="0051551B" w:rsidRPr="00F21C23" w:rsidRDefault="0051551B">
      <w:r w:rsidRPr="00F21C23">
        <w:t>Inga motioner har väckts med anledning av propositionen.</w:t>
      </w:r>
    </w:p>
    <w:p w:rsidR="0051551B" w:rsidRPr="00F21C23" w:rsidRDefault="0051551B">
      <w:pPr>
        <w:pStyle w:val="Rubrik1"/>
      </w:pPr>
      <w:bookmarkStart w:id="21" w:name="_Toc477937105"/>
      <w:r w:rsidRPr="00F21C23">
        <w:t>Propositionen</w:t>
      </w:r>
      <w:bookmarkEnd w:id="21"/>
    </w:p>
    <w:p w:rsidR="0051551B" w:rsidRPr="00F21C23" w:rsidRDefault="0051551B">
      <w:r w:rsidRPr="00F21C23">
        <w:t>Regeringen föreslår i proposition 1999/2000:54 att riksdagen</w:t>
      </w:r>
    </w:p>
    <w:p w:rsidR="0051551B" w:rsidRPr="00F21C23" w:rsidRDefault="0051551B">
      <w:pPr>
        <w:pStyle w:val="Normaltindrag"/>
      </w:pPr>
      <w:r w:rsidRPr="00F21C23">
        <w:t>1. godkänner tilläggsprotokollet av den 22 september 1998 till avtalet mellan Belgien, Danmark, Finland, Grekland, Irland, Italien, Luxemburg, Nederländerna, Portugal, Spanien, Sverige, Tyskland, Österrike, Europeiska atomenergigemenskapen och Internationella atomenergiorganet rörande tillämpningen av artikel III.1 och III.4 i fördraget om förhindrande av spri</w:t>
      </w:r>
      <w:r w:rsidRPr="00F21C23">
        <w:t>d</w:t>
      </w:r>
      <w:r w:rsidRPr="00F21C23">
        <w:t xml:space="preserve">ning av kärnvapen, </w:t>
      </w:r>
    </w:p>
    <w:p w:rsidR="0051551B" w:rsidRPr="00F21C23" w:rsidRDefault="0051551B">
      <w:pPr>
        <w:pStyle w:val="Normaltindrag"/>
      </w:pPr>
      <w:r w:rsidRPr="00F21C23">
        <w:t xml:space="preserve">2. antar regeringens förslag till lag om inspektioner enligt internationella avtal om förhindrande av spridning av kärnvapen, </w:t>
      </w:r>
    </w:p>
    <w:p w:rsidR="0051551B" w:rsidRPr="00F21C23" w:rsidRDefault="0051551B">
      <w:pPr>
        <w:pStyle w:val="Normaltindrag"/>
      </w:pPr>
      <w:r w:rsidRPr="00F21C23">
        <w:t>3. antar regeringens förslag till lag om ändring i lagen (1984:3) om kär</w:t>
      </w:r>
      <w:r w:rsidRPr="00F21C23">
        <w:t>n</w:t>
      </w:r>
      <w:r w:rsidRPr="00F21C23">
        <w:t>teknisk verksamhet.</w:t>
      </w:r>
    </w:p>
    <w:p w:rsidR="0051551B" w:rsidRPr="00F21C23" w:rsidRDefault="0051551B">
      <w:pPr>
        <w:pStyle w:val="Rubrik1"/>
      </w:pPr>
      <w:bookmarkStart w:id="22" w:name="_Toc477937106"/>
      <w:r w:rsidRPr="00F21C23">
        <w:t>Utskottet</w:t>
      </w:r>
      <w:bookmarkEnd w:id="22"/>
    </w:p>
    <w:p w:rsidR="0051551B" w:rsidRPr="00F21C23" w:rsidRDefault="0051551B">
      <w:pPr>
        <w:pStyle w:val="Rubrik2"/>
        <w:spacing w:before="123"/>
      </w:pPr>
      <w:bookmarkStart w:id="23" w:name="_Toc477937107"/>
      <w:r w:rsidRPr="00F21C23">
        <w:t>Propositionens huvudsakliga innehåll</w:t>
      </w:r>
      <w:bookmarkEnd w:id="23"/>
    </w:p>
    <w:p w:rsidR="0051551B" w:rsidRPr="00F21C23" w:rsidRDefault="0051551B">
      <w:r w:rsidRPr="00F21C23">
        <w:t>Genom Fördraget om förhindrande av spridning av kärnvapen har Sve</w:t>
      </w:r>
      <w:r w:rsidRPr="00F21C23">
        <w:softHyphen/>
        <w:t>rige åtagit sig att acceptera kontroller enligt ett särskilt avtal om kontroll av kä</w:t>
      </w:r>
      <w:r w:rsidRPr="00F21C23">
        <w:t>r</w:t>
      </w:r>
      <w:r w:rsidRPr="00F21C23">
        <w:t>n-</w:t>
      </w:r>
      <w:r w:rsidRPr="00F21C23">
        <w:br/>
        <w:t>ämnen. I propositionen föreslås att riksdagen godkänner Sve</w:t>
      </w:r>
      <w:r w:rsidRPr="00F21C23">
        <w:softHyphen/>
        <w:t>riges tillträde till ett tilläggsprotokoll till kontrollavtalet.</w:t>
      </w:r>
    </w:p>
    <w:p w:rsidR="0051551B" w:rsidRPr="00F21C23" w:rsidRDefault="0051551B">
      <w:pPr>
        <w:pStyle w:val="Normaltindrag"/>
      </w:pPr>
      <w:r w:rsidRPr="00F21C23">
        <w:t>Svenska bestämmelser om verksamheter som avses i protokollet finns i l</w:t>
      </w:r>
      <w:r w:rsidRPr="00F21C23">
        <w:t>a</w:t>
      </w:r>
      <w:r w:rsidRPr="00F21C23">
        <w:t xml:space="preserve">gen (1984:3) om kärnteknisk verksamhet (kärntekniklagen) och i lagen (1998:397) om strategiska produkter. Protokollet innebär ett åtagande att ge Internationella atomenergiorganet (IAEA) tillträde till platser som IAEA </w:t>
      </w:r>
      <w:r w:rsidRPr="00F21C23">
        <w:lastRenderedPageBreak/>
        <w:t>pekar ut för kontroll av att det inte förekommer någon odeklarerad verksa</w:t>
      </w:r>
      <w:r w:rsidRPr="00F21C23">
        <w:t>m</w:t>
      </w:r>
      <w:r w:rsidRPr="00F21C23">
        <w:t>het. Det kan alltså bli fråga om inspektion hos ett rättssubjekt som inte bedr</w:t>
      </w:r>
      <w:r w:rsidRPr="00F21C23">
        <w:t>i</w:t>
      </w:r>
      <w:r w:rsidRPr="00F21C23">
        <w:t>ver någon verksamhet som omfattas av kärntekniklagen. Därför föreslås en ny lag, lag om in</w:t>
      </w:r>
      <w:r w:rsidRPr="00F21C23">
        <w:softHyphen/>
        <w:t>spektioner enligt inter</w:t>
      </w:r>
      <w:r w:rsidRPr="00F21C23">
        <w:softHyphen/>
        <w:t>nationella avtal om förh</w:t>
      </w:r>
      <w:r w:rsidRPr="00F21C23">
        <w:t>indrande av spridning av kärnvapen. Lagen bemyndigar reger</w:t>
      </w:r>
      <w:r w:rsidRPr="00F21C23">
        <w:softHyphen/>
        <w:t>ingen att fatta de beslut som en in</w:t>
      </w:r>
      <w:r w:rsidRPr="00F21C23">
        <w:softHyphen/>
        <w:t>spek</w:t>
      </w:r>
      <w:r w:rsidRPr="00F21C23">
        <w:softHyphen/>
        <w:t>tion kan föranleda.</w:t>
      </w:r>
    </w:p>
    <w:p w:rsidR="0051551B" w:rsidRPr="00F21C23" w:rsidRDefault="0051551B">
      <w:pPr>
        <w:pStyle w:val="Normaltindrag"/>
      </w:pPr>
      <w:r w:rsidRPr="00F21C23">
        <w:t>Tillträdet nödvändiggör också vissa ändringar i kärnteknikla</w:t>
      </w:r>
      <w:r w:rsidRPr="00F21C23">
        <w:softHyphen/>
        <w:t>gen. Detta gäller verksamheter med kärnämnen, verksamheter med kärn</w:t>
      </w:r>
      <w:r w:rsidRPr="00F21C23">
        <w:softHyphen/>
        <w:t>tek</w:t>
      </w:r>
      <w:r w:rsidRPr="00F21C23">
        <w:softHyphen/>
        <w:t>nisk ut</w:t>
      </w:r>
      <w:r w:rsidRPr="00F21C23">
        <w:softHyphen/>
        <w:t>rustning samt forsknings- och utvecklingsverksamheter som har anknyt</w:t>
      </w:r>
      <w:r w:rsidRPr="00F21C23">
        <w:softHyphen/>
        <w:t>ning till kärnämneshante</w:t>
      </w:r>
      <w:r w:rsidRPr="00F21C23">
        <w:softHyphen/>
        <w:t>ring. Befintliga bestämmelser behöver komplet</w:t>
      </w:r>
      <w:r w:rsidRPr="00F21C23">
        <w:softHyphen/>
        <w:t>teras så att Sverige skall kunna uppfylla sina åtaganden om att lämna in</w:t>
      </w:r>
      <w:r w:rsidRPr="00F21C23">
        <w:softHyphen/>
        <w:t>formation till IAEA och ge IAEA tillträde för inspektioner. Änd</w:t>
      </w:r>
      <w:r w:rsidRPr="00F21C23">
        <w:softHyphen/>
        <w:t>ringarna innebär att ver</w:t>
      </w:r>
      <w:r w:rsidRPr="00F21C23">
        <w:t>k</w:t>
      </w:r>
      <w:r w:rsidRPr="00F21C23">
        <w:t>samhe</w:t>
      </w:r>
      <w:r w:rsidRPr="00F21C23">
        <w:softHyphen/>
        <w:t>ter som avses i protokollet omfattas av anmäl</w:t>
      </w:r>
      <w:r w:rsidRPr="00F21C23">
        <w:softHyphen/>
        <w:t>ningsplikt samt skyldi</w:t>
      </w:r>
      <w:r w:rsidRPr="00F21C23">
        <w:t>g</w:t>
      </w:r>
      <w:r w:rsidRPr="00F21C23">
        <w:t>het att lämna upp</w:t>
      </w:r>
      <w:r w:rsidRPr="00F21C23">
        <w:softHyphen/>
        <w:t>lysningar till tillsynsmyn</w:t>
      </w:r>
      <w:r w:rsidRPr="00F21C23">
        <w:softHyphen/>
        <w:t>dighe</w:t>
      </w:r>
      <w:r w:rsidRPr="00F21C23">
        <w:softHyphen/>
        <w:t>ten</w:t>
      </w:r>
      <w:r w:rsidRPr="00F21C23">
        <w:t xml:space="preserve"> och ge den tillträde för kontroll. Sistnämnda skyldigheter före</w:t>
      </w:r>
      <w:r w:rsidRPr="00F21C23">
        <w:softHyphen/>
        <w:t>slås också kunna bli gällande gentemot IAEA:s inspektörer.</w:t>
      </w:r>
    </w:p>
    <w:p w:rsidR="0051551B" w:rsidRPr="00F21C23" w:rsidRDefault="0051551B">
      <w:pPr>
        <w:pStyle w:val="Normaltindrag"/>
      </w:pPr>
      <w:r w:rsidRPr="00F21C23">
        <w:t>Lagstiftningen föreslås träda i kraft den dag regeringen bestämmer.</w:t>
      </w:r>
    </w:p>
    <w:p w:rsidR="0051551B" w:rsidRPr="00F21C23" w:rsidRDefault="0051551B">
      <w:pPr>
        <w:pStyle w:val="Rubrik2"/>
      </w:pPr>
      <w:bookmarkStart w:id="24" w:name="_Toc477937108"/>
      <w:r w:rsidRPr="00F21C23">
        <w:t>Utskottets överväganden</w:t>
      </w:r>
      <w:bookmarkEnd w:id="24"/>
    </w:p>
    <w:p w:rsidR="0051551B" w:rsidRPr="00F21C23" w:rsidRDefault="0051551B">
      <w:pPr>
        <w:pStyle w:val="Brdtext2"/>
        <w:rPr>
          <w:u w:val="none"/>
        </w:rPr>
      </w:pPr>
      <w:r w:rsidRPr="00F21C23">
        <w:rPr>
          <w:u w:val="none"/>
        </w:rPr>
        <w:t>Utskottet tillstyrker regeringens förslag om godkännande av tilläggsprot</w:t>
      </w:r>
      <w:r w:rsidRPr="00F21C23">
        <w:rPr>
          <w:u w:val="none"/>
        </w:rPr>
        <w:t>o</w:t>
      </w:r>
      <w:r w:rsidRPr="00F21C23">
        <w:rPr>
          <w:u w:val="none"/>
        </w:rPr>
        <w:t>kollet till kontrollavtalet om förhindrande av spridning av kärnvapen och om en ny lag om inspektioner enligt internationella avtal i samma ärende. U</w:t>
      </w:r>
      <w:r w:rsidRPr="00F21C23">
        <w:rPr>
          <w:u w:val="none"/>
        </w:rPr>
        <w:t>t</w:t>
      </w:r>
      <w:r w:rsidRPr="00F21C23">
        <w:rPr>
          <w:u w:val="none"/>
        </w:rPr>
        <w:t xml:space="preserve">skottet tillstyrker även regeringens förslag om lag om ändring i lagen (1984:3) om kärnteknisk verksamhet. </w:t>
      </w:r>
    </w:p>
    <w:p w:rsidR="0051551B" w:rsidRPr="00F21C23" w:rsidRDefault="0051551B">
      <w:pPr>
        <w:pStyle w:val="Brdtext2"/>
        <w:rPr>
          <w:u w:val="none"/>
        </w:rPr>
      </w:pPr>
      <w:r w:rsidRPr="00F21C23">
        <w:rPr>
          <w:u w:val="none"/>
        </w:rPr>
        <w:t>Enligt utskottets bedömning kan, vid tillämpningen av den föreslagna lagen om inspektioner enligt internationella avtal om förhindrande av spridning av kärnvapen, situationer tänkas uppkomma som innebär att förvaltningsuppgift innefattande myndighetsutö</w:t>
      </w:r>
      <w:r w:rsidRPr="00F21C23">
        <w:rPr>
          <w:u w:val="none"/>
        </w:rPr>
        <w:t>vning överlåts till mellanfolklig organisation. Riksdagens beslut (utskottets hemställan, punkterna 1 och 2) om godkänna</w:t>
      </w:r>
      <w:r w:rsidRPr="00F21C23">
        <w:rPr>
          <w:u w:val="none"/>
        </w:rPr>
        <w:t>n</w:t>
      </w:r>
      <w:r w:rsidRPr="00F21C23">
        <w:rPr>
          <w:u w:val="none"/>
        </w:rPr>
        <w:t>de av tilläggsprotokollet till kontrollavtalet om förhindrande av spridning av kärnvapen och om lagförslaget i berörd del (4 §) bör därför fattas i enlighet med bestämmelserna i regering</w:t>
      </w:r>
      <w:r w:rsidRPr="00F21C23">
        <w:rPr>
          <w:u w:val="none"/>
        </w:rPr>
        <w:t>s</w:t>
      </w:r>
      <w:r w:rsidRPr="00F21C23">
        <w:rPr>
          <w:u w:val="none"/>
        </w:rPr>
        <w:t>formen 10 kap. 5 § fjärde stycket.</w:t>
      </w:r>
    </w:p>
    <w:p w:rsidR="0051551B" w:rsidRPr="00F21C23" w:rsidRDefault="0051551B">
      <w:pPr>
        <w:pStyle w:val="Rubrik2"/>
      </w:pPr>
      <w:bookmarkStart w:id="25" w:name="_Toc477937109"/>
      <w:r w:rsidRPr="00F21C23">
        <w:t>Hemställan</w:t>
      </w:r>
      <w:bookmarkEnd w:id="25"/>
    </w:p>
    <w:p w:rsidR="0051551B" w:rsidRPr="00F21C23" w:rsidRDefault="0051551B">
      <w:r w:rsidRPr="00F21C23">
        <w:t>Utskottet hemställer</w:t>
      </w:r>
    </w:p>
    <w:p w:rsidR="0051551B" w:rsidRPr="00F21C23" w:rsidRDefault="0051551B">
      <w:pPr>
        <w:pStyle w:val="hembetr"/>
        <w:ind w:left="680" w:firstLine="0"/>
      </w:pPr>
      <w:r w:rsidRPr="00F21C23">
        <w:t xml:space="preserve">1. beträffande </w:t>
      </w:r>
      <w:r w:rsidRPr="00F21C23">
        <w:rPr>
          <w:i/>
        </w:rPr>
        <w:t xml:space="preserve">tilläggsprotokoll om förhindrande av spridning av kärnvapen </w:t>
      </w:r>
    </w:p>
    <w:p w:rsidR="0051551B" w:rsidRPr="00F21C23" w:rsidRDefault="0051551B">
      <w:pPr>
        <w:pStyle w:val="hemtext"/>
      </w:pPr>
      <w:r w:rsidRPr="00F21C23">
        <w:t>att riksdagen godkänner tilläggsprotokollet av den 22 september 1998 till avtalet mellan Belgien, Danmark, Finland, Grekland, Irland, Ital</w:t>
      </w:r>
      <w:r w:rsidRPr="00F21C23">
        <w:t>i</w:t>
      </w:r>
      <w:r w:rsidRPr="00F21C23">
        <w:t>en, Luxemburg, Nederländerna, Portugal, Spanien, Sverige, Tyskland, Österrike, Europeiska atomenergigemenskapen och Internationella atomenergiorganet rörande tillämpningen av artikel III.1 och III.4 i fördraget om förhindrande av spridning av kärnv</w:t>
      </w:r>
      <w:r w:rsidRPr="00F21C23">
        <w:t>a</w:t>
      </w:r>
      <w:r w:rsidRPr="00F21C23">
        <w:t>pen,</w:t>
      </w:r>
      <w:bookmarkStart w:id="26" w:name="RESPARTI001"/>
      <w:bookmarkEnd w:id="26"/>
    </w:p>
    <w:p w:rsidR="0051551B" w:rsidRPr="00F21C23" w:rsidRDefault="0051551B">
      <w:pPr>
        <w:pStyle w:val="hembetr"/>
        <w:rPr>
          <w:i/>
        </w:rPr>
      </w:pPr>
      <w:r w:rsidRPr="00F21C23">
        <w:br w:type="page"/>
        <w:t xml:space="preserve">2. beträffande </w:t>
      </w:r>
      <w:r w:rsidRPr="00F21C23">
        <w:rPr>
          <w:i/>
        </w:rPr>
        <w:t>4 § i ny lag om inspektioner enligt internationella avtal om förhindrande av spridning av kärnvapen</w:t>
      </w:r>
    </w:p>
    <w:p w:rsidR="0051551B" w:rsidRPr="00F21C23" w:rsidRDefault="0051551B">
      <w:pPr>
        <w:pStyle w:val="hemtext"/>
      </w:pPr>
      <w:r w:rsidRPr="00F21C23">
        <w:t>att riksdagen antar regeringens förslag om ny lag om inspektioner e</w:t>
      </w:r>
      <w:r w:rsidRPr="00F21C23">
        <w:t>n</w:t>
      </w:r>
      <w:r w:rsidRPr="00F21C23">
        <w:t>ligt internationella avtal om förhindrande av spridning av kärnvapen såvitt avser 4 §,</w:t>
      </w:r>
    </w:p>
    <w:p w:rsidR="0051551B" w:rsidRPr="00F21C23" w:rsidRDefault="0051551B">
      <w:pPr>
        <w:pStyle w:val="hembetr"/>
        <w:rPr>
          <w:i/>
        </w:rPr>
      </w:pPr>
      <w:r w:rsidRPr="00F21C23">
        <w:t xml:space="preserve">3. beträffande </w:t>
      </w:r>
      <w:r w:rsidRPr="00F21C23">
        <w:rPr>
          <w:i/>
        </w:rPr>
        <w:t>ny lag om inspektioner enligt internationella avtal om förhindrande av spridning av kärnvapen i övrigt</w:t>
      </w:r>
    </w:p>
    <w:p w:rsidR="0051551B" w:rsidRPr="00F21C23" w:rsidRDefault="0051551B">
      <w:pPr>
        <w:pStyle w:val="hemtext"/>
      </w:pPr>
      <w:r w:rsidRPr="00F21C23">
        <w:t>att riksdagen antar regeringens förslag om ny lag om inspektioner e</w:t>
      </w:r>
      <w:r w:rsidRPr="00F21C23">
        <w:t>n</w:t>
      </w:r>
      <w:r w:rsidRPr="00F21C23">
        <w:t>ligt internationella avtal om förhindrande av spridning av kärnvapen såvitt avser förslaget i övrigt,</w:t>
      </w:r>
    </w:p>
    <w:p w:rsidR="0051551B" w:rsidRPr="00F21C23" w:rsidRDefault="0051551B">
      <w:pPr>
        <w:pStyle w:val="hembetr"/>
      </w:pPr>
      <w:r w:rsidRPr="00F21C23">
        <w:t xml:space="preserve">4. beträffande </w:t>
      </w:r>
      <w:r w:rsidRPr="00F21C23">
        <w:rPr>
          <w:i/>
        </w:rPr>
        <w:t>lag om ändring i lagen (1984:3) om kärnteknisk ver</w:t>
      </w:r>
      <w:r w:rsidRPr="00F21C23">
        <w:rPr>
          <w:i/>
        </w:rPr>
        <w:t>k</w:t>
      </w:r>
      <w:r w:rsidRPr="00F21C23">
        <w:rPr>
          <w:i/>
        </w:rPr>
        <w:t>samhet</w:t>
      </w:r>
    </w:p>
    <w:p w:rsidR="0051551B" w:rsidRPr="00F21C23" w:rsidRDefault="0051551B">
      <w:pPr>
        <w:pStyle w:val="hemtext"/>
      </w:pPr>
      <w:r w:rsidRPr="00F21C23">
        <w:t>att riksdagen antar regeringens förslag till lag om ändring i lagen (1984:3) om kärnteknisk verksamhet.</w:t>
      </w:r>
    </w:p>
    <w:p w:rsidR="0051551B" w:rsidRPr="00F21C23" w:rsidRDefault="0051551B">
      <w:pPr>
        <w:pStyle w:val="hemtext"/>
        <w:ind w:left="0"/>
      </w:pPr>
    </w:p>
    <w:p w:rsidR="0051551B" w:rsidRPr="00F21C23" w:rsidRDefault="0051551B">
      <w:pPr>
        <w:pStyle w:val="Stockholm"/>
      </w:pPr>
      <w:bookmarkStart w:id="27" w:name="Nästa_Hpunkt"/>
      <w:bookmarkEnd w:id="27"/>
      <w:r w:rsidRPr="00F21C23">
        <w:t>Stockholm den 9 mars 2000</w:t>
      </w:r>
    </w:p>
    <w:p w:rsidR="0051551B" w:rsidRPr="00F21C23" w:rsidRDefault="0051551B">
      <w:pPr>
        <w:pStyle w:val="Vgnar"/>
      </w:pPr>
      <w:r w:rsidRPr="00F21C23">
        <w:t>På utrikesutskottets vägnar</w:t>
      </w:r>
    </w:p>
    <w:p w:rsidR="0051551B" w:rsidRPr="00F21C23" w:rsidRDefault="0051551B">
      <w:pPr>
        <w:pStyle w:val="Ordfnamn"/>
      </w:pPr>
      <w:bookmarkStart w:id="28" w:name="Ordförande"/>
      <w:bookmarkEnd w:id="28"/>
      <w:r w:rsidRPr="00F21C23">
        <w:t xml:space="preserve">Viola Furubjelke </w:t>
      </w:r>
    </w:p>
    <w:p w:rsidR="0051551B" w:rsidRPr="00F21C23" w:rsidRDefault="0051551B">
      <w:pPr>
        <w:pStyle w:val="Deltagare"/>
      </w:pPr>
      <w:bookmarkStart w:id="29" w:name="Deltagare"/>
      <w:bookmarkEnd w:id="29"/>
      <w:r w:rsidRPr="00F21C23">
        <w:t>I beslutet har deltagit: Viola Furubjelke (s), Berndt Ekholm (s), Bertil Per</w:t>
      </w:r>
      <w:r w:rsidRPr="00F21C23">
        <w:t>s</w:t>
      </w:r>
      <w:r w:rsidRPr="00F21C23">
        <w:t>son (m), Liselotte Wågö (m), Carina Hägg (s), Agneta Brendt (s), Murad Artin (v), Jan Erik Ågren (kd), Sten Tolgfors (m), Marianne Samuelsson (mp), Marianne Andersson (c), Karl-Göran Biörsmark (fp), Marianne Jön</w:t>
      </w:r>
      <w:r w:rsidRPr="00F21C23">
        <w:t>s</w:t>
      </w:r>
      <w:r w:rsidRPr="00F21C23">
        <w:t>son (s), Karin Enström (m), Birgitta Ahlqvist (s) och Fanny Rizell (kd).</w:t>
      </w:r>
    </w:p>
    <w:p w:rsidR="0051551B" w:rsidRPr="00F21C23" w:rsidRDefault="0051551B">
      <w:pPr>
        <w:pStyle w:val="Rubrik1"/>
      </w:pPr>
    </w:p>
    <w:p w:rsidR="0051551B" w:rsidRPr="00F21C23" w:rsidRDefault="0051551B">
      <w:pPr>
        <w:sectPr w:rsidR="00000000" w:rsidRPr="00F21C23">
          <w:headerReference w:type="default" r:id="rId10"/>
          <w:footerReference w:type="default" r:id="rId11"/>
          <w:pgSz w:w="11906" w:h="16838" w:code="9"/>
          <w:pgMar w:top="567" w:right="4876" w:bottom="4508" w:left="1134" w:header="227" w:footer="227" w:gutter="0"/>
          <w:cols w:space="720"/>
        </w:sectPr>
      </w:pPr>
      <w:bookmarkStart w:id="30" w:name="Nästa_Reservation"/>
      <w:bookmarkEnd w:id="30"/>
    </w:p>
    <w:p w:rsidR="0051551B" w:rsidRPr="00F21C23" w:rsidRDefault="0051551B">
      <w:pPr>
        <w:pStyle w:val="Rubrik1"/>
        <w:spacing w:before="0"/>
      </w:pPr>
      <w:bookmarkStart w:id="31" w:name="_Toc477937110"/>
      <w:r w:rsidRPr="00F21C23">
        <w:t>Propositionens lagförslag</w:t>
      </w:r>
      <w:bookmarkEnd w:id="31"/>
    </w:p>
    <w:p w:rsidR="0051551B" w:rsidRPr="00F21C23" w:rsidRDefault="0051551B">
      <w:r w:rsidRPr="00F21C23">
        <w:t>Regeringen har följande förslag till lagtext.</w:t>
      </w:r>
    </w:p>
    <w:p w:rsidR="0051551B" w:rsidRPr="00F21C23" w:rsidRDefault="0051551B">
      <w:pPr>
        <w:pStyle w:val="R2"/>
      </w:pPr>
      <w:r w:rsidRPr="00F21C23">
        <w:t>1 Förslag till lag om inspektioner enligt internationella avtal om förhindrande av spridning av kärnvapen</w:t>
      </w:r>
    </w:p>
    <w:p w:rsidR="0051551B" w:rsidRPr="00F21C23" w:rsidRDefault="0051551B">
      <w:r w:rsidRPr="00F21C23">
        <w:t>Härigenom föreskrivs följande.</w:t>
      </w:r>
    </w:p>
    <w:p w:rsidR="0051551B" w:rsidRPr="00F21C23" w:rsidRDefault="0051551B">
      <w:pPr>
        <w:pStyle w:val="Normaltindrag"/>
      </w:pPr>
    </w:p>
    <w:p w:rsidR="0051551B" w:rsidRPr="00F21C23" w:rsidRDefault="0051551B">
      <w:pPr>
        <w:spacing w:before="0"/>
      </w:pPr>
      <w:r w:rsidRPr="00F21C23">
        <w:rPr>
          <w:b/>
        </w:rPr>
        <w:t>1 §</w:t>
      </w:r>
      <w:r w:rsidRPr="00F21C23">
        <w:t>    Denna lag gäller inspektioner som avses i avtal som Sverige har in</w:t>
      </w:r>
      <w:r w:rsidRPr="00F21C23">
        <w:softHyphen/>
        <w:t>gått med Internationella atom</w:t>
      </w:r>
      <w:r w:rsidRPr="00F21C23">
        <w:softHyphen/>
        <w:t>energiorganet för kontroll enligt Förenta natione</w:t>
      </w:r>
      <w:r w:rsidRPr="00F21C23">
        <w:t>r</w:t>
      </w:r>
      <w:r w:rsidRPr="00F21C23">
        <w:t>nas fördrag om förhind</w:t>
      </w:r>
      <w:r w:rsidRPr="00F21C23">
        <w:softHyphen/>
        <w:t xml:space="preserve">rande av spridning av kärnvapen. </w:t>
      </w:r>
    </w:p>
    <w:p w:rsidR="0051551B" w:rsidRPr="00F21C23" w:rsidRDefault="0051551B">
      <w:pPr>
        <w:pStyle w:val="Normaltindrag"/>
      </w:pPr>
      <w:r w:rsidRPr="00F21C23">
        <w:t>Bestämmelserna i denna lag gäller inspektioner som inte kan genom</w:t>
      </w:r>
      <w:r w:rsidRPr="00F21C23">
        <w:softHyphen/>
        <w:t>fö</w:t>
      </w:r>
      <w:r w:rsidRPr="00F21C23">
        <w:softHyphen/>
        <w:t>ras med stöd av lagen (1984:3) om kärnteknisk verksamhet.</w:t>
      </w:r>
    </w:p>
    <w:p w:rsidR="0051551B" w:rsidRPr="00F21C23" w:rsidRDefault="0051551B">
      <w:pPr>
        <w:pStyle w:val="Normaltindrag"/>
      </w:pPr>
    </w:p>
    <w:p w:rsidR="0051551B" w:rsidRPr="00F21C23" w:rsidRDefault="0051551B">
      <w:pPr>
        <w:spacing w:before="0"/>
      </w:pPr>
      <w:r w:rsidRPr="00F21C23">
        <w:rPr>
          <w:b/>
        </w:rPr>
        <w:t>2 §</w:t>
      </w:r>
      <w:r w:rsidRPr="00F21C23">
        <w:t>    Om Internationella atomenergiorganet gör anmälan om en inspek</w:t>
      </w:r>
      <w:r w:rsidRPr="00F21C23">
        <w:softHyphen/>
        <w:t>tion som avses i 1 §, skall regeringen fatta beslut om inspektionens ge</w:t>
      </w:r>
      <w:r w:rsidRPr="00F21C23">
        <w:softHyphen/>
        <w:t>nom</w:t>
      </w:r>
      <w:r w:rsidRPr="00F21C23">
        <w:softHyphen/>
        <w:t>för</w:t>
      </w:r>
      <w:r w:rsidRPr="00F21C23">
        <w:softHyphen/>
        <w:t>ande och närmare ange vilka åtgärder som får vidtas enligt 4 §. Reger</w:t>
      </w:r>
      <w:r w:rsidRPr="00F21C23">
        <w:softHyphen/>
        <w:t>ingen skall utse en myndighet som vid behov skall närvara vid in</w:t>
      </w:r>
      <w:r w:rsidRPr="00F21C23">
        <w:softHyphen/>
        <w:t>spektio</w:t>
      </w:r>
      <w:r w:rsidRPr="00F21C23">
        <w:softHyphen/>
        <w:t>nen och bistå en inspektionsgrupp. Om inspektionens omfattning föranle</w:t>
      </w:r>
      <w:r w:rsidRPr="00F21C23">
        <w:softHyphen/>
        <w:t>der det, får flera myndigheter utses.</w:t>
      </w:r>
    </w:p>
    <w:p w:rsidR="0051551B" w:rsidRPr="00F21C23" w:rsidRDefault="0051551B">
      <w:pPr>
        <w:pStyle w:val="Normaltindrag"/>
      </w:pPr>
      <w:r w:rsidRPr="00F21C23">
        <w:t>Om inspektionen kan komma att röra en enskilds rätt, skall den enskil</w:t>
      </w:r>
      <w:r w:rsidRPr="00F21C23">
        <w:softHyphen/>
        <w:t>de ges tillfälle att yttra sig innan regeringen fattar beslut om inspektio</w:t>
      </w:r>
      <w:r w:rsidRPr="00F21C23">
        <w:softHyphen/>
        <w:t>nens g</w:t>
      </w:r>
      <w:r w:rsidRPr="00F21C23">
        <w:t>e</w:t>
      </w:r>
      <w:r w:rsidRPr="00F21C23">
        <w:t>nomförande. Den enskilde behöver dock inte höras, om den tid som står till förfogande inte medger det eller om ett hörande allvarligt skulle för</w:t>
      </w:r>
      <w:r w:rsidRPr="00F21C23">
        <w:softHyphen/>
        <w:t>svåra inspektionens genomförande.</w:t>
      </w:r>
    </w:p>
    <w:p w:rsidR="0051551B" w:rsidRPr="00F21C23" w:rsidRDefault="0051551B">
      <w:pPr>
        <w:pStyle w:val="Normaltindrag"/>
      </w:pPr>
    </w:p>
    <w:p w:rsidR="0051551B" w:rsidRPr="00F21C23" w:rsidRDefault="0051551B">
      <w:pPr>
        <w:spacing w:before="0"/>
      </w:pPr>
      <w:r w:rsidRPr="00F21C23">
        <w:rPr>
          <w:b/>
        </w:rPr>
        <w:t>3 §</w:t>
      </w:r>
      <w:r w:rsidRPr="00F21C23">
        <w:t>    En myndighet som regeringen utsett att närvara vid inspektionen får besluta i frågor som avser verkställighet av regeringens beslut. Myndig</w:t>
      </w:r>
      <w:r w:rsidRPr="00F21C23">
        <w:softHyphen/>
        <w:t>heten skall hänskjuta frågor av särskild vikt till regeringen. En enskild har rätt att få en fråga som rör hans rätt hänskjuten till regeringen.</w:t>
      </w:r>
    </w:p>
    <w:p w:rsidR="0051551B" w:rsidRPr="00F21C23" w:rsidRDefault="0051551B">
      <w:pPr>
        <w:pStyle w:val="Normaltindrag"/>
      </w:pPr>
    </w:p>
    <w:p w:rsidR="0051551B" w:rsidRPr="00F21C23" w:rsidRDefault="0051551B">
      <w:pPr>
        <w:spacing w:before="0"/>
      </w:pPr>
      <w:r w:rsidRPr="00F21C23">
        <w:rPr>
          <w:b/>
        </w:rPr>
        <w:t>4 §</w:t>
      </w:r>
      <w:r w:rsidRPr="00F21C23">
        <w:t>    En inspektion får innefatta</w:t>
      </w:r>
    </w:p>
    <w:p w:rsidR="0051551B" w:rsidRPr="00F21C23" w:rsidRDefault="0051551B">
      <w:pPr>
        <w:pStyle w:val="Normaltindrag"/>
      </w:pPr>
      <w:r w:rsidRPr="00F21C23">
        <w:t>1. att en internationell inspektionsgrupp och observatörer tillsammans med representanter för en svensk myndighet ges tillträde till områden, anläg</w:t>
      </w:r>
      <w:r w:rsidRPr="00F21C23">
        <w:t>g</w:t>
      </w:r>
      <w:r w:rsidRPr="00F21C23">
        <w:t>ningar eller byggnader,</w:t>
      </w:r>
    </w:p>
    <w:p w:rsidR="0051551B" w:rsidRPr="00F21C23" w:rsidRDefault="0051551B">
      <w:pPr>
        <w:pStyle w:val="Normaltindrag"/>
      </w:pPr>
      <w:r w:rsidRPr="00F21C23">
        <w:t>2. att inspektörer tillåts att ta med sig och använda mätapparatur och annan teknisk utrustning för att mäta strålning eller för att i övrigt samla in och registrera uppgifter,</w:t>
      </w:r>
    </w:p>
    <w:p w:rsidR="0051551B" w:rsidRPr="00F21C23" w:rsidRDefault="0051551B">
      <w:pPr>
        <w:pStyle w:val="Normaltindrag"/>
      </w:pPr>
      <w:r w:rsidRPr="00F21C23">
        <w:t>3. att mätningar utförs, att prover tas och att poster av kärnämne räk</w:t>
      </w:r>
      <w:r w:rsidRPr="00F21C23">
        <w:softHyphen/>
        <w:t>nas,</w:t>
      </w:r>
    </w:p>
    <w:p w:rsidR="0051551B" w:rsidRPr="00F21C23" w:rsidRDefault="0051551B">
      <w:pPr>
        <w:pStyle w:val="Normaltindrag"/>
      </w:pPr>
      <w:r w:rsidRPr="00F21C23">
        <w:t>4. att sigill eller annan identifikationsmärkning eller anordningar place</w:t>
      </w:r>
      <w:r w:rsidRPr="00F21C23">
        <w:softHyphen/>
        <w:t>ras på objekt för att påvisa intrång eller annan manipulation,</w:t>
      </w:r>
    </w:p>
    <w:p w:rsidR="0051551B" w:rsidRPr="00F21C23" w:rsidRDefault="0051551B">
      <w:pPr>
        <w:pStyle w:val="Normaltindrag"/>
      </w:pPr>
      <w:r w:rsidRPr="00F21C23">
        <w:t>5. att dokument som har betydelse för kontrollen granskas,</w:t>
      </w:r>
    </w:p>
    <w:p w:rsidR="0051551B" w:rsidRPr="00F21C23" w:rsidRDefault="0051551B">
      <w:pPr>
        <w:pStyle w:val="Normaltindrag"/>
      </w:pPr>
      <w:r w:rsidRPr="00F21C23">
        <w:t>6. andra tekniskt beprövade åtgärder som är godkända av Internatio</w:t>
      </w:r>
      <w:r w:rsidRPr="00F21C23">
        <w:softHyphen/>
        <w:t>nella atomenergiorganets styr</w:t>
      </w:r>
      <w:r w:rsidRPr="00F21C23">
        <w:softHyphen/>
        <w:t>else,</w:t>
      </w:r>
    </w:p>
    <w:p w:rsidR="0051551B" w:rsidRPr="00F21C23" w:rsidRDefault="0051551B">
      <w:pPr>
        <w:pStyle w:val="Normaltindrag"/>
      </w:pPr>
      <w:r w:rsidRPr="00F21C23">
        <w:t>7. att prover och uppgifter förs ut ur landet för undersökning och ana</w:t>
      </w:r>
      <w:r w:rsidRPr="00F21C23">
        <w:softHyphen/>
        <w:t>lys.</w:t>
      </w:r>
    </w:p>
    <w:p w:rsidR="0051551B" w:rsidRPr="00F21C23" w:rsidRDefault="0051551B">
      <w:pPr>
        <w:pStyle w:val="Normaltindrag"/>
      </w:pPr>
      <w:r w:rsidRPr="00F21C23">
        <w:t>En inspektion får inte innefatta tillträde till ett utrymme som utgör nå</w:t>
      </w:r>
      <w:r w:rsidRPr="00F21C23">
        <w:softHyphen/>
        <w:t>gons bostad.</w:t>
      </w:r>
    </w:p>
    <w:p w:rsidR="0051551B" w:rsidRPr="00F21C23" w:rsidRDefault="0051551B">
      <w:pPr>
        <w:pStyle w:val="Normaltindrag"/>
      </w:pPr>
    </w:p>
    <w:p w:rsidR="0051551B" w:rsidRPr="00F21C23" w:rsidRDefault="0051551B">
      <w:pPr>
        <w:spacing w:before="0"/>
      </w:pPr>
      <w:r w:rsidRPr="00F21C23">
        <w:rPr>
          <w:b/>
        </w:rPr>
        <w:t>5 §</w:t>
      </w:r>
      <w:r w:rsidRPr="00F21C23">
        <w:t>    Vid en inspektion får inspektörerna inte vidta åtgärder som äventy</w:t>
      </w:r>
      <w:r w:rsidRPr="00F21C23">
        <w:softHyphen/>
        <w:t>rar säkerheten eller skyddet för människors hälsa eller för miljön. In</w:t>
      </w:r>
      <w:r w:rsidRPr="00F21C23">
        <w:softHyphen/>
        <w:t>spektör</w:t>
      </w:r>
      <w:r w:rsidRPr="00F21C23">
        <w:softHyphen/>
        <w:t>erna får inte heller vidta åtgärder som innebär att den verksamhet som bedrivs på platsen hindras, om inte detta är nödvändigt för att uppnå syftet med inspe</w:t>
      </w:r>
      <w:r w:rsidRPr="00F21C23">
        <w:t>k</w:t>
      </w:r>
      <w:r w:rsidRPr="00F21C23">
        <w:t>tionen.</w:t>
      </w:r>
    </w:p>
    <w:p w:rsidR="0051551B" w:rsidRPr="00F21C23" w:rsidRDefault="0051551B">
      <w:pPr>
        <w:pStyle w:val="Normaltindrag"/>
      </w:pPr>
    </w:p>
    <w:p w:rsidR="0051551B" w:rsidRPr="00F21C23" w:rsidRDefault="0051551B">
      <w:pPr>
        <w:spacing w:before="0"/>
      </w:pPr>
      <w:r w:rsidRPr="00F21C23">
        <w:rPr>
          <w:b/>
        </w:rPr>
        <w:t>6 §</w:t>
      </w:r>
      <w:r w:rsidRPr="00F21C23">
        <w:t>    Om det behövs för att ett beslut enligt denna lag skall kunna verk</w:t>
      </w:r>
      <w:r w:rsidRPr="00F21C23">
        <w:softHyphen/>
        <w:t>ställas, får regeringen eller en myndighet som avses i 2 § första stycket beg</w:t>
      </w:r>
      <w:r w:rsidRPr="00F21C23">
        <w:t>ä</w:t>
      </w:r>
      <w:r w:rsidRPr="00F21C23">
        <w:t>ra biträde av polismyndigheten. En sådan begäran skall ange vilka åt</w:t>
      </w:r>
      <w:r w:rsidRPr="00F21C23">
        <w:softHyphen/>
        <w:t>gärder som behövs. Polismyndigheten skall lämna det bi</w:t>
      </w:r>
      <w:r w:rsidRPr="00F21C23">
        <w:softHyphen/>
        <w:t>träde som be</w:t>
      </w:r>
      <w:r w:rsidRPr="00F21C23">
        <w:softHyphen/>
        <w:t>hövs.</w:t>
      </w:r>
    </w:p>
    <w:p w:rsidR="0051551B" w:rsidRPr="00F21C23" w:rsidRDefault="0051551B">
      <w:pPr>
        <w:pStyle w:val="Normaltindrag"/>
      </w:pPr>
      <w:r w:rsidRPr="00F21C23">
        <w:t>__________</w:t>
      </w:r>
    </w:p>
    <w:p w:rsidR="0051551B" w:rsidRPr="00F21C23" w:rsidRDefault="0051551B">
      <w:pPr>
        <w:pStyle w:val="Normaltindrag"/>
      </w:pPr>
    </w:p>
    <w:p w:rsidR="0051551B" w:rsidRPr="00F21C23" w:rsidRDefault="0051551B">
      <w:pPr>
        <w:pStyle w:val="Normaltindrag"/>
      </w:pPr>
      <w:r w:rsidRPr="00F21C23">
        <w:t>Denna lag träder i kraft den dag regeringen bestämmer.</w:t>
      </w:r>
    </w:p>
    <w:p w:rsidR="0051551B" w:rsidRPr="00F21C23" w:rsidRDefault="0051551B">
      <w:pPr>
        <w:pStyle w:val="R2"/>
      </w:pPr>
      <w:r w:rsidRPr="00F21C23">
        <w:br w:type="page"/>
      </w:r>
      <w:bookmarkStart w:id="32" w:name="_Toc477937111"/>
      <w:r w:rsidRPr="00F21C23">
        <w:t>2 Förslag till lag om ändring i lagen (1984:3) om kärnteknisk verksamhet</w:t>
      </w:r>
      <w:bookmarkEnd w:id="32"/>
    </w:p>
    <w:p w:rsidR="0051551B" w:rsidRPr="00F21C23" w:rsidRDefault="0051551B">
      <w:r w:rsidRPr="00F21C23">
        <w:t>Härigenom föreskrivs i fråga om lagen (1984:3) om kärnteknisk verk</w:t>
      </w:r>
      <w:r w:rsidRPr="00F21C23">
        <w:softHyphen/>
        <w:t>sam</w:t>
      </w:r>
      <w:r w:rsidRPr="00F21C23">
        <w:softHyphen/>
        <w:t>het</w:t>
      </w:r>
    </w:p>
    <w:p w:rsidR="0051551B" w:rsidRPr="00F21C23" w:rsidRDefault="0051551B">
      <w:pPr>
        <w:pStyle w:val="Normaltindrag"/>
      </w:pPr>
      <w:r w:rsidRPr="00F21C23">
        <w:rPr>
          <w:i/>
        </w:rPr>
        <w:t>dels</w:t>
      </w:r>
      <w:r w:rsidRPr="00F21C23">
        <w:t> att 2, 17 och 25 §§ skall ha följande lydelse,</w:t>
      </w:r>
    </w:p>
    <w:p w:rsidR="0051551B" w:rsidRPr="00F21C23" w:rsidRDefault="0051551B">
      <w:pPr>
        <w:pStyle w:val="Normaltindrag"/>
      </w:pPr>
      <w:r w:rsidRPr="00F21C23">
        <w:rPr>
          <w:i/>
        </w:rPr>
        <w:t>dels</w:t>
      </w:r>
      <w:r w:rsidRPr="00F21C23">
        <w:t> att det i lagen skall införas fyra nya paragrafer, 7 a–7 d §§, och nä</w:t>
      </w:r>
      <w:r w:rsidRPr="00F21C23">
        <w:t>r</w:t>
      </w:r>
      <w:r w:rsidRPr="00F21C23">
        <w:t>mast före 7 a § en ny rubrik av följande lydelse.</w:t>
      </w:r>
    </w:p>
    <w:p w:rsidR="0051551B" w:rsidRPr="00F21C23" w:rsidRDefault="0051551B">
      <w:pPr>
        <w:pStyle w:val="Normaltindrag"/>
      </w:pPr>
    </w:p>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rsidRPr="00F21C23">
        <w:tblPrEx>
          <w:tblCellMar>
            <w:top w:w="0" w:type="dxa"/>
            <w:bottom w:w="0" w:type="dxa"/>
          </w:tblCellMar>
        </w:tblPrEx>
        <w:trPr>
          <w:tblHeader/>
        </w:trPr>
        <w:tc>
          <w:tcPr>
            <w:tcW w:w="3118" w:type="dxa"/>
          </w:tcPr>
          <w:p w:rsidR="0051551B" w:rsidRPr="00F21C23" w:rsidRDefault="0051551B">
            <w:pPr>
              <w:pStyle w:val="Normaltindrag"/>
              <w:ind w:firstLine="0"/>
            </w:pPr>
            <w:r w:rsidRPr="00F21C23">
              <w:rPr>
                <w:i/>
              </w:rPr>
              <w:t>Nuvarande lydelse</w:t>
            </w:r>
          </w:p>
        </w:tc>
        <w:tc>
          <w:tcPr>
            <w:tcW w:w="3118" w:type="dxa"/>
          </w:tcPr>
          <w:p w:rsidR="0051551B" w:rsidRPr="00F21C23" w:rsidRDefault="0051551B">
            <w:pPr>
              <w:pStyle w:val="Normaltindrag"/>
              <w:ind w:firstLine="0"/>
              <w:rPr>
                <w:i/>
              </w:rPr>
            </w:pPr>
            <w:r w:rsidRPr="00F21C23">
              <w:rPr>
                <w:i/>
              </w:rPr>
              <w:t>Föreslagen lydelse</w:t>
            </w:r>
          </w:p>
        </w:tc>
      </w:tr>
      <w:tr w:rsidR="00000000" w:rsidRPr="00F21C23">
        <w:tblPrEx>
          <w:tblCellMar>
            <w:top w:w="0" w:type="dxa"/>
            <w:bottom w:w="0" w:type="dxa"/>
          </w:tblCellMar>
        </w:tblPrEx>
        <w:tc>
          <w:tcPr>
            <w:tcW w:w="6236" w:type="dxa"/>
            <w:gridSpan w:val="2"/>
          </w:tcPr>
          <w:p w:rsidR="0051551B" w:rsidRPr="00F21C23" w:rsidRDefault="0051551B">
            <w:pPr>
              <w:pStyle w:val="Normaltindrag"/>
              <w:jc w:val="center"/>
            </w:pPr>
          </w:p>
          <w:p w:rsidR="0051551B" w:rsidRPr="00F21C23" w:rsidRDefault="0051551B">
            <w:pPr>
              <w:pStyle w:val="Normaltindrag"/>
              <w:jc w:val="center"/>
            </w:pPr>
            <w:r w:rsidRPr="00F21C23">
              <w:t>2 §</w:t>
            </w:r>
          </w:p>
        </w:tc>
      </w:tr>
      <w:tr w:rsidR="00000000" w:rsidRPr="00F21C23">
        <w:tblPrEx>
          <w:tblCellMar>
            <w:top w:w="0" w:type="dxa"/>
            <w:bottom w:w="0" w:type="dxa"/>
          </w:tblCellMar>
        </w:tblPrEx>
        <w:tc>
          <w:tcPr>
            <w:tcW w:w="6236" w:type="dxa"/>
            <w:gridSpan w:val="2"/>
          </w:tcPr>
          <w:p w:rsidR="0051551B" w:rsidRPr="00F21C23" w:rsidRDefault="0051551B">
            <w:r w:rsidRPr="00F21C23">
              <w:t xml:space="preserve">I denna lag avses med </w:t>
            </w:r>
          </w:p>
          <w:p w:rsidR="0051551B" w:rsidRPr="00F21C23" w:rsidRDefault="0051551B">
            <w:pPr>
              <w:pStyle w:val="Normaltindrag"/>
            </w:pPr>
            <w:r w:rsidRPr="00F21C23">
              <w:t>1. </w:t>
            </w:r>
            <w:r w:rsidRPr="00F21C23">
              <w:rPr>
                <w:i/>
              </w:rPr>
              <w:t>kärnteknisk anläggning:</w:t>
            </w:r>
          </w:p>
          <w:p w:rsidR="0051551B" w:rsidRPr="00F21C23" w:rsidRDefault="0051551B">
            <w:pPr>
              <w:pStyle w:val="Normaltindrag"/>
            </w:pPr>
            <w:r w:rsidRPr="00F21C23">
              <w:t>a. anläggning för utvinning av kärnenergi (kärnkraftsreaktor),</w:t>
            </w:r>
          </w:p>
          <w:p w:rsidR="0051551B" w:rsidRPr="00F21C23" w:rsidRDefault="0051551B">
            <w:pPr>
              <w:pStyle w:val="Normaltindrag"/>
            </w:pPr>
            <w:r w:rsidRPr="00F21C23">
              <w:t>b. annan anläggning i vilken en självunderhållande kärnreaktion kan ske, s</w:t>
            </w:r>
            <w:r w:rsidRPr="00F21C23">
              <w:t>å</w:t>
            </w:r>
            <w:r w:rsidRPr="00F21C23">
              <w:t>som forskningsreaktor,</w:t>
            </w:r>
          </w:p>
          <w:p w:rsidR="0051551B" w:rsidRPr="00F21C23" w:rsidRDefault="0051551B">
            <w:pPr>
              <w:pStyle w:val="Normaltindrag"/>
            </w:pPr>
            <w:r w:rsidRPr="00F21C23">
              <w:t>c. anläggning för utvinning, framställning, hantering, bearbetning, för</w:t>
            </w:r>
            <w:r w:rsidRPr="00F21C23">
              <w:softHyphen/>
              <w:t>varing som avses bli bestående (slutförvaring) eller annan förvaring (lagring) av kä</w:t>
            </w:r>
            <w:r w:rsidRPr="00F21C23">
              <w:t>r</w:t>
            </w:r>
            <w:r w:rsidRPr="00F21C23">
              <w:t>n-</w:t>
            </w:r>
            <w:r w:rsidRPr="00F21C23">
              <w:br/>
              <w:t>ämne, och</w:t>
            </w:r>
          </w:p>
          <w:p w:rsidR="0051551B" w:rsidRPr="00F21C23" w:rsidRDefault="0051551B">
            <w:pPr>
              <w:pStyle w:val="Normaltindrag"/>
            </w:pPr>
            <w:r w:rsidRPr="00F21C23">
              <w:t>d. anläggning för hantering, bearbetning, lagring eller slutförvaring av kä</w:t>
            </w:r>
            <w:r w:rsidRPr="00F21C23">
              <w:t>r</w:t>
            </w:r>
            <w:r w:rsidRPr="00F21C23">
              <w:t>n-</w:t>
            </w:r>
            <w:r w:rsidRPr="00F21C23">
              <w:br/>
              <w:t>avfall,</w:t>
            </w:r>
          </w:p>
          <w:p w:rsidR="0051551B" w:rsidRPr="00F21C23" w:rsidRDefault="0051551B">
            <w:pPr>
              <w:pStyle w:val="Normaltindrag"/>
            </w:pPr>
            <w:r w:rsidRPr="00F21C23">
              <w:t>2. </w:t>
            </w:r>
            <w:r w:rsidRPr="00F21C23">
              <w:rPr>
                <w:i/>
              </w:rPr>
              <w:t>kärnämne:</w:t>
            </w:r>
          </w:p>
          <w:p w:rsidR="0051551B" w:rsidRPr="00F21C23" w:rsidRDefault="0051551B">
            <w:pPr>
              <w:pStyle w:val="Normaltindrag"/>
            </w:pPr>
            <w:r w:rsidRPr="00F21C23">
              <w:t>a. uran, plutonium eller annat ämne som används eller kan användas för u</w:t>
            </w:r>
            <w:r w:rsidRPr="00F21C23">
              <w:t>t</w:t>
            </w:r>
            <w:r w:rsidRPr="00F21C23">
              <w:t>vinning av kärnenergi (kärnbränsle) eller förening i vilken sådant ämne ingår,</w:t>
            </w:r>
          </w:p>
          <w:p w:rsidR="0051551B" w:rsidRPr="00F21C23" w:rsidRDefault="0051551B">
            <w:pPr>
              <w:pStyle w:val="Normaltindrag"/>
            </w:pPr>
            <w:r w:rsidRPr="00F21C23">
              <w:t>b. torium eller annat ämne som är ägnat att omvandlas till kärnbränsle eller förening i vilken sådant ämne ingår, och</w:t>
            </w:r>
          </w:p>
          <w:p w:rsidR="0051551B" w:rsidRPr="00F21C23" w:rsidRDefault="0051551B">
            <w:pPr>
              <w:pStyle w:val="Normaltindrag"/>
            </w:pPr>
            <w:r w:rsidRPr="00F21C23">
              <w:t>c. använt kärnbränsle som inte har placerats i slutförvar,</w:t>
            </w:r>
          </w:p>
          <w:p w:rsidR="0051551B" w:rsidRPr="00F21C23" w:rsidRDefault="0051551B">
            <w:pPr>
              <w:pStyle w:val="Normaltindrag"/>
            </w:pPr>
            <w:r w:rsidRPr="00F21C23">
              <w:t>3. </w:t>
            </w:r>
            <w:r w:rsidRPr="00F21C23">
              <w:rPr>
                <w:i/>
              </w:rPr>
              <w:t>kärnavfall:</w:t>
            </w:r>
          </w:p>
          <w:p w:rsidR="0051551B" w:rsidRPr="00F21C23" w:rsidRDefault="0051551B">
            <w:pPr>
              <w:pStyle w:val="Normaltindrag"/>
            </w:pPr>
            <w:r w:rsidRPr="00F21C23">
              <w:t>a. använt kärnbränsle som har placerats i slutförvar,</w:t>
            </w:r>
          </w:p>
          <w:p w:rsidR="0051551B" w:rsidRPr="00F21C23" w:rsidRDefault="0051551B">
            <w:pPr>
              <w:pStyle w:val="Normaltindrag"/>
            </w:pPr>
            <w:r w:rsidRPr="00F21C23">
              <w:t>b. radioaktivt ämne som har bildats i en kärnteknisk anläggning och som inte har framställts eller tagits ur anläggningen för att användas i un</w:t>
            </w:r>
            <w:r w:rsidRPr="00F21C23">
              <w:softHyphen/>
              <w:t>dervisnings- eller forskningssyfte eller för medicinska, jordbrukstekniska eller kommersiella ändamål,</w:t>
            </w:r>
          </w:p>
          <w:p w:rsidR="0051551B" w:rsidRPr="00F21C23" w:rsidRDefault="0051551B">
            <w:pPr>
              <w:pStyle w:val="Normaltindrag"/>
            </w:pPr>
            <w:r w:rsidRPr="00F21C23">
              <w:t>c. material eller annat som har tillhört en kärnteknisk anläggning och blivit radioaktivt förorenat samt inte längre skall användas i en sådan an</w:t>
            </w:r>
            <w:r w:rsidRPr="00F21C23">
              <w:softHyphen/>
              <w:t>läggning, och</w:t>
            </w:r>
          </w:p>
          <w:p w:rsidR="0051551B" w:rsidRPr="00F21C23" w:rsidRDefault="0051551B">
            <w:pPr>
              <w:pStyle w:val="Normaltindrag"/>
            </w:pPr>
            <w:r w:rsidRPr="00F21C23">
              <w:t>d. radioaktiva delar av en kärnteknisk anläggning som avvecklas.</w:t>
            </w:r>
          </w:p>
        </w:tc>
      </w:tr>
      <w:tr w:rsidR="00000000" w:rsidRPr="00F21C23">
        <w:tblPrEx>
          <w:tblCellMar>
            <w:top w:w="0" w:type="dxa"/>
            <w:bottom w:w="0" w:type="dxa"/>
          </w:tblCellMar>
        </w:tblPrEx>
        <w:tc>
          <w:tcPr>
            <w:tcW w:w="3118" w:type="dxa"/>
          </w:tcPr>
          <w:p w:rsidR="0051551B" w:rsidRPr="00F21C23" w:rsidRDefault="0051551B">
            <w:pPr>
              <w:pStyle w:val="Propmedindrag"/>
              <w:tabs>
                <w:tab w:val="clear" w:pos="2835"/>
              </w:tabs>
              <w:ind w:right="57" w:firstLine="0"/>
            </w:pPr>
          </w:p>
        </w:tc>
        <w:tc>
          <w:tcPr>
            <w:tcW w:w="3118" w:type="dxa"/>
          </w:tcPr>
          <w:p w:rsidR="0051551B" w:rsidRPr="00F21C23" w:rsidRDefault="0051551B">
            <w:pPr>
              <w:pStyle w:val="Normaltindrag"/>
            </w:pPr>
            <w:r w:rsidRPr="00F21C23">
              <w:rPr>
                <w:i/>
              </w:rPr>
              <w:t>4. kärnteknisk utrustning:</w:t>
            </w:r>
          </w:p>
          <w:p w:rsidR="0051551B" w:rsidRPr="00F21C23" w:rsidRDefault="0051551B">
            <w:pPr>
              <w:pStyle w:val="Normaltindrag"/>
            </w:pPr>
            <w:r w:rsidRPr="00F21C23">
              <w:rPr>
                <w:i/>
              </w:rPr>
              <w:t>a. utrustning eller material som sä</w:t>
            </w:r>
            <w:r w:rsidRPr="00F21C23">
              <w:rPr>
                <w:i/>
              </w:rPr>
              <w:t>r</w:t>
            </w:r>
            <w:r w:rsidRPr="00F21C23">
              <w:rPr>
                <w:i/>
              </w:rPr>
              <w:t>skilt har konstruerats eller ställts i ordning för bearbetning, användning eller framställning av kärnämne, och</w:t>
            </w:r>
          </w:p>
          <w:p w:rsidR="0051551B" w:rsidRPr="00F21C23" w:rsidRDefault="0051551B">
            <w:pPr>
              <w:pStyle w:val="Normaltindrag"/>
            </w:pPr>
            <w:r w:rsidRPr="00F21C23">
              <w:rPr>
                <w:i/>
              </w:rPr>
              <w:t>b. utrustning eller material som kan användas för framställning av kär</w:t>
            </w:r>
            <w:r w:rsidRPr="00F21C23">
              <w:rPr>
                <w:i/>
              </w:rPr>
              <w:t>n</w:t>
            </w:r>
            <w:r w:rsidRPr="00F21C23">
              <w:rPr>
                <w:i/>
              </w:rPr>
              <w:t>laddningar.</w:t>
            </w:r>
          </w:p>
        </w:tc>
      </w:tr>
    </w:tbl>
    <w:p w:rsidR="0051551B" w:rsidRPr="00F21C23" w:rsidRDefault="0051551B"/>
    <w:p w:rsidR="0051551B" w:rsidRPr="00F21C23" w:rsidRDefault="0051551B"/>
    <w:tbl>
      <w:tblPr>
        <w:tblW w:w="0" w:type="auto"/>
        <w:tblInd w:w="-70" w:type="dxa"/>
        <w:tblLayout w:type="fixed"/>
        <w:tblCellMar>
          <w:left w:w="70" w:type="dxa"/>
          <w:right w:w="70" w:type="dxa"/>
        </w:tblCellMar>
        <w:tblLook w:val="0000" w:firstRow="0" w:lastRow="0" w:firstColumn="0" w:lastColumn="0" w:noHBand="0" w:noVBand="0"/>
      </w:tblPr>
      <w:tblGrid>
        <w:gridCol w:w="3118"/>
        <w:gridCol w:w="3118"/>
      </w:tblGrid>
      <w:tr w:rsidR="00000000" w:rsidRPr="00F21C23">
        <w:tblPrEx>
          <w:tblCellMar>
            <w:top w:w="0" w:type="dxa"/>
            <w:bottom w:w="0" w:type="dxa"/>
          </w:tblCellMar>
        </w:tblPrEx>
        <w:trPr>
          <w:tblHeader/>
        </w:trPr>
        <w:tc>
          <w:tcPr>
            <w:tcW w:w="3118" w:type="dxa"/>
          </w:tcPr>
          <w:p w:rsidR="0051551B" w:rsidRPr="00F21C23" w:rsidRDefault="0051551B">
            <w:pPr>
              <w:pStyle w:val="Normaltindrag"/>
              <w:ind w:firstLine="0"/>
            </w:pPr>
            <w:r w:rsidRPr="00F21C23">
              <w:rPr>
                <w:i/>
              </w:rPr>
              <w:t>Nuvarande lydelse</w:t>
            </w:r>
          </w:p>
        </w:tc>
        <w:tc>
          <w:tcPr>
            <w:tcW w:w="3118" w:type="dxa"/>
          </w:tcPr>
          <w:p w:rsidR="0051551B" w:rsidRPr="00F21C23" w:rsidRDefault="0051551B">
            <w:pPr>
              <w:pStyle w:val="Normaltindrag"/>
              <w:ind w:firstLine="0"/>
              <w:rPr>
                <w:i/>
              </w:rPr>
            </w:pPr>
            <w:r w:rsidRPr="00F21C23">
              <w:rPr>
                <w:i/>
              </w:rPr>
              <w:t>Föreslagen lydelse</w:t>
            </w:r>
          </w:p>
        </w:tc>
      </w:tr>
      <w:tr w:rsidR="00000000" w:rsidRPr="00F21C23">
        <w:tblPrEx>
          <w:tblCellMar>
            <w:top w:w="0" w:type="dxa"/>
            <w:bottom w:w="0" w:type="dxa"/>
          </w:tblCellMar>
        </w:tblPrEx>
        <w:tc>
          <w:tcPr>
            <w:tcW w:w="3118" w:type="dxa"/>
          </w:tcPr>
          <w:p w:rsidR="0051551B" w:rsidRPr="00F21C23" w:rsidRDefault="0051551B">
            <w:pPr>
              <w:pStyle w:val="Normaltindrag"/>
            </w:pPr>
          </w:p>
        </w:tc>
        <w:tc>
          <w:tcPr>
            <w:tcW w:w="3118" w:type="dxa"/>
          </w:tcPr>
          <w:p w:rsidR="0051551B" w:rsidRPr="00F21C23" w:rsidRDefault="0051551B">
            <w:pPr>
              <w:pStyle w:val="Normaltindrag"/>
              <w:ind w:firstLine="0"/>
              <w:rPr>
                <w:b/>
                <w:i/>
              </w:rPr>
            </w:pPr>
            <w:r w:rsidRPr="00F21C23">
              <w:rPr>
                <w:b/>
                <w:i/>
              </w:rPr>
              <w:t>Anmälningsskyldighet</w:t>
            </w:r>
          </w:p>
        </w:tc>
      </w:tr>
      <w:tr w:rsidR="00000000" w:rsidRPr="00F21C23">
        <w:tblPrEx>
          <w:tblCellMar>
            <w:top w:w="0" w:type="dxa"/>
            <w:bottom w:w="0" w:type="dxa"/>
          </w:tblCellMar>
        </w:tblPrEx>
        <w:tc>
          <w:tcPr>
            <w:tcW w:w="3118" w:type="dxa"/>
          </w:tcPr>
          <w:p w:rsidR="0051551B" w:rsidRPr="00F21C23" w:rsidRDefault="0051551B">
            <w:pPr>
              <w:pStyle w:val="Normaltindrag"/>
            </w:pPr>
          </w:p>
        </w:tc>
        <w:tc>
          <w:tcPr>
            <w:tcW w:w="3118" w:type="dxa"/>
          </w:tcPr>
          <w:p w:rsidR="0051551B" w:rsidRPr="00F21C23" w:rsidRDefault="0051551B">
            <w:pPr>
              <w:pStyle w:val="Normaltindrag"/>
              <w:rPr>
                <w:i/>
              </w:rPr>
            </w:pPr>
          </w:p>
          <w:p w:rsidR="0051551B" w:rsidRPr="00F21C23" w:rsidRDefault="0051551B">
            <w:pPr>
              <w:pStyle w:val="Normaltindrag"/>
              <w:ind w:firstLine="0"/>
              <w:rPr>
                <w:i/>
              </w:rPr>
            </w:pPr>
            <w:r w:rsidRPr="00F21C23">
              <w:rPr>
                <w:i/>
              </w:rPr>
              <w:t xml:space="preserve">    7 a §</w:t>
            </w:r>
          </w:p>
        </w:tc>
      </w:tr>
      <w:tr w:rsidR="00000000" w:rsidRPr="00F21C23">
        <w:tblPrEx>
          <w:tblCellMar>
            <w:top w:w="0" w:type="dxa"/>
            <w:bottom w:w="0" w:type="dxa"/>
          </w:tblCellMar>
        </w:tblPrEx>
        <w:tc>
          <w:tcPr>
            <w:tcW w:w="3118" w:type="dxa"/>
          </w:tcPr>
          <w:p w:rsidR="0051551B" w:rsidRPr="00F21C23" w:rsidRDefault="0051551B">
            <w:pPr>
              <w:pStyle w:val="Normaltindrag"/>
            </w:pPr>
          </w:p>
        </w:tc>
        <w:tc>
          <w:tcPr>
            <w:tcW w:w="3118" w:type="dxa"/>
          </w:tcPr>
          <w:p w:rsidR="0051551B" w:rsidRPr="00F21C23" w:rsidRDefault="0051551B">
            <w:pPr>
              <w:pStyle w:val="Normaltindrag"/>
              <w:rPr>
                <w:i/>
              </w:rPr>
            </w:pPr>
            <w:r w:rsidRPr="00F21C23">
              <w:rPr>
                <w:i/>
              </w:rPr>
              <w:t>Den som bedriver en forsknings- eller utvecklingsverksamhet som rör processer eller system i fråga om kärntekniska anlägg</w:t>
            </w:r>
            <w:r w:rsidRPr="00F21C23">
              <w:rPr>
                <w:i/>
              </w:rPr>
              <w:softHyphen/>
              <w:t>ningar, kärnä</w:t>
            </w:r>
            <w:r w:rsidRPr="00F21C23">
              <w:rPr>
                <w:i/>
              </w:rPr>
              <w:t>m</w:t>
            </w:r>
            <w:r w:rsidRPr="00F21C23">
              <w:rPr>
                <w:i/>
              </w:rPr>
              <w:t>nen eller kärnavfall, är skyldig att anmäla detta till den myndighet som regerin</w:t>
            </w:r>
            <w:r w:rsidRPr="00F21C23">
              <w:rPr>
                <w:i/>
              </w:rPr>
              <w:t>g</w:t>
            </w:r>
            <w:r w:rsidRPr="00F21C23">
              <w:rPr>
                <w:i/>
              </w:rPr>
              <w:t>en be</w:t>
            </w:r>
            <w:r w:rsidRPr="00F21C23">
              <w:rPr>
                <w:i/>
              </w:rPr>
              <w:softHyphen/>
              <w:t>stämmer.</w:t>
            </w:r>
          </w:p>
        </w:tc>
      </w:tr>
      <w:tr w:rsidR="00000000" w:rsidRPr="00F21C23">
        <w:tblPrEx>
          <w:tblCellMar>
            <w:top w:w="0" w:type="dxa"/>
            <w:bottom w:w="0" w:type="dxa"/>
          </w:tblCellMar>
        </w:tblPrEx>
        <w:tc>
          <w:tcPr>
            <w:tcW w:w="3118" w:type="dxa"/>
          </w:tcPr>
          <w:p w:rsidR="0051551B" w:rsidRPr="00F21C23" w:rsidRDefault="0051551B">
            <w:pPr>
              <w:pStyle w:val="Propmedindrag"/>
              <w:tabs>
                <w:tab w:val="clear" w:pos="2835"/>
              </w:tabs>
              <w:ind w:right="57" w:firstLine="0"/>
            </w:pPr>
          </w:p>
        </w:tc>
        <w:tc>
          <w:tcPr>
            <w:tcW w:w="3118" w:type="dxa"/>
          </w:tcPr>
          <w:p w:rsidR="0051551B" w:rsidRPr="00F21C23" w:rsidRDefault="0051551B">
            <w:pPr>
              <w:pStyle w:val="Normaltindrag"/>
            </w:pPr>
            <w:r w:rsidRPr="00F21C23">
              <w:rPr>
                <w:i/>
              </w:rPr>
              <w:t>Första stycket gäller inte teore</w:t>
            </w:r>
            <w:r w:rsidRPr="00F21C23">
              <w:rPr>
                <w:i/>
              </w:rPr>
              <w:softHyphen/>
              <w:t>tisk eller grundläggande forskning. Det gäller inte heller forskning och u</w:t>
            </w:r>
            <w:r w:rsidRPr="00F21C23">
              <w:rPr>
                <w:i/>
              </w:rPr>
              <w:t>t</w:t>
            </w:r>
            <w:r w:rsidRPr="00F21C23">
              <w:rPr>
                <w:i/>
              </w:rPr>
              <w:t>veckling som rör</w:t>
            </w:r>
          </w:p>
          <w:p w:rsidR="0051551B" w:rsidRPr="00F21C23" w:rsidRDefault="0051551B">
            <w:pPr>
              <w:pStyle w:val="Normaltindrag"/>
            </w:pPr>
            <w:r w:rsidRPr="00F21C23">
              <w:rPr>
                <w:i/>
              </w:rPr>
              <w:t>1. industriell användning av ra</w:t>
            </w:r>
            <w:r w:rsidRPr="00F21C23">
              <w:rPr>
                <w:i/>
              </w:rPr>
              <w:softHyphen/>
              <w:t>dioisotoper,</w:t>
            </w:r>
          </w:p>
          <w:p w:rsidR="0051551B" w:rsidRPr="00F21C23" w:rsidRDefault="0051551B">
            <w:pPr>
              <w:pStyle w:val="Normaltindrag"/>
            </w:pPr>
            <w:r w:rsidRPr="00F21C23">
              <w:rPr>
                <w:i/>
              </w:rPr>
              <w:t>2. tillämpningar inom medicin, hy</w:t>
            </w:r>
            <w:r w:rsidRPr="00F21C23">
              <w:rPr>
                <w:i/>
              </w:rPr>
              <w:t>d</w:t>
            </w:r>
            <w:r w:rsidRPr="00F21C23">
              <w:rPr>
                <w:i/>
              </w:rPr>
              <w:t>rologi eller lantbruk,</w:t>
            </w:r>
          </w:p>
          <w:p w:rsidR="0051551B" w:rsidRPr="00F21C23" w:rsidRDefault="0051551B">
            <w:pPr>
              <w:pStyle w:val="Normaltindrag"/>
            </w:pPr>
            <w:r w:rsidRPr="00F21C23">
              <w:rPr>
                <w:i/>
              </w:rPr>
              <w:t>3. hälso- och miljöeffekter,</w:t>
            </w:r>
          </w:p>
          <w:p w:rsidR="0051551B" w:rsidRPr="00F21C23" w:rsidRDefault="0051551B">
            <w:pPr>
              <w:pStyle w:val="Normaltindrag"/>
            </w:pPr>
            <w:r w:rsidRPr="00F21C23">
              <w:rPr>
                <w:i/>
              </w:rPr>
              <w:t>4. förbättrat underhåll.</w:t>
            </w:r>
          </w:p>
        </w:tc>
      </w:tr>
      <w:tr w:rsidR="00000000" w:rsidRPr="00F21C23">
        <w:tblPrEx>
          <w:tblCellMar>
            <w:top w:w="0" w:type="dxa"/>
            <w:bottom w:w="0" w:type="dxa"/>
          </w:tblCellMar>
        </w:tblPrEx>
        <w:tc>
          <w:tcPr>
            <w:tcW w:w="3118" w:type="dxa"/>
          </w:tcPr>
          <w:p w:rsidR="0051551B" w:rsidRPr="00F21C23" w:rsidRDefault="0051551B">
            <w:pPr>
              <w:pStyle w:val="Normaltindrag"/>
            </w:pPr>
          </w:p>
        </w:tc>
        <w:tc>
          <w:tcPr>
            <w:tcW w:w="3118" w:type="dxa"/>
          </w:tcPr>
          <w:p w:rsidR="0051551B" w:rsidRPr="00F21C23" w:rsidRDefault="0051551B">
            <w:pPr>
              <w:pStyle w:val="Normaltindrag"/>
              <w:rPr>
                <w:i/>
              </w:rPr>
            </w:pPr>
          </w:p>
          <w:p w:rsidR="0051551B" w:rsidRPr="00F21C23" w:rsidRDefault="0051551B">
            <w:pPr>
              <w:pStyle w:val="Normaltindrag"/>
            </w:pPr>
            <w:r w:rsidRPr="00F21C23">
              <w:rPr>
                <w:i/>
              </w:rPr>
              <w:t>7 b §</w:t>
            </w:r>
          </w:p>
        </w:tc>
      </w:tr>
      <w:tr w:rsidR="00000000" w:rsidRPr="00F21C23">
        <w:tblPrEx>
          <w:tblCellMar>
            <w:top w:w="0" w:type="dxa"/>
            <w:bottom w:w="0" w:type="dxa"/>
          </w:tblCellMar>
        </w:tblPrEx>
        <w:tc>
          <w:tcPr>
            <w:tcW w:w="3118" w:type="dxa"/>
          </w:tcPr>
          <w:p w:rsidR="0051551B" w:rsidRPr="00F21C23" w:rsidRDefault="0051551B">
            <w:pPr>
              <w:pStyle w:val="Normaltindrag"/>
            </w:pPr>
          </w:p>
        </w:tc>
        <w:tc>
          <w:tcPr>
            <w:tcW w:w="3118" w:type="dxa"/>
          </w:tcPr>
          <w:p w:rsidR="0051551B" w:rsidRPr="00F21C23" w:rsidRDefault="0051551B">
            <w:pPr>
              <w:pStyle w:val="Normaltindrag"/>
            </w:pPr>
            <w:r w:rsidRPr="00F21C23">
              <w:rPr>
                <w:i/>
              </w:rPr>
              <w:t>Den som tillverkar, monterar eller på annat sätt framställer kärntek</w:t>
            </w:r>
            <w:r w:rsidRPr="00F21C23">
              <w:rPr>
                <w:i/>
              </w:rPr>
              <w:softHyphen/>
              <w:t>nisk utrustning är skyldig att an</w:t>
            </w:r>
            <w:r w:rsidRPr="00F21C23">
              <w:rPr>
                <w:i/>
              </w:rPr>
              <w:softHyphen/>
              <w:t xml:space="preserve">mäla detta till den myndighet som regeringen bestämmer. </w:t>
            </w:r>
          </w:p>
        </w:tc>
      </w:tr>
      <w:tr w:rsidR="00000000" w:rsidRPr="00F21C23">
        <w:tblPrEx>
          <w:tblCellMar>
            <w:top w:w="0" w:type="dxa"/>
            <w:bottom w:w="0" w:type="dxa"/>
          </w:tblCellMar>
        </w:tblPrEx>
        <w:tc>
          <w:tcPr>
            <w:tcW w:w="3118" w:type="dxa"/>
          </w:tcPr>
          <w:p w:rsidR="0051551B" w:rsidRPr="00F21C23" w:rsidRDefault="0051551B">
            <w:pPr>
              <w:pStyle w:val="Normaltindrag"/>
            </w:pPr>
          </w:p>
        </w:tc>
        <w:tc>
          <w:tcPr>
            <w:tcW w:w="3118" w:type="dxa"/>
          </w:tcPr>
          <w:p w:rsidR="0051551B" w:rsidRPr="00F21C23" w:rsidRDefault="0051551B">
            <w:pPr>
              <w:pStyle w:val="Normaltindrag"/>
              <w:rPr>
                <w:i/>
              </w:rPr>
            </w:pPr>
          </w:p>
          <w:p w:rsidR="0051551B" w:rsidRPr="00F21C23" w:rsidRDefault="0051551B">
            <w:pPr>
              <w:pStyle w:val="Normaltindrag"/>
            </w:pPr>
            <w:r w:rsidRPr="00F21C23">
              <w:rPr>
                <w:i/>
              </w:rPr>
              <w:t>7 c §</w:t>
            </w:r>
          </w:p>
        </w:tc>
      </w:tr>
      <w:tr w:rsidR="00000000" w:rsidRPr="00F21C23">
        <w:tblPrEx>
          <w:tblCellMar>
            <w:top w:w="0" w:type="dxa"/>
            <w:bottom w:w="0" w:type="dxa"/>
          </w:tblCellMar>
        </w:tblPrEx>
        <w:tc>
          <w:tcPr>
            <w:tcW w:w="3118" w:type="dxa"/>
          </w:tcPr>
          <w:p w:rsidR="0051551B" w:rsidRPr="00F21C23" w:rsidRDefault="0051551B">
            <w:pPr>
              <w:pStyle w:val="Normaltindrag"/>
            </w:pPr>
          </w:p>
        </w:tc>
        <w:tc>
          <w:tcPr>
            <w:tcW w:w="3118" w:type="dxa"/>
          </w:tcPr>
          <w:p w:rsidR="0051551B" w:rsidRPr="00F21C23" w:rsidRDefault="0051551B">
            <w:pPr>
              <w:pStyle w:val="Normaltindrag"/>
            </w:pPr>
            <w:r w:rsidRPr="00F21C23">
              <w:rPr>
                <w:i/>
              </w:rPr>
              <w:t>Den som till Sverige för in eller från Sverige för ut kärnteknisk ut</w:t>
            </w:r>
            <w:r w:rsidRPr="00F21C23">
              <w:rPr>
                <w:i/>
              </w:rPr>
              <w:softHyphen/>
              <w:t>rustning är skyldig att anmäla detta till den myndighet som rege</w:t>
            </w:r>
            <w:r w:rsidRPr="00F21C23">
              <w:rPr>
                <w:i/>
              </w:rPr>
              <w:softHyphen/>
              <w:t>ringen bestämmer.</w:t>
            </w:r>
          </w:p>
        </w:tc>
      </w:tr>
      <w:tr w:rsidR="00000000" w:rsidRPr="00F21C23">
        <w:tblPrEx>
          <w:tblCellMar>
            <w:top w:w="0" w:type="dxa"/>
            <w:bottom w:w="0" w:type="dxa"/>
          </w:tblCellMar>
        </w:tblPrEx>
        <w:tc>
          <w:tcPr>
            <w:tcW w:w="3118" w:type="dxa"/>
          </w:tcPr>
          <w:p w:rsidR="0051551B" w:rsidRPr="00F21C23" w:rsidRDefault="0051551B">
            <w:pPr>
              <w:pStyle w:val="Normaltindrag"/>
            </w:pPr>
          </w:p>
        </w:tc>
        <w:tc>
          <w:tcPr>
            <w:tcW w:w="3118" w:type="dxa"/>
          </w:tcPr>
          <w:p w:rsidR="0051551B" w:rsidRPr="00F21C23" w:rsidRDefault="0051551B">
            <w:pPr>
              <w:pStyle w:val="Normaltindrag"/>
              <w:rPr>
                <w:i/>
              </w:rPr>
            </w:pPr>
          </w:p>
          <w:p w:rsidR="0051551B" w:rsidRPr="00F21C23" w:rsidRDefault="0051551B">
            <w:pPr>
              <w:pStyle w:val="Normaltindrag"/>
            </w:pPr>
            <w:r w:rsidRPr="00F21C23">
              <w:rPr>
                <w:i/>
              </w:rPr>
              <w:t>7 d §</w:t>
            </w:r>
          </w:p>
        </w:tc>
      </w:tr>
      <w:tr w:rsidR="00000000" w:rsidRPr="00F21C23">
        <w:tblPrEx>
          <w:tblCellMar>
            <w:top w:w="0" w:type="dxa"/>
            <w:bottom w:w="0" w:type="dxa"/>
          </w:tblCellMar>
        </w:tblPrEx>
        <w:tc>
          <w:tcPr>
            <w:tcW w:w="3118" w:type="dxa"/>
          </w:tcPr>
          <w:p w:rsidR="0051551B" w:rsidRPr="00F21C23" w:rsidRDefault="0051551B">
            <w:pPr>
              <w:pStyle w:val="Normaltindrag"/>
            </w:pPr>
          </w:p>
        </w:tc>
        <w:tc>
          <w:tcPr>
            <w:tcW w:w="3118" w:type="dxa"/>
          </w:tcPr>
          <w:p w:rsidR="0051551B" w:rsidRPr="00F21C23" w:rsidRDefault="0051551B">
            <w:pPr>
              <w:pStyle w:val="Normaltindrag"/>
            </w:pPr>
            <w:r w:rsidRPr="00F21C23">
              <w:rPr>
                <w:i/>
              </w:rPr>
              <w:t>Regeringen eller den myndighet som regeringen bestämmer får meddela föreskrifter om undantag från anmä</w:t>
            </w:r>
            <w:r w:rsidRPr="00F21C23">
              <w:rPr>
                <w:i/>
              </w:rPr>
              <w:t>l</w:t>
            </w:r>
            <w:r w:rsidRPr="00F21C23">
              <w:rPr>
                <w:i/>
              </w:rPr>
              <w:t>ningsskyldig</w:t>
            </w:r>
            <w:r w:rsidRPr="00F21C23">
              <w:rPr>
                <w:i/>
              </w:rPr>
              <w:softHyphen/>
              <w:t>heten i 7 a–7 c §§.</w:t>
            </w:r>
          </w:p>
        </w:tc>
      </w:tr>
      <w:tr w:rsidR="00000000" w:rsidRPr="00F21C23">
        <w:tblPrEx>
          <w:tblCellMar>
            <w:top w:w="0" w:type="dxa"/>
            <w:bottom w:w="0" w:type="dxa"/>
          </w:tblCellMar>
        </w:tblPrEx>
        <w:tc>
          <w:tcPr>
            <w:tcW w:w="6236" w:type="dxa"/>
            <w:gridSpan w:val="2"/>
          </w:tcPr>
          <w:p w:rsidR="0051551B" w:rsidRPr="00F21C23" w:rsidRDefault="0051551B">
            <w:pPr>
              <w:pStyle w:val="Normaltindrag"/>
              <w:jc w:val="center"/>
            </w:pPr>
          </w:p>
          <w:p w:rsidR="0051551B" w:rsidRPr="00F21C23" w:rsidRDefault="0051551B">
            <w:pPr>
              <w:pStyle w:val="Normaltindrag"/>
              <w:jc w:val="center"/>
            </w:pPr>
            <w:r w:rsidRPr="00F21C23">
              <w:t>17 §</w:t>
            </w:r>
          </w:p>
        </w:tc>
      </w:tr>
      <w:tr w:rsidR="00000000" w:rsidRPr="00F21C23">
        <w:tblPrEx>
          <w:tblCellMar>
            <w:top w:w="0" w:type="dxa"/>
            <w:bottom w:w="0" w:type="dxa"/>
          </w:tblCellMar>
        </w:tblPrEx>
        <w:tc>
          <w:tcPr>
            <w:tcW w:w="3118" w:type="dxa"/>
          </w:tcPr>
          <w:p w:rsidR="0051551B" w:rsidRPr="00F21C23" w:rsidRDefault="0051551B">
            <w:pPr>
              <w:spacing w:before="0"/>
            </w:pPr>
            <w:r w:rsidRPr="00F21C23">
              <w:rPr>
                <w:i/>
              </w:rPr>
              <w:t xml:space="preserve">   En tillståndshavare</w:t>
            </w:r>
            <w:r w:rsidRPr="00F21C23">
              <w:t xml:space="preserve"> skall på begä</w:t>
            </w:r>
            <w:r w:rsidRPr="00F21C23">
              <w:softHyphen/>
              <w:t>ran av tillsynsmyndigheten</w:t>
            </w:r>
          </w:p>
          <w:p w:rsidR="0051551B" w:rsidRPr="00F21C23" w:rsidRDefault="0051551B">
            <w:pPr>
              <w:pStyle w:val="Normaltindrag"/>
            </w:pPr>
            <w:r w:rsidRPr="00F21C23">
              <w:t>1. lämna myndigheten de upp</w:t>
            </w:r>
            <w:r w:rsidRPr="00F21C23">
              <w:softHyphen/>
              <w:t>lysningar och tillhandahålla de han</w:t>
            </w:r>
            <w:r w:rsidRPr="00F21C23">
              <w:t>d</w:t>
            </w:r>
            <w:r w:rsidRPr="00F21C23">
              <w:t>lingar som behövs för tillsy</w:t>
            </w:r>
            <w:r w:rsidRPr="00F21C23">
              <w:softHyphen/>
              <w:t>nen, och</w:t>
            </w:r>
          </w:p>
          <w:p w:rsidR="0051551B" w:rsidRPr="00F21C23" w:rsidRDefault="0051551B">
            <w:pPr>
              <w:pStyle w:val="Normaltindrag"/>
            </w:pPr>
            <w:r w:rsidRPr="00F21C23">
              <w:t>2. ge myndigheten tillträde till a</w:t>
            </w:r>
            <w:r w:rsidRPr="00F21C23">
              <w:t>n</w:t>
            </w:r>
            <w:r w:rsidRPr="00F21C23">
              <w:t xml:space="preserve">läggning eller </w:t>
            </w:r>
            <w:r w:rsidRPr="00F21C23">
              <w:rPr>
                <w:i/>
              </w:rPr>
              <w:t>plats</w:t>
            </w:r>
            <w:r w:rsidRPr="00F21C23">
              <w:t xml:space="preserve"> </w:t>
            </w:r>
            <w:r w:rsidRPr="00F21C23">
              <w:rPr>
                <w:i/>
              </w:rPr>
              <w:t>där kärntek</w:t>
            </w:r>
            <w:r w:rsidRPr="00F21C23">
              <w:rPr>
                <w:i/>
              </w:rPr>
              <w:softHyphen/>
              <w:t xml:space="preserve">nisk verksamhet </w:t>
            </w:r>
            <w:r w:rsidRPr="00F21C23">
              <w:t>bedrivs för under</w:t>
            </w:r>
            <w:r w:rsidRPr="00F21C23">
              <w:softHyphen/>
              <w:t>sökningar och provtagningar, i den omfattning som behövs för tillsy</w:t>
            </w:r>
            <w:r w:rsidRPr="00F21C23">
              <w:softHyphen/>
              <w:t>nen.</w:t>
            </w:r>
          </w:p>
        </w:tc>
        <w:tc>
          <w:tcPr>
            <w:tcW w:w="3118" w:type="dxa"/>
          </w:tcPr>
          <w:p w:rsidR="0051551B" w:rsidRPr="00F21C23" w:rsidRDefault="0051551B">
            <w:pPr>
              <w:pStyle w:val="Normaltindrag"/>
            </w:pPr>
            <w:r w:rsidRPr="00F21C23">
              <w:rPr>
                <w:i/>
              </w:rPr>
              <w:t>Den som bedriver eller har till</w:t>
            </w:r>
            <w:r w:rsidRPr="00F21C23">
              <w:rPr>
                <w:i/>
              </w:rPr>
              <w:softHyphen/>
              <w:t>stånd att bedriva en kärnteknisk verksamhet, den som är anmäl</w:t>
            </w:r>
            <w:r w:rsidRPr="00F21C23">
              <w:rPr>
                <w:i/>
              </w:rPr>
              <w:softHyphen/>
              <w:t>ningsskyldig enligt 7 a–7 c §§ och den som tar befatt</w:t>
            </w:r>
            <w:r w:rsidRPr="00F21C23">
              <w:rPr>
                <w:i/>
              </w:rPr>
              <w:softHyphen/>
              <w:t>ning med utrust</w:t>
            </w:r>
            <w:r w:rsidRPr="00F21C23">
              <w:rPr>
                <w:i/>
              </w:rPr>
              <w:softHyphen/>
              <w:t>ning som omfattas av a</w:t>
            </w:r>
            <w:r w:rsidRPr="00F21C23">
              <w:rPr>
                <w:i/>
              </w:rPr>
              <w:t>n</w:t>
            </w:r>
            <w:r w:rsidRPr="00F21C23">
              <w:rPr>
                <w:i/>
              </w:rPr>
              <w:t>mälnings</w:t>
            </w:r>
            <w:r w:rsidRPr="00F21C23">
              <w:rPr>
                <w:i/>
              </w:rPr>
              <w:softHyphen/>
              <w:t>skyldighet enligt 7 c §,</w:t>
            </w:r>
            <w:r w:rsidRPr="00F21C23">
              <w:t xml:space="preserve"> skall på be</w:t>
            </w:r>
            <w:r w:rsidRPr="00F21C23">
              <w:softHyphen/>
              <w:t>gäran av tillsyns</w:t>
            </w:r>
            <w:r w:rsidRPr="00F21C23">
              <w:softHyphen/>
              <w:t>myndigheten</w:t>
            </w:r>
          </w:p>
          <w:p w:rsidR="0051551B" w:rsidRPr="00F21C23" w:rsidRDefault="0051551B">
            <w:pPr>
              <w:pStyle w:val="Normaltindrag"/>
            </w:pPr>
            <w:r w:rsidRPr="00F21C23">
              <w:t>1. lämna myndigheten de upp</w:t>
            </w:r>
            <w:r w:rsidRPr="00F21C23">
              <w:softHyphen/>
              <w:t>lysningar och tillhandahålla de han</w:t>
            </w:r>
            <w:r w:rsidRPr="00F21C23">
              <w:t>d</w:t>
            </w:r>
            <w:r w:rsidRPr="00F21C23">
              <w:t>lingar som behövs för tillsy</w:t>
            </w:r>
            <w:r w:rsidRPr="00F21C23">
              <w:softHyphen/>
              <w:t>nen, och</w:t>
            </w:r>
          </w:p>
          <w:p w:rsidR="0051551B" w:rsidRPr="00F21C23" w:rsidRDefault="0051551B">
            <w:pPr>
              <w:pStyle w:val="Normaltindrag"/>
            </w:pPr>
            <w:r w:rsidRPr="00F21C23">
              <w:t>2. ge myndigheten tillträde till a</w:t>
            </w:r>
            <w:r w:rsidRPr="00F21C23">
              <w:t>n</w:t>
            </w:r>
            <w:r w:rsidRPr="00F21C23">
              <w:t xml:space="preserve">läggning eller </w:t>
            </w:r>
            <w:r w:rsidRPr="00F21C23">
              <w:rPr>
                <w:i/>
              </w:rPr>
              <w:t>plats, där</w:t>
            </w:r>
            <w:r w:rsidRPr="00F21C23">
              <w:t xml:space="preserve"> </w:t>
            </w:r>
            <w:r w:rsidRPr="00F21C23">
              <w:rPr>
                <w:i/>
              </w:rPr>
              <w:t>han be</w:t>
            </w:r>
            <w:r w:rsidRPr="00F21C23">
              <w:rPr>
                <w:i/>
              </w:rPr>
              <w:softHyphen/>
              <w:t>driver verksam</w:t>
            </w:r>
            <w:r w:rsidRPr="00F21C23">
              <w:rPr>
                <w:i/>
              </w:rPr>
              <w:softHyphen/>
              <w:t>het,</w:t>
            </w:r>
            <w:r w:rsidRPr="00F21C23">
              <w:t xml:space="preserve"> för undersök</w:t>
            </w:r>
            <w:r w:rsidRPr="00F21C23">
              <w:softHyphen/>
              <w:t>ningar och provtagningar, i den omfatt</w:t>
            </w:r>
            <w:r w:rsidRPr="00F21C23">
              <w:softHyphen/>
              <w:t>ning som behövs för tillsy</w:t>
            </w:r>
            <w:r w:rsidRPr="00F21C23">
              <w:softHyphen/>
              <w:t>nen.</w:t>
            </w:r>
          </w:p>
        </w:tc>
      </w:tr>
      <w:tr w:rsidR="00000000" w:rsidRPr="00F21C23">
        <w:tblPrEx>
          <w:tblCellMar>
            <w:top w:w="0" w:type="dxa"/>
            <w:bottom w:w="0" w:type="dxa"/>
          </w:tblCellMar>
        </w:tblPrEx>
        <w:tc>
          <w:tcPr>
            <w:tcW w:w="3118" w:type="dxa"/>
          </w:tcPr>
          <w:p w:rsidR="0051551B" w:rsidRPr="00F21C23" w:rsidRDefault="0051551B">
            <w:pPr>
              <w:pStyle w:val="Normaltindrag"/>
            </w:pPr>
            <w:r w:rsidRPr="00F21C23">
              <w:rPr>
                <w:i/>
              </w:rPr>
              <w:t>En tillståndshavares skyldigheter</w:t>
            </w:r>
            <w:r w:rsidRPr="00F21C23">
              <w:t xml:space="preserve"> enligt första stycket gäller i den u</w:t>
            </w:r>
            <w:r w:rsidRPr="00F21C23">
              <w:t>t</w:t>
            </w:r>
            <w:r w:rsidRPr="00F21C23">
              <w:t>sträckning som föreskrivs av re</w:t>
            </w:r>
            <w:r w:rsidRPr="00F21C23">
              <w:softHyphen/>
              <w:t>geringen eller den myndighet som regeringen bestämmer även gent</w:t>
            </w:r>
            <w:r w:rsidRPr="00F21C23">
              <w:softHyphen/>
              <w:t>emot den som utsetts som överva</w:t>
            </w:r>
            <w:r w:rsidRPr="00F21C23">
              <w:softHyphen/>
              <w:t>kare av att de förpliktelser uppfylls som följer av Sveriges överens</w:t>
            </w:r>
            <w:r w:rsidRPr="00F21C23">
              <w:softHyphen/>
              <w:t>kommelser i syfte att förhindra spridning av kärnvapen.</w:t>
            </w:r>
          </w:p>
        </w:tc>
        <w:tc>
          <w:tcPr>
            <w:tcW w:w="3118" w:type="dxa"/>
          </w:tcPr>
          <w:p w:rsidR="0051551B" w:rsidRPr="00F21C23" w:rsidRDefault="0051551B">
            <w:pPr>
              <w:pStyle w:val="Normaltindrag"/>
            </w:pPr>
            <w:r w:rsidRPr="00F21C23">
              <w:rPr>
                <w:i/>
              </w:rPr>
              <w:t>En skyldighet</w:t>
            </w:r>
            <w:r w:rsidRPr="00F21C23">
              <w:t xml:space="preserve"> enligt första stycket gäller i den utsträckning som för</w:t>
            </w:r>
            <w:r w:rsidRPr="00F21C23">
              <w:t>e</w:t>
            </w:r>
            <w:r w:rsidRPr="00F21C23">
              <w:t>skrivs av regeringen eller den myndi</w:t>
            </w:r>
            <w:r w:rsidRPr="00F21C23">
              <w:t>g</w:t>
            </w:r>
            <w:r w:rsidRPr="00F21C23">
              <w:t>het som regeringen be</w:t>
            </w:r>
            <w:r w:rsidRPr="00F21C23">
              <w:softHyphen/>
              <w:t>stämmer även gentemot den som utsetts som överv</w:t>
            </w:r>
            <w:r w:rsidRPr="00F21C23">
              <w:t>a</w:t>
            </w:r>
            <w:r w:rsidRPr="00F21C23">
              <w:t>kare av att de förpliktelser uppfylls som följer av Sveriges överensko</w:t>
            </w:r>
            <w:r w:rsidRPr="00F21C23">
              <w:t>m</w:t>
            </w:r>
            <w:r w:rsidRPr="00F21C23">
              <w:t>melser i syfte att förhindra spridning av kärnva</w:t>
            </w:r>
            <w:r w:rsidRPr="00F21C23">
              <w:softHyphen/>
              <w:t>pen.</w:t>
            </w:r>
          </w:p>
        </w:tc>
      </w:tr>
      <w:tr w:rsidR="00000000" w:rsidRPr="00F21C23">
        <w:tblPrEx>
          <w:tblCellMar>
            <w:top w:w="0" w:type="dxa"/>
            <w:bottom w:w="0" w:type="dxa"/>
          </w:tblCellMar>
        </w:tblPrEx>
        <w:tc>
          <w:tcPr>
            <w:tcW w:w="6236" w:type="dxa"/>
            <w:gridSpan w:val="2"/>
          </w:tcPr>
          <w:p w:rsidR="0051551B" w:rsidRPr="00F21C23" w:rsidRDefault="0051551B">
            <w:pPr>
              <w:pStyle w:val="Normaltindrag"/>
            </w:pPr>
            <w:r w:rsidRPr="00F21C23">
              <w:t>Polismyndigheten skall lämna det biträde som behövs för tillsynen.</w:t>
            </w:r>
          </w:p>
        </w:tc>
      </w:tr>
      <w:tr w:rsidR="00000000" w:rsidRPr="00F21C23">
        <w:tblPrEx>
          <w:tblCellMar>
            <w:top w:w="0" w:type="dxa"/>
            <w:bottom w:w="0" w:type="dxa"/>
          </w:tblCellMar>
        </w:tblPrEx>
        <w:tc>
          <w:tcPr>
            <w:tcW w:w="6236" w:type="dxa"/>
            <w:gridSpan w:val="2"/>
          </w:tcPr>
          <w:p w:rsidR="0051551B" w:rsidRPr="00F21C23" w:rsidRDefault="0051551B">
            <w:pPr>
              <w:pStyle w:val="Normaltindrag"/>
              <w:jc w:val="center"/>
            </w:pPr>
          </w:p>
          <w:p w:rsidR="0051551B" w:rsidRPr="00F21C23" w:rsidRDefault="0051551B">
            <w:pPr>
              <w:pStyle w:val="Normaltindrag"/>
              <w:jc w:val="center"/>
            </w:pPr>
            <w:r w:rsidRPr="00F21C23">
              <w:t>25 §</w:t>
            </w:r>
          </w:p>
        </w:tc>
      </w:tr>
      <w:tr w:rsidR="00000000" w:rsidRPr="00F21C23">
        <w:tblPrEx>
          <w:tblCellMar>
            <w:top w:w="0" w:type="dxa"/>
            <w:bottom w:w="0" w:type="dxa"/>
          </w:tblCellMar>
        </w:tblPrEx>
        <w:tc>
          <w:tcPr>
            <w:tcW w:w="3118" w:type="dxa"/>
          </w:tcPr>
          <w:p w:rsidR="0051551B" w:rsidRPr="00F21C23" w:rsidRDefault="0051551B">
            <w:r w:rsidRPr="00F21C23">
              <w:t xml:space="preserve">   Till böter eller fängelse i högst två år döms den som med uppsåt eller av oaktsamhet</w:t>
            </w:r>
          </w:p>
          <w:p w:rsidR="0051551B" w:rsidRPr="00F21C23" w:rsidRDefault="0051551B">
            <w:pPr>
              <w:pStyle w:val="Normaltindrag"/>
            </w:pPr>
            <w:r w:rsidRPr="00F21C23">
              <w:t>1. bedriver kärnteknisk verksam</w:t>
            </w:r>
            <w:r w:rsidRPr="00F21C23">
              <w:softHyphen/>
              <w:t xml:space="preserve">het utan tillstånd enligt 5 § eller 5 a § andra stycket eller bryter mot 6 §, </w:t>
            </w:r>
            <w:r w:rsidRPr="00F21C23">
              <w:rPr>
                <w:i/>
              </w:rPr>
              <w:t>eller</w:t>
            </w:r>
          </w:p>
          <w:p w:rsidR="0051551B" w:rsidRPr="00F21C23" w:rsidRDefault="0051551B">
            <w:pPr>
              <w:pStyle w:val="Normaltindrag"/>
            </w:pPr>
            <w:r w:rsidRPr="00F21C23">
              <w:rPr>
                <w:i/>
              </w:rPr>
              <w:t>2</w:t>
            </w:r>
            <w:r w:rsidRPr="00F21C23">
              <w:t>. åsidosätter villkor eller före</w:t>
            </w:r>
            <w:r w:rsidRPr="00F21C23">
              <w:softHyphen/>
              <w:t>skrifter som meddelats med stöd av denna lag.</w:t>
            </w:r>
          </w:p>
        </w:tc>
        <w:tc>
          <w:tcPr>
            <w:tcW w:w="3118" w:type="dxa"/>
          </w:tcPr>
          <w:p w:rsidR="0051551B" w:rsidRPr="00F21C23" w:rsidRDefault="0051551B">
            <w:r w:rsidRPr="00F21C23">
              <w:t xml:space="preserve">   Till böter eller fängelse i högst två år döms den som med uppsåt eller av oaktsamhet</w:t>
            </w:r>
          </w:p>
          <w:p w:rsidR="0051551B" w:rsidRPr="00F21C23" w:rsidRDefault="0051551B">
            <w:pPr>
              <w:pStyle w:val="Normaltindrag"/>
            </w:pPr>
            <w:r w:rsidRPr="00F21C23">
              <w:t>1. bedriver kärnteknisk verksam</w:t>
            </w:r>
            <w:r w:rsidRPr="00F21C23">
              <w:softHyphen/>
              <w:t>het utan tillstånd enligt 5 § eller 5 a § andra stycket eller bryter mot 6 §,</w:t>
            </w:r>
          </w:p>
          <w:p w:rsidR="0051551B" w:rsidRPr="00F21C23" w:rsidRDefault="0051551B">
            <w:pPr>
              <w:pStyle w:val="Normaltindrag"/>
            </w:pPr>
            <w:r w:rsidRPr="00F21C23">
              <w:rPr>
                <w:i/>
              </w:rPr>
              <w:t>2. åsidosätter sin anmälnings</w:t>
            </w:r>
            <w:r w:rsidRPr="00F21C23">
              <w:rPr>
                <w:i/>
              </w:rPr>
              <w:softHyphen/>
              <w:t>skyldighet enligt 7 a–7 c §§, eller</w:t>
            </w:r>
          </w:p>
          <w:p w:rsidR="0051551B" w:rsidRPr="00F21C23" w:rsidRDefault="0051551B">
            <w:pPr>
              <w:pStyle w:val="Normaltindrag"/>
            </w:pPr>
            <w:r w:rsidRPr="00F21C23">
              <w:rPr>
                <w:i/>
              </w:rPr>
              <w:t>3</w:t>
            </w:r>
            <w:r w:rsidRPr="00F21C23">
              <w:t>. åsidosätter villkor eller före</w:t>
            </w:r>
            <w:r w:rsidRPr="00F21C23">
              <w:softHyphen/>
              <w:t>skrifter som meddelats med stöd av denna lag.</w:t>
            </w:r>
          </w:p>
        </w:tc>
      </w:tr>
      <w:tr w:rsidR="00000000" w:rsidRPr="00F21C23">
        <w:tblPrEx>
          <w:tblCellMar>
            <w:top w:w="0" w:type="dxa"/>
            <w:bottom w:w="0" w:type="dxa"/>
          </w:tblCellMar>
        </w:tblPrEx>
        <w:tc>
          <w:tcPr>
            <w:tcW w:w="6236" w:type="dxa"/>
            <w:gridSpan w:val="2"/>
          </w:tcPr>
          <w:p w:rsidR="0051551B" w:rsidRPr="00F21C23" w:rsidRDefault="0051551B">
            <w:pPr>
              <w:pStyle w:val="Normaltindrag"/>
            </w:pPr>
            <w:r w:rsidRPr="00F21C23">
              <w:t>Den som i övrigt med uppsåt eller av grov oaktsamhet bryter mot 10 § döms till böter eller fängelse i högst två år.</w:t>
            </w:r>
          </w:p>
        </w:tc>
      </w:tr>
      <w:tr w:rsidR="00000000" w:rsidRPr="00F21C23">
        <w:tblPrEx>
          <w:tblCellMar>
            <w:top w:w="0" w:type="dxa"/>
            <w:bottom w:w="0" w:type="dxa"/>
          </w:tblCellMar>
        </w:tblPrEx>
        <w:tc>
          <w:tcPr>
            <w:tcW w:w="6236" w:type="dxa"/>
            <w:gridSpan w:val="2"/>
          </w:tcPr>
          <w:p w:rsidR="0051551B" w:rsidRPr="00F21C23" w:rsidRDefault="0051551B">
            <w:pPr>
              <w:pStyle w:val="Normaltindrag"/>
            </w:pPr>
          </w:p>
          <w:p w:rsidR="0051551B" w:rsidRPr="00F21C23" w:rsidRDefault="0051551B">
            <w:pPr>
              <w:pStyle w:val="Normaltindrag"/>
            </w:pPr>
            <w:r w:rsidRPr="00F21C23">
              <w:t>________</w:t>
            </w:r>
          </w:p>
          <w:p w:rsidR="0051551B" w:rsidRPr="00F21C23" w:rsidRDefault="0051551B">
            <w:pPr>
              <w:pStyle w:val="Normaltindrag"/>
            </w:pPr>
          </w:p>
          <w:p w:rsidR="0051551B" w:rsidRPr="00F21C23" w:rsidRDefault="0051551B">
            <w:pPr>
              <w:pStyle w:val="Normaltindrag"/>
            </w:pPr>
            <w:r w:rsidRPr="00F21C23">
              <w:t>Denna lag träder i kraft den dag regeringen bestämmer.</w:t>
            </w:r>
          </w:p>
        </w:tc>
      </w:tr>
    </w:tbl>
    <w:p w:rsidR="0051551B" w:rsidRPr="00F21C23" w:rsidRDefault="0051551B">
      <w:pPr>
        <w:pStyle w:val="Normaltindrag"/>
        <w:ind w:firstLine="0"/>
      </w:pPr>
    </w:p>
    <w:p w:rsidR="0051551B" w:rsidRPr="00F21C23" w:rsidRDefault="0051551B">
      <w:pPr>
        <w:pStyle w:val="Normaltindrag"/>
        <w:sectPr w:rsidR="00000000" w:rsidRPr="00F21C23">
          <w:headerReference w:type="default" r:id="rId12"/>
          <w:footerReference w:type="default" r:id="rId13"/>
          <w:pgSz w:w="11906" w:h="16838" w:code="9"/>
          <w:pgMar w:top="567" w:right="4876" w:bottom="4508" w:left="1134" w:header="227" w:footer="227" w:gutter="0"/>
          <w:cols w:space="720"/>
        </w:sectPr>
      </w:pPr>
    </w:p>
    <w:p w:rsidR="0051551B" w:rsidRPr="00F21C23" w:rsidRDefault="0051551B">
      <w:pPr>
        <w:pStyle w:val="Innehll"/>
        <w:outlineLvl w:val="1"/>
      </w:pPr>
      <w:r w:rsidRPr="00F21C23">
        <w:t>Innehållsförteckning</w:t>
      </w:r>
    </w:p>
    <w:p w:rsidR="0051551B" w:rsidRPr="00F21C23" w:rsidRDefault="0051551B">
      <w:pPr>
        <w:pStyle w:val="Innehll1"/>
        <w:rPr>
          <w:noProof w:val="0"/>
        </w:rPr>
      </w:pPr>
      <w:r w:rsidRPr="00F21C23">
        <w:rPr>
          <w:noProof w:val="0"/>
        </w:rPr>
        <w:t>Sammanfattning</w:t>
      </w:r>
      <w:r w:rsidRPr="00F21C23">
        <w:rPr>
          <w:noProof w:val="0"/>
        </w:rPr>
        <w:tab/>
        <w:t>1</w:t>
      </w:r>
    </w:p>
    <w:p w:rsidR="0051551B" w:rsidRPr="00F21C23" w:rsidRDefault="0051551B">
      <w:pPr>
        <w:pStyle w:val="Innehll1"/>
        <w:rPr>
          <w:noProof w:val="0"/>
        </w:rPr>
      </w:pPr>
      <w:r w:rsidRPr="00F21C23">
        <w:rPr>
          <w:noProof w:val="0"/>
        </w:rPr>
        <w:t>Propositionen</w:t>
      </w:r>
      <w:r w:rsidRPr="00F21C23">
        <w:rPr>
          <w:noProof w:val="0"/>
        </w:rPr>
        <w:tab/>
        <w:t>1</w:t>
      </w:r>
    </w:p>
    <w:p w:rsidR="0051551B" w:rsidRPr="00F21C23" w:rsidRDefault="0051551B">
      <w:pPr>
        <w:pStyle w:val="Innehll1"/>
        <w:rPr>
          <w:noProof w:val="0"/>
        </w:rPr>
      </w:pPr>
      <w:r w:rsidRPr="00F21C23">
        <w:rPr>
          <w:noProof w:val="0"/>
        </w:rPr>
        <w:t>Utskottet</w:t>
      </w:r>
      <w:r w:rsidRPr="00F21C23">
        <w:rPr>
          <w:noProof w:val="0"/>
        </w:rPr>
        <w:tab/>
        <w:t>1</w:t>
      </w:r>
    </w:p>
    <w:p w:rsidR="0051551B" w:rsidRPr="00F21C23" w:rsidRDefault="0051551B">
      <w:pPr>
        <w:pStyle w:val="Innehll2"/>
        <w:rPr>
          <w:noProof w:val="0"/>
        </w:rPr>
      </w:pPr>
      <w:r w:rsidRPr="00F21C23">
        <w:rPr>
          <w:noProof w:val="0"/>
        </w:rPr>
        <w:t>Propositionens huvudsakliga innehåll</w:t>
      </w:r>
      <w:r w:rsidRPr="00F21C23">
        <w:rPr>
          <w:noProof w:val="0"/>
        </w:rPr>
        <w:tab/>
        <w:t>1</w:t>
      </w:r>
    </w:p>
    <w:p w:rsidR="0051551B" w:rsidRPr="00F21C23" w:rsidRDefault="0051551B">
      <w:pPr>
        <w:pStyle w:val="Innehll2"/>
        <w:rPr>
          <w:noProof w:val="0"/>
        </w:rPr>
      </w:pPr>
      <w:r w:rsidRPr="00F21C23">
        <w:rPr>
          <w:noProof w:val="0"/>
        </w:rPr>
        <w:t>Utskottets överväganden</w:t>
      </w:r>
      <w:r w:rsidRPr="00F21C23">
        <w:rPr>
          <w:noProof w:val="0"/>
        </w:rPr>
        <w:tab/>
        <w:t>2</w:t>
      </w:r>
    </w:p>
    <w:p w:rsidR="0051551B" w:rsidRPr="00F21C23" w:rsidRDefault="0051551B">
      <w:pPr>
        <w:pStyle w:val="Innehll2"/>
        <w:rPr>
          <w:noProof w:val="0"/>
        </w:rPr>
      </w:pPr>
      <w:r w:rsidRPr="00F21C23">
        <w:rPr>
          <w:noProof w:val="0"/>
        </w:rPr>
        <w:t>Hemställan</w:t>
      </w:r>
      <w:r w:rsidRPr="00F21C23">
        <w:rPr>
          <w:noProof w:val="0"/>
        </w:rPr>
        <w:tab/>
        <w:t>2</w:t>
      </w:r>
    </w:p>
    <w:p w:rsidR="0051551B" w:rsidRPr="00F21C23" w:rsidRDefault="0051551B">
      <w:pPr>
        <w:pStyle w:val="Innehll1"/>
        <w:rPr>
          <w:noProof w:val="0"/>
        </w:rPr>
      </w:pPr>
      <w:r w:rsidRPr="00F21C23">
        <w:rPr>
          <w:noProof w:val="0"/>
        </w:rPr>
        <w:t>Bilaga</w:t>
      </w:r>
    </w:p>
    <w:p w:rsidR="0051551B" w:rsidRPr="00F21C23" w:rsidRDefault="0051551B">
      <w:pPr>
        <w:pStyle w:val="Innehll1"/>
        <w:rPr>
          <w:noProof w:val="0"/>
        </w:rPr>
      </w:pPr>
      <w:r w:rsidRPr="00F21C23">
        <w:rPr>
          <w:noProof w:val="0"/>
        </w:rPr>
        <w:t xml:space="preserve">     Förslag till lag om inspektioner enligt internationella avtal om      </w:t>
      </w:r>
      <w:r w:rsidRPr="00F21C23">
        <w:rPr>
          <w:noProof w:val="0"/>
        </w:rPr>
        <w:br/>
        <w:t xml:space="preserve">     förhindrande av spridning av kärnvapen</w:t>
      </w:r>
      <w:r w:rsidRPr="00F21C23">
        <w:rPr>
          <w:noProof w:val="0"/>
        </w:rPr>
        <w:tab/>
        <w:t>4</w:t>
      </w:r>
    </w:p>
    <w:p w:rsidR="0051551B" w:rsidRPr="00F21C23" w:rsidRDefault="0051551B">
      <w:pPr>
        <w:pStyle w:val="Innehll2"/>
        <w:rPr>
          <w:noProof w:val="0"/>
        </w:rPr>
      </w:pPr>
      <w:r w:rsidRPr="00F21C23">
        <w:rPr>
          <w:noProof w:val="0"/>
        </w:rPr>
        <w:t>Förslag till lag om ändring i lagen (1984:3) om kärnteknisk verksamhet</w:t>
      </w:r>
      <w:r w:rsidRPr="00F21C23">
        <w:rPr>
          <w:noProof w:val="0"/>
        </w:rPr>
        <w:tab/>
        <w:t>6</w:t>
      </w:r>
    </w:p>
    <w:p w:rsidR="0051551B" w:rsidRPr="00F21C23" w:rsidRDefault="0051551B"/>
    <w:p w:rsidR="0051551B" w:rsidRPr="00F21C23" w:rsidRDefault="0051551B">
      <w:pPr>
        <w:pStyle w:val="Tryckort"/>
        <w:framePr w:wrap="around"/>
      </w:pPr>
      <w:r w:rsidRPr="00F21C23">
        <w:t>Elanders Gotab, Stockholm  2000</w:t>
      </w:r>
    </w:p>
    <w:p w:rsidR="0051551B" w:rsidRPr="00F21C23" w:rsidRDefault="0051551B">
      <w:pPr>
        <w:pStyle w:val="Normaltindrag"/>
      </w:pPr>
    </w:p>
    <w:sectPr w:rsidR="0051551B" w:rsidRPr="00F21C23">
      <w:headerReference w:type="default" r:id="rId14"/>
      <w:footerReference w:type="default" r:id="rId15"/>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551B" w:rsidRPr="00F21C23" w:rsidRDefault="0051551B">
      <w:pPr>
        <w:spacing w:before="0" w:line="240" w:lineRule="auto"/>
      </w:pPr>
      <w:r w:rsidRPr="00F21C23">
        <w:separator/>
      </w:r>
    </w:p>
  </w:endnote>
  <w:endnote w:type="continuationSeparator" w:id="0">
    <w:p w:rsidR="0051551B" w:rsidRPr="00F21C23" w:rsidRDefault="0051551B">
      <w:pPr>
        <w:spacing w:before="0" w:line="240" w:lineRule="auto"/>
      </w:pPr>
      <w:r w:rsidRPr="00F21C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51B" w:rsidRPr="00F21C23" w:rsidRDefault="0051551B">
    <w:pPr>
      <w:pStyle w:val="SidfotH"/>
      <w:framePr w:wrap="around"/>
    </w:pPr>
    <w:r w:rsidRPr="00F21C23">
      <w:fldChar w:fldCharType="begin" w:fldLock="1"/>
    </w:r>
    <w:r w:rsidRPr="00F21C23">
      <w:instrText xml:space="preserve"> P</w:instrText>
    </w:r>
    <w:r w:rsidRPr="00F21C23">
      <w:instrText>A</w:instrText>
    </w:r>
    <w:r w:rsidRPr="00F21C23">
      <w:instrText xml:space="preserve">GE </w:instrText>
    </w:r>
    <w:r w:rsidRPr="00F21C23">
      <w:fldChar w:fldCharType="separate"/>
    </w:r>
    <w:r w:rsidRPr="00F21C23">
      <w:t>1</w:t>
    </w:r>
    <w:r w:rsidRPr="00F21C23">
      <w:fldChar w:fldCharType="end"/>
    </w:r>
  </w:p>
  <w:p w:rsidR="0051551B" w:rsidRPr="00F21C23" w:rsidRDefault="0051551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51B" w:rsidRPr="00F21C23" w:rsidRDefault="0051551B">
    <w:pPr>
      <w:pStyle w:val="SidfotH"/>
      <w:framePr w:wrap="around"/>
    </w:pPr>
    <w:r w:rsidRPr="00F21C23">
      <w:fldChar w:fldCharType="begin" w:fldLock="1"/>
    </w:r>
    <w:r w:rsidRPr="00F21C23">
      <w:instrText xml:space="preserve"> P</w:instrText>
    </w:r>
    <w:r w:rsidRPr="00F21C23">
      <w:instrText>A</w:instrText>
    </w:r>
    <w:r w:rsidRPr="00F21C23">
      <w:instrText xml:space="preserve">GE </w:instrText>
    </w:r>
    <w:r w:rsidRPr="00F21C23">
      <w:fldChar w:fldCharType="separate"/>
    </w:r>
    <w:r w:rsidRPr="00F21C23">
      <w:t>4</w:t>
    </w:r>
    <w:r w:rsidRPr="00F21C23">
      <w:fldChar w:fldCharType="end"/>
    </w:r>
  </w:p>
  <w:p w:rsidR="0051551B" w:rsidRPr="00F21C23" w:rsidRDefault="0051551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51B" w:rsidRPr="00F21C23" w:rsidRDefault="0051551B">
    <w:pPr>
      <w:pStyle w:val="SidfotH"/>
      <w:framePr w:wrap="around"/>
    </w:pPr>
    <w:r w:rsidRPr="00F21C23">
      <w:fldChar w:fldCharType="begin" w:fldLock="1"/>
    </w:r>
    <w:r w:rsidRPr="00F21C23">
      <w:instrText xml:space="preserve"> PAGE </w:instrText>
    </w:r>
    <w:r w:rsidRPr="00F21C23">
      <w:fldChar w:fldCharType="separate"/>
    </w:r>
    <w:r w:rsidRPr="00F21C23">
      <w:t>9</w:t>
    </w:r>
    <w:r w:rsidRPr="00F21C23">
      <w:fldChar w:fldCharType="end"/>
    </w:r>
  </w:p>
  <w:p w:rsidR="0051551B" w:rsidRPr="00F21C23" w:rsidRDefault="005155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551B" w:rsidRPr="00F21C23" w:rsidRDefault="0051551B">
      <w:pPr>
        <w:pStyle w:val="Sidfot"/>
      </w:pPr>
    </w:p>
  </w:footnote>
  <w:footnote w:type="continuationSeparator" w:id="0">
    <w:p w:rsidR="0051551B" w:rsidRPr="00F21C23" w:rsidRDefault="0051551B">
      <w:pPr>
        <w:spacing w:before="0" w:line="240" w:lineRule="auto"/>
      </w:pPr>
      <w:r w:rsidRPr="00F21C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51B" w:rsidRPr="00F21C23" w:rsidRDefault="0051551B">
    <w:pPr>
      <w:pStyle w:val="SidhuvudKant"/>
      <w:framePr w:w="1758" w:h="2744" w:hRule="exact" w:wrap="around" w:vAnchor="page" w:hAnchor="page" w:x="7372" w:y="568" w:anchorLock="0"/>
    </w:pPr>
    <w:r w:rsidRPr="00F21C23">
      <w:t>1999/2000:UU13</w:t>
    </w:r>
  </w:p>
  <w:p w:rsidR="0051551B" w:rsidRPr="00F21C23" w:rsidRDefault="0051551B">
    <w:pPr>
      <w:pStyle w:val="SidhuvudKantBilaga"/>
      <w:framePr w:w="1758" w:h="2744" w:hRule="exact" w:wrap="around" w:vAnchor="page" w:hAnchor="page" w:x="7372" w:y="568" w:anchorLock="0"/>
    </w:pPr>
  </w:p>
  <w:p w:rsidR="0051551B" w:rsidRPr="00F21C23" w:rsidRDefault="0051551B">
    <w:pPr>
      <w:pStyle w:val="SidhuvudKant"/>
      <w:framePr w:w="1758" w:h="2744" w:hRule="exact" w:wrap="around" w:vAnchor="page" w:hAnchor="page" w:x="7372" w:y="568" w:anchorLock="0"/>
    </w:pPr>
  </w:p>
  <w:p w:rsidR="0051551B" w:rsidRPr="00F21C23" w:rsidRDefault="0051551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51B" w:rsidRPr="00F21C23" w:rsidRDefault="0051551B">
    <w:pPr>
      <w:pStyle w:val="SidhuvudKant"/>
      <w:framePr w:w="1758" w:h="2744" w:hRule="exact" w:wrap="around" w:vAnchor="page" w:hAnchor="page" w:x="7372" w:y="568" w:anchorLock="0"/>
    </w:pPr>
    <w:r w:rsidRPr="00F21C23">
      <w:t>1999/2000:UU13</w:t>
    </w:r>
  </w:p>
  <w:p w:rsidR="0051551B" w:rsidRPr="00F21C23" w:rsidRDefault="0051551B">
    <w:pPr>
      <w:pStyle w:val="SidhuvudKantBilaga"/>
      <w:framePr w:w="1758" w:h="2744" w:hRule="exact" w:wrap="around" w:vAnchor="page" w:hAnchor="page" w:x="7372" w:y="568" w:anchorLock="0"/>
    </w:pPr>
    <w:r w:rsidRPr="00F21C23">
      <w:t>Bilaga</w:t>
    </w:r>
  </w:p>
  <w:p w:rsidR="0051551B" w:rsidRPr="00F21C23" w:rsidRDefault="0051551B">
    <w:pPr>
      <w:pStyle w:val="SidhuvudKant"/>
      <w:framePr w:w="1758" w:h="2744" w:hRule="exact" w:wrap="around" w:vAnchor="page" w:hAnchor="page" w:x="7372" w:y="568" w:anchorLock="0"/>
    </w:pPr>
  </w:p>
  <w:p w:rsidR="0051551B" w:rsidRPr="00F21C23" w:rsidRDefault="0051551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1551B" w:rsidRPr="00F21C23" w:rsidRDefault="0051551B">
    <w:pPr>
      <w:pStyle w:val="SidhuvudKant"/>
      <w:framePr w:w="1758" w:h="2744" w:hRule="exact" w:wrap="around" w:vAnchor="page" w:hAnchor="page" w:x="7372" w:y="568" w:anchorLock="0"/>
    </w:pPr>
    <w:r w:rsidRPr="00F21C23">
      <w:t>1999/2000:UU13</w:t>
    </w:r>
  </w:p>
  <w:p w:rsidR="0051551B" w:rsidRPr="00F21C23" w:rsidRDefault="0051551B">
    <w:pPr>
      <w:pStyle w:val="SidhuvudKantBilaga"/>
      <w:framePr w:w="1758" w:h="2744" w:hRule="exact" w:wrap="around" w:vAnchor="page" w:hAnchor="page" w:x="7372" w:y="568" w:anchorLock="0"/>
    </w:pPr>
  </w:p>
  <w:p w:rsidR="0051551B" w:rsidRPr="00F21C23" w:rsidRDefault="0051551B">
    <w:pPr>
      <w:pStyle w:val="SidhuvudKant"/>
      <w:framePr w:w="1758" w:h="2744" w:hRule="exact" w:wrap="around" w:vAnchor="page" w:hAnchor="page" w:x="7372" w:y="568" w:anchorLock="0"/>
    </w:pPr>
  </w:p>
  <w:p w:rsidR="0051551B" w:rsidRPr="00F21C23" w:rsidRDefault="005155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274C3"/>
    <w:multiLevelType w:val="singleLevel"/>
    <w:tmpl w:val="769CBEDE"/>
    <w:lvl w:ilvl="0">
      <w:start w:val="3"/>
      <w:numFmt w:val="lowerLetter"/>
      <w:lvlText w:val="%1)"/>
      <w:lvlJc w:val="left"/>
      <w:pPr>
        <w:tabs>
          <w:tab w:val="num" w:pos="870"/>
        </w:tabs>
        <w:ind w:left="870" w:hanging="360"/>
      </w:pPr>
      <w:rPr>
        <w:rFonts w:hint="default"/>
      </w:rPr>
    </w:lvl>
  </w:abstractNum>
  <w:abstractNum w:abstractNumId="1" w15:restartNumberingAfterBreak="0">
    <w:nsid w:val="171A6961"/>
    <w:multiLevelType w:val="singleLevel"/>
    <w:tmpl w:val="E0A6F674"/>
    <w:lvl w:ilvl="0">
      <w:start w:val="1"/>
      <w:numFmt w:val="decimal"/>
      <w:lvlText w:val="%1."/>
      <w:lvlJc w:val="left"/>
      <w:pPr>
        <w:tabs>
          <w:tab w:val="num" w:pos="870"/>
        </w:tabs>
        <w:ind w:left="870" w:hanging="360"/>
      </w:pPr>
      <w:rPr>
        <w:rFonts w:hint="default"/>
      </w:rPr>
    </w:lvl>
  </w:abstractNum>
  <w:abstractNum w:abstractNumId="2" w15:restartNumberingAfterBreak="0">
    <w:nsid w:val="5C4462E4"/>
    <w:multiLevelType w:val="singleLevel"/>
    <w:tmpl w:val="3ABA6572"/>
    <w:lvl w:ilvl="0">
      <w:start w:val="1"/>
      <w:numFmt w:val="lowerLetter"/>
      <w:lvlText w:val="%1)"/>
      <w:lvlJc w:val="left"/>
      <w:pPr>
        <w:tabs>
          <w:tab w:val="num" w:pos="870"/>
        </w:tabs>
        <w:ind w:left="870" w:hanging="360"/>
      </w:pPr>
      <w:rPr>
        <w:rFonts w:hint="default"/>
      </w:rPr>
    </w:lvl>
  </w:abstractNum>
  <w:abstractNum w:abstractNumId="3" w15:restartNumberingAfterBreak="0">
    <w:nsid w:val="6C973EA0"/>
    <w:multiLevelType w:val="singleLevel"/>
    <w:tmpl w:val="807A306C"/>
    <w:lvl w:ilvl="0">
      <w:start w:val="3"/>
      <w:numFmt w:val="lowerLetter"/>
      <w:lvlText w:val="%1)"/>
      <w:lvlJc w:val="left"/>
      <w:pPr>
        <w:tabs>
          <w:tab w:val="num" w:pos="870"/>
        </w:tabs>
        <w:ind w:left="870" w:hanging="360"/>
      </w:pPr>
      <w:rPr>
        <w:rFonts w:hint="default"/>
      </w:rPr>
    </w:lvl>
  </w:abstractNum>
  <w:abstractNum w:abstractNumId="4" w15:restartNumberingAfterBreak="0">
    <w:nsid w:val="740B1C83"/>
    <w:multiLevelType w:val="singleLevel"/>
    <w:tmpl w:val="F5FECDF6"/>
    <w:lvl w:ilvl="0">
      <w:start w:val="3"/>
      <w:numFmt w:val="lowerLetter"/>
      <w:lvlText w:val="%1)"/>
      <w:lvlJc w:val="left"/>
      <w:pPr>
        <w:tabs>
          <w:tab w:val="num" w:pos="870"/>
        </w:tabs>
        <w:ind w:left="870" w:hanging="360"/>
      </w:pPr>
      <w:rPr>
        <w:rFonts w:hint="default"/>
      </w:rPr>
    </w:lvl>
  </w:abstractNum>
  <w:abstractNum w:abstractNumId="5" w15:restartNumberingAfterBreak="0">
    <w:nsid w:val="743619CC"/>
    <w:multiLevelType w:val="singleLevel"/>
    <w:tmpl w:val="E00A84A2"/>
    <w:lvl w:ilvl="0">
      <w:start w:val="1"/>
      <w:numFmt w:val="lowerLetter"/>
      <w:lvlText w:val="%1)"/>
      <w:lvlJc w:val="left"/>
      <w:pPr>
        <w:tabs>
          <w:tab w:val="num" w:pos="870"/>
        </w:tabs>
        <w:ind w:left="870" w:hanging="360"/>
      </w:pPr>
      <w:rPr>
        <w:rFonts w:hint="default"/>
      </w:rPr>
    </w:lvl>
  </w:abstractNum>
  <w:abstractNum w:abstractNumId="6" w15:restartNumberingAfterBreak="0">
    <w:nsid w:val="7C540746"/>
    <w:multiLevelType w:val="singleLevel"/>
    <w:tmpl w:val="4D761A50"/>
    <w:lvl w:ilvl="0">
      <w:start w:val="1"/>
      <w:numFmt w:val="decimal"/>
      <w:lvlText w:val="%1."/>
      <w:lvlJc w:val="left"/>
      <w:pPr>
        <w:tabs>
          <w:tab w:val="num" w:pos="1040"/>
        </w:tabs>
        <w:ind w:left="1040" w:hanging="360"/>
      </w:pPr>
      <w:rPr>
        <w:rFonts w:hint="default"/>
      </w:rPr>
    </w:lvl>
  </w:abstractNum>
  <w:num w:numId="1" w16cid:durableId="100076027">
    <w:abstractNumId w:val="5"/>
  </w:num>
  <w:num w:numId="2" w16cid:durableId="454906280">
    <w:abstractNumId w:val="2"/>
  </w:num>
  <w:num w:numId="3" w16cid:durableId="1724912227">
    <w:abstractNumId w:val="1"/>
  </w:num>
  <w:num w:numId="4" w16cid:durableId="197745003">
    <w:abstractNumId w:val="3"/>
  </w:num>
  <w:num w:numId="5" w16cid:durableId="820538411">
    <w:abstractNumId w:val="4"/>
  </w:num>
  <w:num w:numId="6" w16cid:durableId="1927423964">
    <w:abstractNumId w:val="0"/>
  </w:num>
  <w:num w:numId="7" w16cid:durableId="162951096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rikesutskottets"/>
    <w:docVar w:name="Skapår" w:val="9900"/>
  </w:docVars>
  <w:rsids>
    <w:rsidRoot w:val="00E24F5C"/>
    <w:rsid w:val="0051551B"/>
    <w:rsid w:val="00E24F5C"/>
    <w:rsid w:val="00F21C2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856770-B219-4C19-979D-9E529ADEC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jc w:val="left"/>
    </w:pPr>
    <w:rPr>
      <w:noProof/>
    </w:r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customStyle="1" w:styleId="Proputanindrag">
    <w:name w:val="Prop. utan indrag"/>
    <w:basedOn w:val="Normal"/>
    <w:next w:val="Propmedindrag"/>
    <w:pPr>
      <w:tabs>
        <w:tab w:val="left" w:pos="2835"/>
      </w:tabs>
      <w:spacing w:before="0" w:line="240" w:lineRule="auto"/>
    </w:pPr>
    <w:rPr>
      <w:sz w:val="25"/>
      <w:lang w:eastAsia="sv-SE"/>
    </w:rPr>
  </w:style>
  <w:style w:type="paragraph" w:customStyle="1" w:styleId="Propmedindrag">
    <w:name w:val="Prop. med indrag"/>
    <w:basedOn w:val="Proputanindrag"/>
    <w:pPr>
      <w:ind w:firstLine="227"/>
    </w:pPr>
  </w:style>
  <w:style w:type="paragraph" w:customStyle="1" w:styleId="Proprubrik">
    <w:name w:val="Prop. rubrik"/>
    <w:basedOn w:val="Proputanindrag"/>
    <w:next w:val="Proputanindrag"/>
    <w:pPr>
      <w:spacing w:before="80" w:after="240"/>
      <w:jc w:val="left"/>
    </w:pPr>
    <w:rPr>
      <w:sz w:val="34"/>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rP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2091</Words>
  <Characters>12633</Characters>
  <Application>Microsoft Office Word</Application>
  <DocSecurity>4</DocSecurity>
  <Lines>371</Lines>
  <Paragraphs>153</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Utrikesutskottets betänkande</vt:lpstr>
      <vt:lpstr>Sammanfattning</vt:lpstr>
      <vt:lpstr>Propositionen</vt:lpstr>
      <vt:lpstr>Utskottet</vt:lpstr>
      <vt:lpstr>    Propositionens huvudsakliga innehåll</vt:lpstr>
      <vt:lpstr>    Utskottets överväganden</vt:lpstr>
      <vt:lpstr>    Hemställan</vt:lpstr>
      <vt:lpstr/>
      <vt:lpstr>Propositionens lagförslag</vt:lpstr>
      <vt:lpstr>    Innehållsförteckning</vt:lpstr>
    </vt:vector>
  </TitlesOfParts>
  <Company>Riksdagen</Company>
  <LinksUpToDate>false</LinksUpToDate>
  <CharactersWithSpaces>14571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Utrikesutskottets betänkande</dc:title>
  <dc:subject>Utrikesutskottets betänkande</dc:subject>
  <dc:creator>Riksdagen</dc:creator>
  <cp:keywords>Riksdagen</cp:keywords>
  <cp:lastModifiedBy>Lars Brink</cp:lastModifiedBy>
  <cp:revision>2</cp:revision>
  <cp:lastPrinted>2000-03-17T14:05:00Z</cp:lastPrinted>
  <dcterms:created xsi:type="dcterms:W3CDTF">2025-12-15T22:07:00Z</dcterms:created>
  <dcterms:modified xsi:type="dcterms:W3CDTF">2025-12-15T22:07:00Z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13</vt:lpwstr>
  </property>
  <property fmtid="{D5CDD505-2E9C-101B-9397-08002B2CF9AE}" pid="3" name="Utskott">
    <vt:lpwstr>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